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EA6BF" w14:textId="77777777" w:rsidR="009D3DC8" w:rsidRDefault="009D3DC8">
      <w:pPr>
        <w:pStyle w:val="Title"/>
        <w:spacing w:after="480"/>
      </w:pPr>
      <w:r>
        <w:rPr>
          <w:noProof/>
          <w:lang w:eastAsia="en-AU"/>
        </w:rPr>
        <w:pict w14:anchorId="354F4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14.5pt;height:177.75pt;visibility:visible">
            <v:imagedata r:id="rId10" o:title="DAFF biosecurity logo"/>
          </v:shape>
        </w:pict>
      </w:r>
    </w:p>
    <w:p w14:paraId="523FAF06" w14:textId="77777777" w:rsidR="009D3DC8" w:rsidRDefault="009D3DC8">
      <w:pPr>
        <w:pStyle w:val="Title"/>
        <w:spacing w:before="840"/>
        <w:rPr>
          <w:rFonts w:ascii="Arial" w:hAnsi="Arial" w:cs="Arial"/>
          <w:sz w:val="48"/>
          <w:szCs w:val="48"/>
        </w:rPr>
      </w:pPr>
      <w:r>
        <w:rPr>
          <w:rFonts w:ascii="Arial" w:hAnsi="Arial" w:cs="Arial"/>
          <w:sz w:val="48"/>
          <w:szCs w:val="48"/>
        </w:rPr>
        <w:t>Final report for the non-regulated analysis of existing policy for fresh mangosteen fruit from Indonesia</w:t>
      </w:r>
    </w:p>
    <w:p w14:paraId="702A5783" w14:textId="77777777" w:rsidR="009D3DC8" w:rsidRDefault="009D3DC8">
      <w:pPr>
        <w:pStyle w:val="Title"/>
      </w:pPr>
      <w:r>
        <w:rPr>
          <w:noProof/>
          <w:lang w:eastAsia="en-AU"/>
        </w:rPr>
        <w:pict w14:anchorId="3D830005">
          <v:shape id="Picture 2" o:spid="_x0000_i1026" type="#_x0000_t75" alt="cid:image001.png@01CCD1F4.2F85E030" style="width:337.5pt;height:280.5pt;visibility:visible">
            <v:imagedata r:id="rId11" o:title="image001" gain="64225f" blacklevel="2621f"/>
          </v:shape>
        </w:pict>
      </w:r>
    </w:p>
    <w:p w14:paraId="236C30BB" w14:textId="77777777" w:rsidR="009D3DC8" w:rsidRDefault="009D3DC8">
      <w:pPr>
        <w:pStyle w:val="Title"/>
        <w:rPr>
          <w:rFonts w:ascii="Arial" w:hAnsi="Arial" w:cs="Arial"/>
          <w:sz w:val="48"/>
          <w:szCs w:val="48"/>
        </w:rPr>
        <w:sectPr w:rsidR="009D3DC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fmt="lowerRoman"/>
          <w:cols w:space="708"/>
          <w:titlePg/>
          <w:docGrid w:linePitch="360"/>
        </w:sectPr>
      </w:pPr>
      <w:r>
        <w:rPr>
          <w:rFonts w:ascii="Arial" w:hAnsi="Arial" w:cs="Arial"/>
          <w:sz w:val="48"/>
          <w:szCs w:val="48"/>
        </w:rPr>
        <w:t>June 2012</w:t>
      </w:r>
    </w:p>
    <w:p w14:paraId="08963E65" w14:textId="77777777" w:rsidR="009D3DC8" w:rsidRDefault="009D3DC8">
      <w:pPr>
        <w:pStyle w:val="Title"/>
        <w:spacing w:before="0" w:after="120"/>
        <w:jc w:val="left"/>
        <w:rPr>
          <w:rFonts w:ascii="Cambria" w:hAnsi="Cambria"/>
          <w:sz w:val="20"/>
          <w:szCs w:val="20"/>
        </w:rPr>
      </w:pPr>
      <w:r>
        <w:rPr>
          <w:rFonts w:ascii="Cambria" w:hAnsi="Cambria"/>
          <w:sz w:val="20"/>
          <w:szCs w:val="20"/>
        </w:rPr>
        <w:lastRenderedPageBreak/>
        <w:t>© Commonwealth of Australia</w:t>
      </w:r>
    </w:p>
    <w:p w14:paraId="06E44E9C" w14:textId="77777777" w:rsidR="009D3DC8" w:rsidRDefault="009D3DC8">
      <w:pPr>
        <w:spacing w:after="0" w:line="240" w:lineRule="auto"/>
        <w:rPr>
          <w:rFonts w:ascii="Cambria" w:hAnsi="Cambria"/>
          <w:b/>
          <w:sz w:val="20"/>
          <w:szCs w:val="20"/>
        </w:rPr>
      </w:pPr>
      <w:r>
        <w:rPr>
          <w:rFonts w:ascii="Cambria" w:hAnsi="Cambria"/>
          <w:b/>
          <w:sz w:val="20"/>
          <w:szCs w:val="20"/>
        </w:rPr>
        <w:t>Ownership of intellectual property rights</w:t>
      </w:r>
    </w:p>
    <w:p w14:paraId="7FA866B3" w14:textId="77777777" w:rsidR="009D3DC8" w:rsidRDefault="009D3DC8">
      <w:pPr>
        <w:spacing w:after="120" w:line="240" w:lineRule="auto"/>
        <w:rPr>
          <w:rFonts w:ascii="Cambria" w:hAnsi="Cambria"/>
          <w:sz w:val="20"/>
          <w:szCs w:val="20"/>
        </w:rPr>
      </w:pPr>
      <w:r>
        <w:rPr>
          <w:rFonts w:ascii="Cambria" w:hAnsi="Cambria"/>
          <w:sz w:val="20"/>
          <w:szCs w:val="20"/>
        </w:rPr>
        <w:t>Unless otherwise noted, copyright (and any other intellectual property rights, if any) in this publication is owned by the Commonwealth of Australia (referred to as the Commonwealth).</w:t>
      </w:r>
    </w:p>
    <w:p w14:paraId="7A78CB6C" w14:textId="77777777" w:rsidR="009D3DC8" w:rsidRDefault="009D3DC8">
      <w:pPr>
        <w:spacing w:after="0" w:line="240" w:lineRule="auto"/>
        <w:rPr>
          <w:rFonts w:ascii="Cambria" w:hAnsi="Cambria"/>
          <w:b/>
          <w:sz w:val="20"/>
          <w:szCs w:val="20"/>
        </w:rPr>
      </w:pPr>
      <w:r>
        <w:rPr>
          <w:rFonts w:ascii="Cambria" w:hAnsi="Cambria"/>
          <w:b/>
          <w:sz w:val="20"/>
          <w:szCs w:val="20"/>
        </w:rPr>
        <w:t>Creative Commons licence</w:t>
      </w:r>
    </w:p>
    <w:p w14:paraId="0720EBBE" w14:textId="77777777" w:rsidR="009D3DC8" w:rsidRDefault="009D3DC8">
      <w:pPr>
        <w:spacing w:after="120" w:line="240" w:lineRule="auto"/>
        <w:rPr>
          <w:rFonts w:ascii="Cambria" w:hAnsi="Cambria"/>
          <w:sz w:val="20"/>
          <w:szCs w:val="20"/>
        </w:rPr>
      </w:pPr>
      <w:r>
        <w:rPr>
          <w:rFonts w:ascii="Cambria" w:hAnsi="Cambria"/>
          <w:sz w:val="20"/>
          <w:szCs w:val="20"/>
        </w:rPr>
        <w:t xml:space="preserve">All material in this publication is licensed under a Creative Commons Attribution 3.0 Australia Licence, save for content supplied by third parties, photographic images, logos, and the Commonwealth Coat of Arms. </w:t>
      </w:r>
    </w:p>
    <w:p w14:paraId="15009518" w14:textId="77777777" w:rsidR="009D3DC8" w:rsidRDefault="009D3DC8">
      <w:pPr>
        <w:spacing w:after="120" w:line="240" w:lineRule="auto"/>
        <w:rPr>
          <w:rFonts w:ascii="Cambria" w:hAnsi="Cambria"/>
        </w:rPr>
      </w:pPr>
      <w:r>
        <w:rPr>
          <w:rFonts w:ascii="Cambria" w:hAnsi="Cambria"/>
          <w:noProof/>
          <w:lang w:eastAsia="en-AU"/>
        </w:rPr>
        <w:pict w14:anchorId="65A48EE7">
          <v:shape id="_x0000_i1027" type="#_x0000_t75" alt="bp3_prelims-2.gif" style="width:66pt;height:23.25pt;visibility:visible">
            <v:imagedata r:id="rId18" o:title="bp3_prelims-2"/>
          </v:shape>
        </w:pict>
      </w:r>
    </w:p>
    <w:p w14:paraId="52646E9E" w14:textId="77777777" w:rsidR="009D3DC8" w:rsidRDefault="009D3DC8">
      <w:pPr>
        <w:spacing w:after="120" w:line="240" w:lineRule="auto"/>
        <w:rPr>
          <w:rFonts w:ascii="Cambria" w:hAnsi="Cambria"/>
          <w:sz w:val="20"/>
          <w:szCs w:val="20"/>
        </w:rPr>
      </w:pPr>
      <w:r>
        <w:rPr>
          <w:rFonts w:ascii="Cambria" w:hAnsi="Cambria"/>
          <w:sz w:val="20"/>
          <w:szCs w:val="20"/>
        </w:rPr>
        <w:t>Creative Commons Attribution 3.0 Australia Licence is a standard form licence agreement that allows you to copy, distribute, transmit and adapt this publication provided that you attribute the work. A summary of the licence terms is available from creativecommons.org/licenses/by/3.0/au/deed.en. The full licence terms are available from creativecommons.org/licenses/by/3.0/au/legalcode.</w:t>
      </w:r>
    </w:p>
    <w:p w14:paraId="71F48660" w14:textId="77777777" w:rsidR="009D3DC8" w:rsidRDefault="009D3DC8">
      <w:pPr>
        <w:spacing w:line="240" w:lineRule="auto"/>
        <w:rPr>
          <w:rFonts w:ascii="Cambria" w:hAnsi="Cambria"/>
          <w:sz w:val="20"/>
          <w:szCs w:val="20"/>
        </w:rPr>
      </w:pPr>
      <w:r>
        <w:rPr>
          <w:rFonts w:ascii="Cambria" w:hAnsi="Cambria"/>
          <w:sz w:val="20"/>
          <w:szCs w:val="20"/>
        </w:rPr>
        <w:t>This publication (and any material sourced from it) should be attributed as:</w:t>
      </w:r>
    </w:p>
    <w:p w14:paraId="4CD40F0E" w14:textId="77777777" w:rsidR="009D3DC8" w:rsidRDefault="009D3DC8">
      <w:pPr>
        <w:spacing w:after="120" w:line="240" w:lineRule="auto"/>
        <w:ind w:left="720"/>
        <w:rPr>
          <w:rFonts w:ascii="Cambria" w:hAnsi="Cambria"/>
          <w:sz w:val="20"/>
          <w:szCs w:val="20"/>
        </w:rPr>
      </w:pPr>
      <w:r>
        <w:rPr>
          <w:rFonts w:ascii="Cambria" w:hAnsi="Cambria"/>
          <w:sz w:val="20"/>
          <w:szCs w:val="20"/>
        </w:rPr>
        <w:t xml:space="preserve">Department of Agriculture, Fisheries and Forestry Biosecurity (2012), </w:t>
      </w:r>
      <w:r>
        <w:rPr>
          <w:rFonts w:ascii="Cambria" w:hAnsi="Cambria"/>
          <w:i/>
          <w:sz w:val="20"/>
          <w:szCs w:val="20"/>
        </w:rPr>
        <w:t>Final report for the non</w:t>
      </w:r>
      <w:r>
        <w:rPr>
          <w:rFonts w:ascii="Cambria" w:hAnsi="Cambria"/>
          <w:i/>
          <w:sz w:val="20"/>
          <w:szCs w:val="20"/>
        </w:rPr>
        <w:noBreakHyphen/>
        <w:t>regulated analysis of existing policy for fresh mangosteen fruit from Indonesia.</w:t>
      </w:r>
      <w:r>
        <w:rPr>
          <w:rFonts w:ascii="Cambria" w:hAnsi="Cambria"/>
          <w:sz w:val="20"/>
          <w:szCs w:val="20"/>
        </w:rPr>
        <w:t xml:space="preserve"> CC BY 3.0.</w:t>
      </w:r>
    </w:p>
    <w:p w14:paraId="7E52616D" w14:textId="77777777" w:rsidR="009D3DC8" w:rsidRDefault="009D3DC8">
      <w:pPr>
        <w:spacing w:after="0" w:line="240" w:lineRule="auto"/>
        <w:rPr>
          <w:rFonts w:ascii="Cambria" w:hAnsi="Cambria"/>
          <w:b/>
          <w:sz w:val="20"/>
          <w:szCs w:val="20"/>
        </w:rPr>
      </w:pPr>
      <w:r>
        <w:rPr>
          <w:rFonts w:ascii="Cambria" w:hAnsi="Cambria"/>
          <w:b/>
          <w:sz w:val="20"/>
          <w:szCs w:val="20"/>
        </w:rPr>
        <w:t>Cataloguing data</w:t>
      </w:r>
    </w:p>
    <w:p w14:paraId="39708E88" w14:textId="77777777" w:rsidR="009D3DC8" w:rsidRDefault="009D3DC8">
      <w:pPr>
        <w:spacing w:after="120" w:line="240" w:lineRule="auto"/>
        <w:rPr>
          <w:rFonts w:ascii="Cambria" w:hAnsi="Cambria"/>
          <w:sz w:val="20"/>
          <w:szCs w:val="20"/>
        </w:rPr>
      </w:pPr>
      <w:r>
        <w:rPr>
          <w:rFonts w:ascii="Cambria" w:hAnsi="Cambria"/>
          <w:sz w:val="20"/>
          <w:szCs w:val="20"/>
        </w:rPr>
        <w:t xml:space="preserve">Department of Agriculture, Fisheries and Forestry Biosecurity (2012), </w:t>
      </w:r>
      <w:r>
        <w:rPr>
          <w:rFonts w:ascii="Cambria" w:hAnsi="Cambria"/>
          <w:i/>
          <w:sz w:val="20"/>
          <w:szCs w:val="20"/>
        </w:rPr>
        <w:t xml:space="preserve">Final report for the non-regulated analysis of existing policy for fresh mangosteen fruit from Indonesia, </w:t>
      </w:r>
      <w:r>
        <w:rPr>
          <w:rFonts w:ascii="Cambria" w:hAnsi="Cambria"/>
          <w:sz w:val="20"/>
          <w:szCs w:val="20"/>
        </w:rPr>
        <w:t>Department of Agriculture, Fisheries and Forestry, Canberra.</w:t>
      </w:r>
    </w:p>
    <w:p w14:paraId="2E18BBAB" w14:textId="77777777" w:rsidR="009D3DC8" w:rsidRDefault="009D3DC8">
      <w:pPr>
        <w:spacing w:after="0" w:line="240" w:lineRule="auto"/>
        <w:rPr>
          <w:rFonts w:ascii="Cambria" w:hAnsi="Cambria"/>
          <w:b/>
          <w:sz w:val="20"/>
          <w:szCs w:val="20"/>
        </w:rPr>
      </w:pPr>
      <w:r>
        <w:rPr>
          <w:rFonts w:ascii="Cambria" w:hAnsi="Cambria"/>
          <w:b/>
          <w:sz w:val="20"/>
          <w:szCs w:val="20"/>
        </w:rPr>
        <w:t>Internet</w:t>
      </w:r>
    </w:p>
    <w:p w14:paraId="05E454CF" w14:textId="77777777" w:rsidR="009D3DC8" w:rsidRDefault="009D3DC8">
      <w:pPr>
        <w:spacing w:after="120" w:line="240" w:lineRule="auto"/>
        <w:rPr>
          <w:rFonts w:ascii="Cambria" w:hAnsi="Cambria"/>
          <w:sz w:val="20"/>
          <w:szCs w:val="20"/>
        </w:rPr>
      </w:pPr>
      <w:r>
        <w:rPr>
          <w:rFonts w:ascii="Cambria" w:hAnsi="Cambria"/>
          <w:i/>
          <w:sz w:val="20"/>
          <w:szCs w:val="20"/>
        </w:rPr>
        <w:t xml:space="preserve">Final report for the non-regulated analysis of existing policy for fresh mangosteen fruit from Indonesia </w:t>
      </w:r>
      <w:r>
        <w:rPr>
          <w:rFonts w:ascii="Cambria" w:hAnsi="Cambria"/>
          <w:sz w:val="20"/>
          <w:szCs w:val="20"/>
        </w:rPr>
        <w:t>is</w:t>
      </w:r>
      <w:r>
        <w:rPr>
          <w:rFonts w:ascii="Cambria" w:hAnsi="Cambria"/>
          <w:i/>
          <w:sz w:val="20"/>
          <w:szCs w:val="20"/>
        </w:rPr>
        <w:t xml:space="preserve"> </w:t>
      </w:r>
      <w:r>
        <w:rPr>
          <w:rFonts w:ascii="Cambria" w:hAnsi="Cambria"/>
          <w:sz w:val="20"/>
          <w:szCs w:val="20"/>
        </w:rPr>
        <w:t>available at daff.gov.au.</w:t>
      </w:r>
    </w:p>
    <w:p w14:paraId="239639D4" w14:textId="77777777" w:rsidR="009D3DC8" w:rsidRDefault="009D3DC8">
      <w:pPr>
        <w:spacing w:after="120" w:line="240" w:lineRule="auto"/>
        <w:rPr>
          <w:rFonts w:ascii="Cambria" w:hAnsi="Cambria"/>
          <w:sz w:val="20"/>
          <w:szCs w:val="20"/>
        </w:rPr>
      </w:pPr>
      <w:r>
        <w:rPr>
          <w:rFonts w:ascii="Cambria" w:hAnsi="Cambria"/>
          <w:sz w:val="20"/>
          <w:szCs w:val="20"/>
        </w:rPr>
        <w:t xml:space="preserve">Inquiries regarding the licence and any use of this document should be sent to: </w:t>
      </w:r>
      <w:r>
        <w:rPr>
          <w:sz w:val="20"/>
          <w:szCs w:val="20"/>
        </w:rPr>
        <w:t>copyright@daff.gov.au.</w:t>
      </w:r>
    </w:p>
    <w:p w14:paraId="55354F6F" w14:textId="77777777" w:rsidR="009D3DC8" w:rsidRDefault="009D3DC8">
      <w:pPr>
        <w:spacing w:after="0" w:line="240" w:lineRule="auto"/>
        <w:rPr>
          <w:rFonts w:ascii="Cambria" w:hAnsi="Cambria"/>
          <w:b/>
          <w:sz w:val="20"/>
          <w:szCs w:val="20"/>
        </w:rPr>
      </w:pPr>
      <w:r>
        <w:rPr>
          <w:rFonts w:ascii="Cambria" w:hAnsi="Cambria"/>
          <w:b/>
          <w:sz w:val="20"/>
          <w:szCs w:val="20"/>
        </w:rPr>
        <w:t>Disclaimer</w:t>
      </w:r>
    </w:p>
    <w:p w14:paraId="793531DC" w14:textId="77777777" w:rsidR="009D3DC8" w:rsidRDefault="009D3DC8">
      <w:pPr>
        <w:spacing w:after="120" w:line="240" w:lineRule="auto"/>
        <w:rPr>
          <w:rFonts w:ascii="Cambria" w:hAnsi="Cambria"/>
          <w:sz w:val="20"/>
          <w:szCs w:val="20"/>
          <w:highlight w:val="yellow"/>
        </w:rPr>
      </w:pPr>
      <w:r>
        <w:rPr>
          <w:rFonts w:ascii="Cambria" w:hAnsi="Cambria"/>
          <w:sz w:val="20"/>
          <w:szCs w:val="20"/>
        </w:rPr>
        <w:t>The Australian Government acting through the Department of Agriculture, Fisheries and Forestry has exercised due care and skill in the preparation and compilation of the information in this publication. Notwithstanding, the Department of Agriculture, Fisheries and Forestry, its employees and advisers disclaim all liability, including liability for negligence, for any loss, damage, injury, expense or cost incurred by any person as a result of accessing, using or relying upon any of the information in this publication to the maximum extent permitted by law.</w:t>
      </w:r>
    </w:p>
    <w:p w14:paraId="08C6AB47" w14:textId="77777777" w:rsidR="009D3DC8" w:rsidRDefault="009D3DC8">
      <w:pPr>
        <w:spacing w:after="120" w:line="240" w:lineRule="auto"/>
        <w:rPr>
          <w:rFonts w:ascii="Cambria" w:hAnsi="Cambria"/>
          <w:sz w:val="20"/>
          <w:szCs w:val="20"/>
        </w:rPr>
      </w:pPr>
      <w:r>
        <w:rPr>
          <w:rFonts w:ascii="Cambria" w:hAnsi="Cambria"/>
          <w:sz w:val="20"/>
          <w:szCs w:val="20"/>
        </w:rPr>
        <w:t>The picture of mangosteen fruit on the front cover was obtained from Directorate General of Horticulture (2011) Jakarta, Indonesia.</w:t>
      </w:r>
    </w:p>
    <w:p w14:paraId="48A57B10" w14:textId="77777777" w:rsidR="009D3DC8" w:rsidRDefault="009D3DC8">
      <w:pPr>
        <w:spacing w:line="240" w:lineRule="auto"/>
        <w:rPr>
          <w:rFonts w:ascii="Cambria" w:hAnsi="Cambria"/>
          <w:sz w:val="20"/>
          <w:szCs w:val="20"/>
        </w:rPr>
      </w:pPr>
    </w:p>
    <w:p w14:paraId="0F6EFE77" w14:textId="77777777" w:rsidR="009D3DC8" w:rsidRDefault="009D3DC8">
      <w:pPr>
        <w:pStyle w:val="Heading2b"/>
        <w:rPr>
          <w:sz w:val="32"/>
          <w:szCs w:val="32"/>
        </w:rPr>
        <w:sectPr w:rsidR="009D3DC8">
          <w:pgSz w:w="11906" w:h="16838"/>
          <w:pgMar w:top="1440" w:right="1440" w:bottom="1440" w:left="1440" w:header="708" w:footer="708" w:gutter="0"/>
          <w:pgNumType w:fmt="lowerRoman"/>
          <w:cols w:space="708"/>
          <w:titlePg/>
          <w:docGrid w:linePitch="360"/>
        </w:sectPr>
      </w:pPr>
      <w:bookmarkStart w:id="0" w:name="_Toc285618352"/>
      <w:bookmarkStart w:id="1" w:name="_Toc285618675"/>
      <w:bookmarkStart w:id="2" w:name="_Toc288462471"/>
      <w:bookmarkStart w:id="3" w:name="_Toc298850793"/>
      <w:bookmarkStart w:id="4" w:name="_Toc310863060"/>
    </w:p>
    <w:p w14:paraId="3024D30E" w14:textId="77777777" w:rsidR="009D3DC8" w:rsidRDefault="009D3DC8">
      <w:pPr>
        <w:pStyle w:val="Heading2b"/>
        <w:rPr>
          <w:sz w:val="32"/>
          <w:szCs w:val="32"/>
        </w:rPr>
      </w:pPr>
      <w:r>
        <w:rPr>
          <w:sz w:val="32"/>
          <w:szCs w:val="32"/>
        </w:rPr>
        <w:lastRenderedPageBreak/>
        <w:t>Contents</w:t>
      </w:r>
      <w:bookmarkEnd w:id="0"/>
      <w:bookmarkEnd w:id="1"/>
      <w:bookmarkEnd w:id="2"/>
      <w:bookmarkEnd w:id="3"/>
      <w:bookmarkEnd w:id="4"/>
    </w:p>
    <w:p w14:paraId="0FC17FEE" w14:textId="77777777" w:rsidR="009D3DC8" w:rsidRDefault="009D3DC8">
      <w:pPr>
        <w:pStyle w:val="TOC1"/>
        <w:rPr>
          <w:rFonts w:ascii="Calibri" w:eastAsia="Times New Roman" w:hAnsi="Calibri"/>
          <w:sz w:val="22"/>
          <w:lang w:eastAsia="en-AU"/>
        </w:rPr>
      </w:pPr>
      <w:r>
        <w:rPr>
          <w:rFonts w:eastAsia="Times New Roman"/>
          <w:szCs w:val="24"/>
        </w:rPr>
        <w:fldChar w:fldCharType="begin"/>
      </w:r>
      <w:r>
        <w:instrText xml:space="preserve"> TOC \h \z \t "Heading 1,1,Heading 2,2" </w:instrText>
      </w:r>
      <w:r>
        <w:rPr>
          <w:rFonts w:eastAsia="Times New Roman"/>
          <w:szCs w:val="24"/>
        </w:rPr>
        <w:fldChar w:fldCharType="separate"/>
      </w:r>
      <w:hyperlink w:anchor="_Toc325618423" w:history="1">
        <w:r>
          <w:rPr>
            <w:rStyle w:val="Hyperlink"/>
          </w:rPr>
          <w:t xml:space="preserve">Acronyms </w:t>
        </w:r>
        <w:r>
          <w:rPr>
            <w:rStyle w:val="Hyperlink"/>
            <w:u w:val="none"/>
          </w:rPr>
          <w:t>and</w:t>
        </w:r>
        <w:r>
          <w:rPr>
            <w:rStyle w:val="Hyperlink"/>
          </w:rPr>
          <w:t xml:space="preserve"> abbreviations</w:t>
        </w:r>
        <w:r>
          <w:rPr>
            <w:webHidden/>
          </w:rPr>
          <w:tab/>
        </w:r>
        <w:r>
          <w:rPr>
            <w:webHidden/>
          </w:rPr>
          <w:fldChar w:fldCharType="begin"/>
        </w:r>
        <w:r>
          <w:rPr>
            <w:webHidden/>
          </w:rPr>
          <w:instrText xml:space="preserve"> PAGEREF _Toc325618423 \h </w:instrText>
        </w:r>
        <w:r>
          <w:rPr>
            <w:webHidden/>
          </w:rPr>
        </w:r>
        <w:r>
          <w:rPr>
            <w:webHidden/>
          </w:rPr>
          <w:fldChar w:fldCharType="separate"/>
        </w:r>
        <w:r>
          <w:rPr>
            <w:webHidden/>
          </w:rPr>
          <w:t>ix</w:t>
        </w:r>
        <w:r>
          <w:rPr>
            <w:webHidden/>
          </w:rPr>
          <w:fldChar w:fldCharType="end"/>
        </w:r>
      </w:hyperlink>
    </w:p>
    <w:p w14:paraId="0D5577A6" w14:textId="77777777" w:rsidR="009D3DC8" w:rsidRDefault="009D3DC8">
      <w:pPr>
        <w:pStyle w:val="TOC1"/>
        <w:rPr>
          <w:rFonts w:ascii="Calibri" w:eastAsia="Times New Roman" w:hAnsi="Calibri"/>
          <w:sz w:val="22"/>
          <w:lang w:eastAsia="en-AU"/>
        </w:rPr>
      </w:pPr>
      <w:hyperlink w:anchor="_Toc325618424" w:history="1">
        <w:r>
          <w:rPr>
            <w:rStyle w:val="Hyperlink"/>
            <w:b w:val="0"/>
            <w:u w:val="none"/>
          </w:rPr>
          <w:t>Abbreviations</w:t>
        </w:r>
        <w:r>
          <w:rPr>
            <w:rStyle w:val="Hyperlink"/>
          </w:rPr>
          <w:t xml:space="preserve"> of units</w:t>
        </w:r>
        <w:r>
          <w:rPr>
            <w:webHidden/>
          </w:rPr>
          <w:tab/>
        </w:r>
        <w:r>
          <w:rPr>
            <w:webHidden/>
          </w:rPr>
          <w:fldChar w:fldCharType="begin"/>
        </w:r>
        <w:r>
          <w:rPr>
            <w:webHidden/>
          </w:rPr>
          <w:instrText xml:space="preserve"> PAGEREF _Toc325618424 \h </w:instrText>
        </w:r>
        <w:r>
          <w:rPr>
            <w:webHidden/>
          </w:rPr>
        </w:r>
        <w:r>
          <w:rPr>
            <w:webHidden/>
          </w:rPr>
          <w:fldChar w:fldCharType="separate"/>
        </w:r>
        <w:r>
          <w:rPr>
            <w:webHidden/>
          </w:rPr>
          <w:t>x</w:t>
        </w:r>
        <w:r>
          <w:rPr>
            <w:webHidden/>
          </w:rPr>
          <w:fldChar w:fldCharType="end"/>
        </w:r>
      </w:hyperlink>
    </w:p>
    <w:p w14:paraId="22DBD8E6" w14:textId="77777777" w:rsidR="009D3DC8" w:rsidRDefault="009D3DC8">
      <w:pPr>
        <w:pStyle w:val="TOC1"/>
        <w:rPr>
          <w:rFonts w:ascii="Calibri" w:eastAsia="Times New Roman" w:hAnsi="Calibri"/>
          <w:sz w:val="22"/>
          <w:lang w:eastAsia="en-AU"/>
        </w:rPr>
      </w:pPr>
      <w:hyperlink w:anchor="_Toc325618425" w:history="1">
        <w:r>
          <w:rPr>
            <w:rStyle w:val="Hyperlink"/>
            <w:b w:val="0"/>
            <w:u w:val="none"/>
          </w:rPr>
          <w:t>Summary</w:t>
        </w:r>
        <w:r>
          <w:rPr>
            <w:webHidden/>
          </w:rPr>
          <w:tab/>
        </w:r>
        <w:r>
          <w:rPr>
            <w:webHidden/>
          </w:rPr>
          <w:tab/>
        </w:r>
        <w:r>
          <w:rPr>
            <w:webHidden/>
          </w:rPr>
          <w:fldChar w:fldCharType="begin"/>
        </w:r>
        <w:r>
          <w:rPr>
            <w:webHidden/>
          </w:rPr>
          <w:instrText xml:space="preserve"> PAGEREF _Toc325618425 \h </w:instrText>
        </w:r>
        <w:r>
          <w:rPr>
            <w:webHidden/>
          </w:rPr>
        </w:r>
        <w:r>
          <w:rPr>
            <w:webHidden/>
          </w:rPr>
          <w:fldChar w:fldCharType="separate"/>
        </w:r>
        <w:r>
          <w:rPr>
            <w:webHidden/>
          </w:rPr>
          <w:t>1</w:t>
        </w:r>
        <w:r>
          <w:rPr>
            <w:webHidden/>
          </w:rPr>
          <w:fldChar w:fldCharType="end"/>
        </w:r>
      </w:hyperlink>
    </w:p>
    <w:p w14:paraId="671CAEDE" w14:textId="77777777" w:rsidR="009D3DC8" w:rsidRDefault="009D3DC8">
      <w:pPr>
        <w:pStyle w:val="TOC1"/>
        <w:rPr>
          <w:rFonts w:ascii="Calibri" w:eastAsia="Times New Roman" w:hAnsi="Calibri"/>
          <w:sz w:val="22"/>
          <w:lang w:eastAsia="en-AU"/>
        </w:rPr>
      </w:pPr>
      <w:hyperlink w:anchor="_Toc325618426" w:history="1">
        <w:r>
          <w:rPr>
            <w:rStyle w:val="Hyperlink"/>
            <w:rFonts w:eastAsia="Times New Roman"/>
          </w:rPr>
          <w:t>1</w:t>
        </w:r>
        <w:r>
          <w:rPr>
            <w:rFonts w:ascii="Calibri" w:eastAsia="Times New Roman" w:hAnsi="Calibri"/>
            <w:sz w:val="22"/>
            <w:lang w:eastAsia="en-AU"/>
          </w:rPr>
          <w:tab/>
        </w:r>
        <w:r>
          <w:rPr>
            <w:rStyle w:val="Hyperlink"/>
          </w:rPr>
          <w:t>Introduction</w:t>
        </w:r>
        <w:r>
          <w:rPr>
            <w:webHidden/>
          </w:rPr>
          <w:tab/>
        </w:r>
        <w:r>
          <w:rPr>
            <w:webHidden/>
          </w:rPr>
          <w:fldChar w:fldCharType="begin"/>
        </w:r>
        <w:r>
          <w:rPr>
            <w:webHidden/>
          </w:rPr>
          <w:instrText xml:space="preserve"> PAGEREF _Toc325618426 \h </w:instrText>
        </w:r>
        <w:r>
          <w:rPr>
            <w:webHidden/>
          </w:rPr>
        </w:r>
        <w:r>
          <w:rPr>
            <w:webHidden/>
          </w:rPr>
          <w:fldChar w:fldCharType="separate"/>
        </w:r>
        <w:r>
          <w:rPr>
            <w:webHidden/>
          </w:rPr>
          <w:t>3</w:t>
        </w:r>
        <w:r>
          <w:rPr>
            <w:webHidden/>
          </w:rPr>
          <w:fldChar w:fldCharType="end"/>
        </w:r>
      </w:hyperlink>
    </w:p>
    <w:p w14:paraId="526D6725" w14:textId="77777777" w:rsidR="009D3DC8" w:rsidRDefault="009D3DC8">
      <w:pPr>
        <w:pStyle w:val="TOC2"/>
        <w:rPr>
          <w:rFonts w:eastAsia="Times New Roman"/>
          <w:lang w:eastAsia="en-AU"/>
        </w:rPr>
      </w:pPr>
      <w:hyperlink w:anchor="_Toc325618427" w:history="1">
        <w:r>
          <w:rPr>
            <w:rStyle w:val="Hyperlink"/>
          </w:rPr>
          <w:t>1.1</w:t>
        </w:r>
        <w:r>
          <w:rPr>
            <w:rFonts w:eastAsia="Times New Roman"/>
            <w:lang w:eastAsia="en-AU"/>
          </w:rPr>
          <w:tab/>
        </w:r>
        <w:r>
          <w:rPr>
            <w:rStyle w:val="Hyperlink"/>
          </w:rPr>
          <w:t>Australia’s biosecurity policy framework</w:t>
        </w:r>
        <w:r>
          <w:rPr>
            <w:webHidden/>
          </w:rPr>
          <w:tab/>
        </w:r>
        <w:r>
          <w:rPr>
            <w:webHidden/>
          </w:rPr>
          <w:fldChar w:fldCharType="begin"/>
        </w:r>
        <w:r>
          <w:rPr>
            <w:webHidden/>
          </w:rPr>
          <w:instrText xml:space="preserve"> PAGEREF _Toc325618427 \h </w:instrText>
        </w:r>
        <w:r>
          <w:rPr>
            <w:webHidden/>
          </w:rPr>
        </w:r>
        <w:r>
          <w:rPr>
            <w:webHidden/>
          </w:rPr>
          <w:fldChar w:fldCharType="separate"/>
        </w:r>
        <w:r>
          <w:rPr>
            <w:webHidden/>
          </w:rPr>
          <w:t>3</w:t>
        </w:r>
        <w:r>
          <w:rPr>
            <w:webHidden/>
          </w:rPr>
          <w:fldChar w:fldCharType="end"/>
        </w:r>
      </w:hyperlink>
    </w:p>
    <w:p w14:paraId="4A1AD0E1" w14:textId="77777777" w:rsidR="009D3DC8" w:rsidRDefault="009D3DC8">
      <w:pPr>
        <w:pStyle w:val="TOC2"/>
        <w:rPr>
          <w:rFonts w:ascii="Calibri" w:eastAsia="Times New Roman" w:hAnsi="Calibri" w:cs="Times New Roman"/>
          <w:sz w:val="22"/>
          <w:lang w:eastAsia="en-AU"/>
        </w:rPr>
      </w:pPr>
      <w:hyperlink w:anchor="_Toc325618428" w:history="1">
        <w:r>
          <w:rPr>
            <w:rStyle w:val="Hyperlink"/>
          </w:rPr>
          <w:t>1.2</w:t>
        </w:r>
        <w:r>
          <w:rPr>
            <w:rFonts w:ascii="Calibri" w:eastAsia="Times New Roman" w:hAnsi="Calibri" w:cs="Times New Roman"/>
            <w:sz w:val="22"/>
            <w:lang w:eastAsia="en-AU"/>
          </w:rPr>
          <w:tab/>
        </w:r>
        <w:r>
          <w:rPr>
            <w:rStyle w:val="Hyperlink"/>
          </w:rPr>
          <w:t>This import risk analysis</w:t>
        </w:r>
        <w:r>
          <w:rPr>
            <w:webHidden/>
          </w:rPr>
          <w:tab/>
        </w:r>
        <w:r>
          <w:rPr>
            <w:webHidden/>
          </w:rPr>
          <w:fldChar w:fldCharType="begin"/>
        </w:r>
        <w:r>
          <w:rPr>
            <w:webHidden/>
          </w:rPr>
          <w:instrText xml:space="preserve"> PAGEREF _Toc325618428 \h </w:instrText>
        </w:r>
        <w:r>
          <w:rPr>
            <w:webHidden/>
          </w:rPr>
        </w:r>
        <w:r>
          <w:rPr>
            <w:webHidden/>
          </w:rPr>
          <w:fldChar w:fldCharType="separate"/>
        </w:r>
        <w:r>
          <w:rPr>
            <w:webHidden/>
          </w:rPr>
          <w:t>3</w:t>
        </w:r>
        <w:r>
          <w:rPr>
            <w:webHidden/>
          </w:rPr>
          <w:fldChar w:fldCharType="end"/>
        </w:r>
      </w:hyperlink>
    </w:p>
    <w:p w14:paraId="01CC2ACC" w14:textId="77777777" w:rsidR="009D3DC8" w:rsidRDefault="009D3DC8">
      <w:pPr>
        <w:pStyle w:val="TOC1"/>
        <w:rPr>
          <w:rFonts w:ascii="Calibri" w:eastAsia="Times New Roman" w:hAnsi="Calibri"/>
          <w:sz w:val="22"/>
          <w:lang w:eastAsia="en-AU"/>
        </w:rPr>
      </w:pPr>
      <w:hyperlink w:anchor="_Toc325618429" w:history="1">
        <w:r>
          <w:rPr>
            <w:rStyle w:val="Hyperlink"/>
            <w:rFonts w:eastAsia="Times New Roman"/>
          </w:rPr>
          <w:t>2</w:t>
        </w:r>
        <w:r>
          <w:rPr>
            <w:rFonts w:ascii="Calibri" w:eastAsia="Times New Roman" w:hAnsi="Calibri"/>
            <w:sz w:val="22"/>
            <w:lang w:eastAsia="en-AU"/>
          </w:rPr>
          <w:tab/>
        </w:r>
        <w:r>
          <w:rPr>
            <w:rStyle w:val="Hyperlink"/>
          </w:rPr>
          <w:t>Method for pest risk analysis</w:t>
        </w:r>
        <w:r>
          <w:rPr>
            <w:webHidden/>
          </w:rPr>
          <w:tab/>
        </w:r>
        <w:r>
          <w:rPr>
            <w:webHidden/>
          </w:rPr>
          <w:fldChar w:fldCharType="begin"/>
        </w:r>
        <w:r>
          <w:rPr>
            <w:webHidden/>
          </w:rPr>
          <w:instrText xml:space="preserve"> PAGEREF _Toc325618429 \h </w:instrText>
        </w:r>
        <w:r>
          <w:rPr>
            <w:webHidden/>
          </w:rPr>
        </w:r>
        <w:r>
          <w:rPr>
            <w:webHidden/>
          </w:rPr>
          <w:fldChar w:fldCharType="separate"/>
        </w:r>
        <w:r>
          <w:rPr>
            <w:webHidden/>
          </w:rPr>
          <w:t>7</w:t>
        </w:r>
        <w:r>
          <w:rPr>
            <w:webHidden/>
          </w:rPr>
          <w:fldChar w:fldCharType="end"/>
        </w:r>
      </w:hyperlink>
    </w:p>
    <w:p w14:paraId="10928C89" w14:textId="77777777" w:rsidR="009D3DC8" w:rsidRDefault="009D3DC8">
      <w:pPr>
        <w:pStyle w:val="TOC2"/>
        <w:rPr>
          <w:rFonts w:ascii="Calibri" w:eastAsia="Times New Roman" w:hAnsi="Calibri" w:cs="Times New Roman"/>
          <w:sz w:val="22"/>
          <w:lang w:eastAsia="en-AU"/>
        </w:rPr>
      </w:pPr>
      <w:hyperlink w:anchor="_Toc325618430" w:history="1">
        <w:r>
          <w:rPr>
            <w:rStyle w:val="Hyperlink"/>
          </w:rPr>
          <w:t>2.1</w:t>
        </w:r>
        <w:r>
          <w:rPr>
            <w:rFonts w:ascii="Calibri" w:eastAsia="Times New Roman" w:hAnsi="Calibri" w:cs="Times New Roman"/>
            <w:sz w:val="22"/>
            <w:lang w:eastAsia="en-AU"/>
          </w:rPr>
          <w:tab/>
        </w:r>
        <w:r>
          <w:rPr>
            <w:rStyle w:val="Hyperlink"/>
          </w:rPr>
          <w:t>Stage 1: Initiation</w:t>
        </w:r>
        <w:r>
          <w:rPr>
            <w:webHidden/>
          </w:rPr>
          <w:tab/>
        </w:r>
        <w:r>
          <w:rPr>
            <w:webHidden/>
          </w:rPr>
          <w:fldChar w:fldCharType="begin"/>
        </w:r>
        <w:r>
          <w:rPr>
            <w:webHidden/>
          </w:rPr>
          <w:instrText xml:space="preserve"> PAGEREF _Toc325618430 \h </w:instrText>
        </w:r>
        <w:r>
          <w:rPr>
            <w:webHidden/>
          </w:rPr>
        </w:r>
        <w:r>
          <w:rPr>
            <w:webHidden/>
          </w:rPr>
          <w:fldChar w:fldCharType="separate"/>
        </w:r>
        <w:r>
          <w:rPr>
            <w:webHidden/>
          </w:rPr>
          <w:t>7</w:t>
        </w:r>
        <w:r>
          <w:rPr>
            <w:webHidden/>
          </w:rPr>
          <w:fldChar w:fldCharType="end"/>
        </w:r>
      </w:hyperlink>
    </w:p>
    <w:p w14:paraId="61260EA1" w14:textId="77777777" w:rsidR="009D3DC8" w:rsidRDefault="009D3DC8">
      <w:pPr>
        <w:pStyle w:val="TOC2"/>
        <w:rPr>
          <w:rFonts w:ascii="Calibri" w:eastAsia="Times New Roman" w:hAnsi="Calibri" w:cs="Times New Roman"/>
          <w:sz w:val="22"/>
          <w:lang w:eastAsia="en-AU"/>
        </w:rPr>
      </w:pPr>
      <w:hyperlink w:anchor="_Toc325618431" w:history="1">
        <w:r>
          <w:rPr>
            <w:rStyle w:val="Hyperlink"/>
          </w:rPr>
          <w:t>2.2</w:t>
        </w:r>
        <w:r>
          <w:rPr>
            <w:rFonts w:ascii="Calibri" w:eastAsia="Times New Roman" w:hAnsi="Calibri" w:cs="Times New Roman"/>
            <w:sz w:val="22"/>
            <w:lang w:eastAsia="en-AU"/>
          </w:rPr>
          <w:tab/>
        </w:r>
        <w:r>
          <w:rPr>
            <w:rStyle w:val="Hyperlink"/>
          </w:rPr>
          <w:t>Stage 2: Pest risk assessment</w:t>
        </w:r>
        <w:r>
          <w:rPr>
            <w:webHidden/>
          </w:rPr>
          <w:tab/>
        </w:r>
        <w:r>
          <w:rPr>
            <w:webHidden/>
          </w:rPr>
          <w:fldChar w:fldCharType="begin"/>
        </w:r>
        <w:r>
          <w:rPr>
            <w:webHidden/>
          </w:rPr>
          <w:instrText xml:space="preserve"> PAGEREF _Toc325618431 \h </w:instrText>
        </w:r>
        <w:r>
          <w:rPr>
            <w:webHidden/>
          </w:rPr>
        </w:r>
        <w:r>
          <w:rPr>
            <w:webHidden/>
          </w:rPr>
          <w:fldChar w:fldCharType="separate"/>
        </w:r>
        <w:r>
          <w:rPr>
            <w:webHidden/>
          </w:rPr>
          <w:t>8</w:t>
        </w:r>
        <w:r>
          <w:rPr>
            <w:webHidden/>
          </w:rPr>
          <w:fldChar w:fldCharType="end"/>
        </w:r>
      </w:hyperlink>
    </w:p>
    <w:p w14:paraId="0C0C2370" w14:textId="77777777" w:rsidR="009D3DC8" w:rsidRDefault="009D3DC8">
      <w:pPr>
        <w:pStyle w:val="TOC2"/>
        <w:rPr>
          <w:rFonts w:ascii="Calibri" w:eastAsia="Times New Roman" w:hAnsi="Calibri" w:cs="Times New Roman"/>
          <w:sz w:val="22"/>
          <w:lang w:eastAsia="en-AU"/>
        </w:rPr>
      </w:pPr>
      <w:hyperlink w:anchor="_Toc325618432" w:history="1">
        <w:r>
          <w:rPr>
            <w:rStyle w:val="Hyperlink"/>
          </w:rPr>
          <w:t>2.3</w:t>
        </w:r>
        <w:r>
          <w:rPr>
            <w:rFonts w:ascii="Calibri" w:eastAsia="Times New Roman" w:hAnsi="Calibri" w:cs="Times New Roman"/>
            <w:sz w:val="22"/>
            <w:lang w:eastAsia="en-AU"/>
          </w:rPr>
          <w:tab/>
        </w:r>
        <w:r>
          <w:rPr>
            <w:rStyle w:val="Hyperlink"/>
          </w:rPr>
          <w:t>Stage 3: Pest risk management</w:t>
        </w:r>
        <w:r>
          <w:rPr>
            <w:webHidden/>
          </w:rPr>
          <w:tab/>
        </w:r>
        <w:r>
          <w:rPr>
            <w:webHidden/>
          </w:rPr>
          <w:fldChar w:fldCharType="begin"/>
        </w:r>
        <w:r>
          <w:rPr>
            <w:webHidden/>
          </w:rPr>
          <w:instrText xml:space="preserve"> PAGEREF _Toc325618432 \h </w:instrText>
        </w:r>
        <w:r>
          <w:rPr>
            <w:webHidden/>
          </w:rPr>
        </w:r>
        <w:r>
          <w:rPr>
            <w:webHidden/>
          </w:rPr>
          <w:fldChar w:fldCharType="separate"/>
        </w:r>
        <w:r>
          <w:rPr>
            <w:webHidden/>
          </w:rPr>
          <w:t>15</w:t>
        </w:r>
        <w:r>
          <w:rPr>
            <w:webHidden/>
          </w:rPr>
          <w:fldChar w:fldCharType="end"/>
        </w:r>
      </w:hyperlink>
    </w:p>
    <w:p w14:paraId="48B83736" w14:textId="77777777" w:rsidR="009D3DC8" w:rsidRDefault="009D3DC8">
      <w:pPr>
        <w:pStyle w:val="TOC1"/>
        <w:rPr>
          <w:rFonts w:ascii="Calibri" w:eastAsia="Times New Roman" w:hAnsi="Calibri"/>
          <w:sz w:val="22"/>
          <w:lang w:eastAsia="en-AU"/>
        </w:rPr>
      </w:pPr>
      <w:hyperlink w:anchor="_Toc325618433" w:history="1">
        <w:r>
          <w:rPr>
            <w:rStyle w:val="Hyperlink"/>
            <w:rFonts w:eastAsia="Times New Roman"/>
          </w:rPr>
          <w:t>3</w:t>
        </w:r>
        <w:r>
          <w:rPr>
            <w:rFonts w:ascii="Calibri" w:eastAsia="Times New Roman" w:hAnsi="Calibri"/>
            <w:sz w:val="22"/>
            <w:lang w:eastAsia="en-AU"/>
          </w:rPr>
          <w:tab/>
        </w:r>
        <w:r>
          <w:rPr>
            <w:rStyle w:val="Hyperlink"/>
          </w:rPr>
          <w:t>Indonesia’s commercial production practices for mangosteen fruit</w:t>
        </w:r>
        <w:r>
          <w:rPr>
            <w:webHidden/>
          </w:rPr>
          <w:tab/>
        </w:r>
        <w:r>
          <w:rPr>
            <w:webHidden/>
          </w:rPr>
          <w:fldChar w:fldCharType="begin"/>
        </w:r>
        <w:r>
          <w:rPr>
            <w:webHidden/>
          </w:rPr>
          <w:instrText xml:space="preserve"> PAGEREF _Toc325618433 \h </w:instrText>
        </w:r>
        <w:r>
          <w:rPr>
            <w:webHidden/>
          </w:rPr>
        </w:r>
        <w:r>
          <w:rPr>
            <w:webHidden/>
          </w:rPr>
          <w:fldChar w:fldCharType="separate"/>
        </w:r>
        <w:r>
          <w:rPr>
            <w:webHidden/>
          </w:rPr>
          <w:t>17</w:t>
        </w:r>
        <w:r>
          <w:rPr>
            <w:webHidden/>
          </w:rPr>
          <w:fldChar w:fldCharType="end"/>
        </w:r>
      </w:hyperlink>
    </w:p>
    <w:p w14:paraId="5E2ADCF2" w14:textId="77777777" w:rsidR="009D3DC8" w:rsidRDefault="009D3DC8">
      <w:pPr>
        <w:pStyle w:val="TOC2"/>
        <w:rPr>
          <w:rFonts w:ascii="Calibri" w:eastAsia="Times New Roman" w:hAnsi="Calibri" w:cs="Times New Roman"/>
          <w:sz w:val="22"/>
          <w:lang w:eastAsia="en-AU"/>
        </w:rPr>
      </w:pPr>
      <w:hyperlink w:anchor="_Toc325618434" w:history="1">
        <w:r>
          <w:rPr>
            <w:rStyle w:val="Hyperlink"/>
          </w:rPr>
          <w:t>3.1</w:t>
        </w:r>
        <w:r>
          <w:rPr>
            <w:rFonts w:ascii="Calibri" w:eastAsia="Times New Roman" w:hAnsi="Calibri" w:cs="Times New Roman"/>
            <w:sz w:val="22"/>
            <w:lang w:eastAsia="en-AU"/>
          </w:rPr>
          <w:tab/>
        </w:r>
        <w:r>
          <w:rPr>
            <w:rStyle w:val="Hyperlink"/>
          </w:rPr>
          <w:t>Assumptions used in estimating unrestricted risk</w:t>
        </w:r>
        <w:r>
          <w:rPr>
            <w:webHidden/>
          </w:rPr>
          <w:tab/>
        </w:r>
        <w:r>
          <w:rPr>
            <w:webHidden/>
          </w:rPr>
          <w:fldChar w:fldCharType="begin"/>
        </w:r>
        <w:r>
          <w:rPr>
            <w:webHidden/>
          </w:rPr>
          <w:instrText xml:space="preserve"> PAGEREF _Toc325618434 \h </w:instrText>
        </w:r>
        <w:r>
          <w:rPr>
            <w:webHidden/>
          </w:rPr>
        </w:r>
        <w:r>
          <w:rPr>
            <w:webHidden/>
          </w:rPr>
          <w:fldChar w:fldCharType="separate"/>
        </w:r>
        <w:r>
          <w:rPr>
            <w:webHidden/>
          </w:rPr>
          <w:t>17</w:t>
        </w:r>
        <w:r>
          <w:rPr>
            <w:webHidden/>
          </w:rPr>
          <w:fldChar w:fldCharType="end"/>
        </w:r>
      </w:hyperlink>
    </w:p>
    <w:p w14:paraId="2D6B10F3" w14:textId="77777777" w:rsidR="009D3DC8" w:rsidRDefault="009D3DC8">
      <w:pPr>
        <w:pStyle w:val="TOC2"/>
        <w:rPr>
          <w:rFonts w:ascii="Calibri" w:eastAsia="Times New Roman" w:hAnsi="Calibri" w:cs="Times New Roman"/>
          <w:sz w:val="22"/>
          <w:lang w:eastAsia="en-AU"/>
        </w:rPr>
      </w:pPr>
      <w:hyperlink w:anchor="_Toc325618435" w:history="1">
        <w:r>
          <w:rPr>
            <w:rStyle w:val="Hyperlink"/>
          </w:rPr>
          <w:t>3.2</w:t>
        </w:r>
        <w:r>
          <w:rPr>
            <w:rFonts w:ascii="Calibri" w:eastAsia="Times New Roman" w:hAnsi="Calibri" w:cs="Times New Roman"/>
            <w:sz w:val="22"/>
            <w:lang w:eastAsia="en-AU"/>
          </w:rPr>
          <w:tab/>
        </w:r>
        <w:r>
          <w:rPr>
            <w:rStyle w:val="Hyperlink"/>
          </w:rPr>
          <w:t>Climate in production areas</w:t>
        </w:r>
        <w:r>
          <w:rPr>
            <w:webHidden/>
          </w:rPr>
          <w:tab/>
        </w:r>
        <w:r>
          <w:rPr>
            <w:webHidden/>
          </w:rPr>
          <w:fldChar w:fldCharType="begin"/>
        </w:r>
        <w:r>
          <w:rPr>
            <w:webHidden/>
          </w:rPr>
          <w:instrText xml:space="preserve"> PAGEREF _Toc325618435 \h </w:instrText>
        </w:r>
        <w:r>
          <w:rPr>
            <w:webHidden/>
          </w:rPr>
        </w:r>
        <w:r>
          <w:rPr>
            <w:webHidden/>
          </w:rPr>
          <w:fldChar w:fldCharType="separate"/>
        </w:r>
        <w:r>
          <w:rPr>
            <w:webHidden/>
          </w:rPr>
          <w:t>18</w:t>
        </w:r>
        <w:r>
          <w:rPr>
            <w:webHidden/>
          </w:rPr>
          <w:fldChar w:fldCharType="end"/>
        </w:r>
      </w:hyperlink>
    </w:p>
    <w:p w14:paraId="7F75F65E" w14:textId="77777777" w:rsidR="009D3DC8" w:rsidRDefault="009D3DC8">
      <w:pPr>
        <w:pStyle w:val="TOC2"/>
        <w:rPr>
          <w:rFonts w:ascii="Calibri" w:eastAsia="Times New Roman" w:hAnsi="Calibri" w:cs="Times New Roman"/>
          <w:sz w:val="22"/>
          <w:lang w:eastAsia="en-AU"/>
        </w:rPr>
      </w:pPr>
      <w:hyperlink w:anchor="_Toc325618436" w:history="1">
        <w:r>
          <w:rPr>
            <w:rStyle w:val="Hyperlink"/>
          </w:rPr>
          <w:t>3.3</w:t>
        </w:r>
        <w:r>
          <w:rPr>
            <w:rFonts w:ascii="Calibri" w:eastAsia="Times New Roman" w:hAnsi="Calibri" w:cs="Times New Roman"/>
            <w:sz w:val="22"/>
            <w:lang w:eastAsia="en-AU"/>
          </w:rPr>
          <w:tab/>
        </w:r>
        <w:r>
          <w:rPr>
            <w:rStyle w:val="Hyperlink"/>
          </w:rPr>
          <w:t>Pre-harvest</w:t>
        </w:r>
        <w:r>
          <w:rPr>
            <w:webHidden/>
          </w:rPr>
          <w:tab/>
        </w:r>
        <w:r>
          <w:rPr>
            <w:webHidden/>
          </w:rPr>
          <w:fldChar w:fldCharType="begin"/>
        </w:r>
        <w:r>
          <w:rPr>
            <w:webHidden/>
          </w:rPr>
          <w:instrText xml:space="preserve"> PAGEREF _Toc325618436 \h </w:instrText>
        </w:r>
        <w:r>
          <w:rPr>
            <w:webHidden/>
          </w:rPr>
        </w:r>
        <w:r>
          <w:rPr>
            <w:webHidden/>
          </w:rPr>
          <w:fldChar w:fldCharType="separate"/>
        </w:r>
        <w:r>
          <w:rPr>
            <w:webHidden/>
          </w:rPr>
          <w:t>18</w:t>
        </w:r>
        <w:r>
          <w:rPr>
            <w:webHidden/>
          </w:rPr>
          <w:fldChar w:fldCharType="end"/>
        </w:r>
      </w:hyperlink>
    </w:p>
    <w:p w14:paraId="6B7967E9" w14:textId="77777777" w:rsidR="009D3DC8" w:rsidRDefault="009D3DC8">
      <w:pPr>
        <w:pStyle w:val="TOC2"/>
        <w:rPr>
          <w:rFonts w:ascii="Calibri" w:eastAsia="Times New Roman" w:hAnsi="Calibri" w:cs="Times New Roman"/>
          <w:sz w:val="22"/>
          <w:lang w:eastAsia="en-AU"/>
        </w:rPr>
      </w:pPr>
      <w:hyperlink w:anchor="_Toc325618437" w:history="1">
        <w:r>
          <w:rPr>
            <w:rStyle w:val="Hyperlink"/>
          </w:rPr>
          <w:t>3.4</w:t>
        </w:r>
        <w:r>
          <w:rPr>
            <w:rFonts w:ascii="Calibri" w:eastAsia="Times New Roman" w:hAnsi="Calibri" w:cs="Times New Roman"/>
            <w:sz w:val="22"/>
            <w:lang w:eastAsia="en-AU"/>
          </w:rPr>
          <w:tab/>
        </w:r>
        <w:r>
          <w:rPr>
            <w:rStyle w:val="Hyperlink"/>
          </w:rPr>
          <w:t>Harvesting and handling procedures</w:t>
        </w:r>
        <w:r>
          <w:rPr>
            <w:webHidden/>
          </w:rPr>
          <w:tab/>
        </w:r>
        <w:r>
          <w:rPr>
            <w:webHidden/>
          </w:rPr>
          <w:fldChar w:fldCharType="begin"/>
        </w:r>
        <w:r>
          <w:rPr>
            <w:webHidden/>
          </w:rPr>
          <w:instrText xml:space="preserve"> PAGEREF _Toc325618437 \h </w:instrText>
        </w:r>
        <w:r>
          <w:rPr>
            <w:webHidden/>
          </w:rPr>
        </w:r>
        <w:r>
          <w:rPr>
            <w:webHidden/>
          </w:rPr>
          <w:fldChar w:fldCharType="separate"/>
        </w:r>
        <w:r>
          <w:rPr>
            <w:webHidden/>
          </w:rPr>
          <w:t>22</w:t>
        </w:r>
        <w:r>
          <w:rPr>
            <w:webHidden/>
          </w:rPr>
          <w:fldChar w:fldCharType="end"/>
        </w:r>
      </w:hyperlink>
    </w:p>
    <w:p w14:paraId="2B9447E9" w14:textId="77777777" w:rsidR="009D3DC8" w:rsidRDefault="009D3DC8">
      <w:pPr>
        <w:pStyle w:val="TOC2"/>
        <w:rPr>
          <w:rFonts w:ascii="Calibri" w:eastAsia="Times New Roman" w:hAnsi="Calibri" w:cs="Times New Roman"/>
          <w:sz w:val="22"/>
          <w:lang w:eastAsia="en-AU"/>
        </w:rPr>
      </w:pPr>
      <w:hyperlink w:anchor="_Toc325618438" w:history="1">
        <w:r>
          <w:rPr>
            <w:rStyle w:val="Hyperlink"/>
          </w:rPr>
          <w:t>3.5</w:t>
        </w:r>
        <w:r>
          <w:rPr>
            <w:rFonts w:ascii="Calibri" w:eastAsia="Times New Roman" w:hAnsi="Calibri" w:cs="Times New Roman"/>
            <w:sz w:val="22"/>
            <w:lang w:eastAsia="en-AU"/>
          </w:rPr>
          <w:tab/>
        </w:r>
        <w:r>
          <w:rPr>
            <w:rStyle w:val="Hyperlink"/>
          </w:rPr>
          <w:t>Post-harvest</w:t>
        </w:r>
        <w:r>
          <w:rPr>
            <w:webHidden/>
          </w:rPr>
          <w:tab/>
        </w:r>
        <w:r>
          <w:rPr>
            <w:webHidden/>
          </w:rPr>
          <w:fldChar w:fldCharType="begin"/>
        </w:r>
        <w:r>
          <w:rPr>
            <w:webHidden/>
          </w:rPr>
          <w:instrText xml:space="preserve"> PAGEREF _Toc325618438 \h </w:instrText>
        </w:r>
        <w:r>
          <w:rPr>
            <w:webHidden/>
          </w:rPr>
        </w:r>
        <w:r>
          <w:rPr>
            <w:webHidden/>
          </w:rPr>
          <w:fldChar w:fldCharType="separate"/>
        </w:r>
        <w:r>
          <w:rPr>
            <w:webHidden/>
          </w:rPr>
          <w:t>24</w:t>
        </w:r>
        <w:r>
          <w:rPr>
            <w:webHidden/>
          </w:rPr>
          <w:fldChar w:fldCharType="end"/>
        </w:r>
      </w:hyperlink>
    </w:p>
    <w:p w14:paraId="72978FA1" w14:textId="77777777" w:rsidR="009D3DC8" w:rsidRDefault="009D3DC8">
      <w:pPr>
        <w:pStyle w:val="TOC2"/>
        <w:rPr>
          <w:rFonts w:ascii="Calibri" w:eastAsia="Times New Roman" w:hAnsi="Calibri" w:cs="Times New Roman"/>
          <w:sz w:val="22"/>
          <w:lang w:eastAsia="en-AU"/>
        </w:rPr>
      </w:pPr>
      <w:hyperlink w:anchor="_Toc325618439" w:history="1">
        <w:r>
          <w:rPr>
            <w:rStyle w:val="Hyperlink"/>
          </w:rPr>
          <w:t>3.6</w:t>
        </w:r>
        <w:r>
          <w:rPr>
            <w:rFonts w:ascii="Calibri" w:eastAsia="Times New Roman" w:hAnsi="Calibri" w:cs="Times New Roman"/>
            <w:sz w:val="22"/>
            <w:lang w:eastAsia="en-AU"/>
          </w:rPr>
          <w:tab/>
        </w:r>
        <w:r>
          <w:rPr>
            <w:rStyle w:val="Hyperlink"/>
          </w:rPr>
          <w:t>Production and export statistics</w:t>
        </w:r>
        <w:r>
          <w:rPr>
            <w:webHidden/>
          </w:rPr>
          <w:tab/>
        </w:r>
        <w:r>
          <w:rPr>
            <w:webHidden/>
          </w:rPr>
          <w:fldChar w:fldCharType="begin"/>
        </w:r>
        <w:r>
          <w:rPr>
            <w:webHidden/>
          </w:rPr>
          <w:instrText xml:space="preserve"> PAGEREF _Toc325618439 \h </w:instrText>
        </w:r>
        <w:r>
          <w:rPr>
            <w:webHidden/>
          </w:rPr>
        </w:r>
        <w:r>
          <w:rPr>
            <w:webHidden/>
          </w:rPr>
          <w:fldChar w:fldCharType="separate"/>
        </w:r>
        <w:r>
          <w:rPr>
            <w:webHidden/>
          </w:rPr>
          <w:t>28</w:t>
        </w:r>
        <w:r>
          <w:rPr>
            <w:webHidden/>
          </w:rPr>
          <w:fldChar w:fldCharType="end"/>
        </w:r>
      </w:hyperlink>
    </w:p>
    <w:p w14:paraId="3B6E1976" w14:textId="77777777" w:rsidR="009D3DC8" w:rsidRDefault="009D3DC8">
      <w:pPr>
        <w:pStyle w:val="TOC1"/>
        <w:rPr>
          <w:rFonts w:ascii="Calibri" w:eastAsia="Times New Roman" w:hAnsi="Calibri"/>
          <w:sz w:val="22"/>
          <w:lang w:eastAsia="en-AU"/>
        </w:rPr>
      </w:pPr>
      <w:hyperlink w:anchor="_Toc325618440" w:history="1">
        <w:r>
          <w:rPr>
            <w:rStyle w:val="Hyperlink"/>
            <w:rFonts w:eastAsia="Times New Roman"/>
          </w:rPr>
          <w:t>4</w:t>
        </w:r>
        <w:r>
          <w:rPr>
            <w:rFonts w:ascii="Calibri" w:eastAsia="Times New Roman" w:hAnsi="Calibri"/>
            <w:sz w:val="22"/>
            <w:lang w:eastAsia="en-AU"/>
          </w:rPr>
          <w:tab/>
        </w:r>
        <w:r>
          <w:rPr>
            <w:rStyle w:val="Hyperlink"/>
          </w:rPr>
          <w:t>Pest risk assessments for quarantine pests</w:t>
        </w:r>
        <w:r>
          <w:rPr>
            <w:webHidden/>
          </w:rPr>
          <w:tab/>
        </w:r>
        <w:r>
          <w:rPr>
            <w:webHidden/>
          </w:rPr>
          <w:fldChar w:fldCharType="begin"/>
        </w:r>
        <w:r>
          <w:rPr>
            <w:webHidden/>
          </w:rPr>
          <w:instrText xml:space="preserve"> PAGEREF _Toc325618440 \h </w:instrText>
        </w:r>
        <w:r>
          <w:rPr>
            <w:webHidden/>
          </w:rPr>
        </w:r>
        <w:r>
          <w:rPr>
            <w:webHidden/>
          </w:rPr>
          <w:fldChar w:fldCharType="separate"/>
        </w:r>
        <w:r>
          <w:rPr>
            <w:webHidden/>
          </w:rPr>
          <w:t>29</w:t>
        </w:r>
        <w:r>
          <w:rPr>
            <w:webHidden/>
          </w:rPr>
          <w:fldChar w:fldCharType="end"/>
        </w:r>
      </w:hyperlink>
    </w:p>
    <w:p w14:paraId="09D39505" w14:textId="77777777" w:rsidR="009D3DC8" w:rsidRDefault="009D3DC8">
      <w:pPr>
        <w:pStyle w:val="TOC2"/>
        <w:rPr>
          <w:rFonts w:ascii="Calibri" w:eastAsia="Times New Roman" w:hAnsi="Calibri" w:cs="Times New Roman"/>
          <w:sz w:val="22"/>
          <w:lang w:eastAsia="en-AU"/>
        </w:rPr>
      </w:pPr>
      <w:hyperlink w:anchor="_Toc325618441" w:history="1">
        <w:r>
          <w:rPr>
            <w:rStyle w:val="Hyperlink"/>
          </w:rPr>
          <w:t>4.1</w:t>
        </w:r>
        <w:r>
          <w:rPr>
            <w:rFonts w:ascii="Calibri" w:eastAsia="Times New Roman" w:hAnsi="Calibri" w:cs="Times New Roman"/>
            <w:sz w:val="22"/>
            <w:lang w:eastAsia="en-AU"/>
          </w:rPr>
          <w:tab/>
        </w:r>
        <w:r>
          <w:rPr>
            <w:rStyle w:val="Hyperlink"/>
          </w:rPr>
          <w:t>Spider mites [Prostigmata: Tetranychidae]</w:t>
        </w:r>
        <w:r>
          <w:rPr>
            <w:webHidden/>
          </w:rPr>
          <w:tab/>
        </w:r>
        <w:r>
          <w:rPr>
            <w:webHidden/>
          </w:rPr>
          <w:fldChar w:fldCharType="begin"/>
        </w:r>
        <w:r>
          <w:rPr>
            <w:webHidden/>
          </w:rPr>
          <w:instrText xml:space="preserve"> PAGEREF _Toc325618441 \h </w:instrText>
        </w:r>
        <w:r>
          <w:rPr>
            <w:webHidden/>
          </w:rPr>
        </w:r>
        <w:r>
          <w:rPr>
            <w:webHidden/>
          </w:rPr>
          <w:fldChar w:fldCharType="separate"/>
        </w:r>
        <w:r>
          <w:rPr>
            <w:webHidden/>
          </w:rPr>
          <w:t>31</w:t>
        </w:r>
        <w:r>
          <w:rPr>
            <w:webHidden/>
          </w:rPr>
          <w:fldChar w:fldCharType="end"/>
        </w:r>
      </w:hyperlink>
    </w:p>
    <w:p w14:paraId="1508896E" w14:textId="77777777" w:rsidR="009D3DC8" w:rsidRDefault="009D3DC8">
      <w:pPr>
        <w:pStyle w:val="TOC2"/>
        <w:rPr>
          <w:rFonts w:ascii="Calibri" w:eastAsia="Times New Roman" w:hAnsi="Calibri" w:cs="Times New Roman"/>
          <w:sz w:val="22"/>
          <w:lang w:eastAsia="en-AU"/>
        </w:rPr>
      </w:pPr>
      <w:hyperlink w:anchor="_Toc325618442" w:history="1">
        <w:r>
          <w:rPr>
            <w:rStyle w:val="Hyperlink"/>
          </w:rPr>
          <w:t>4.2</w:t>
        </w:r>
        <w:r>
          <w:rPr>
            <w:rFonts w:ascii="Calibri" w:eastAsia="Times New Roman" w:hAnsi="Calibri" w:cs="Times New Roman"/>
            <w:sz w:val="22"/>
            <w:lang w:eastAsia="en-AU"/>
          </w:rPr>
          <w:tab/>
        </w:r>
        <w:r>
          <w:rPr>
            <w:rStyle w:val="Hyperlink"/>
          </w:rPr>
          <w:t>Weevils [Coleoptera: Curculionidae]</w:t>
        </w:r>
        <w:r>
          <w:rPr>
            <w:webHidden/>
          </w:rPr>
          <w:tab/>
        </w:r>
        <w:r>
          <w:rPr>
            <w:webHidden/>
          </w:rPr>
          <w:fldChar w:fldCharType="begin"/>
        </w:r>
        <w:r>
          <w:rPr>
            <w:webHidden/>
          </w:rPr>
          <w:instrText xml:space="preserve"> PAGEREF _Toc325618442 \h </w:instrText>
        </w:r>
        <w:r>
          <w:rPr>
            <w:webHidden/>
          </w:rPr>
        </w:r>
        <w:r>
          <w:rPr>
            <w:webHidden/>
          </w:rPr>
          <w:fldChar w:fldCharType="separate"/>
        </w:r>
        <w:r>
          <w:rPr>
            <w:webHidden/>
          </w:rPr>
          <w:t>36</w:t>
        </w:r>
        <w:r>
          <w:rPr>
            <w:webHidden/>
          </w:rPr>
          <w:fldChar w:fldCharType="end"/>
        </w:r>
      </w:hyperlink>
    </w:p>
    <w:p w14:paraId="038D05AD" w14:textId="77777777" w:rsidR="009D3DC8" w:rsidRDefault="009D3DC8">
      <w:pPr>
        <w:pStyle w:val="TOC2"/>
        <w:rPr>
          <w:rFonts w:ascii="Calibri" w:eastAsia="Times New Roman" w:hAnsi="Calibri" w:cs="Times New Roman"/>
          <w:sz w:val="22"/>
          <w:lang w:eastAsia="en-AU"/>
        </w:rPr>
      </w:pPr>
      <w:hyperlink w:anchor="_Toc325618443" w:history="1">
        <w:r>
          <w:rPr>
            <w:rStyle w:val="Hyperlink"/>
          </w:rPr>
          <w:t>4.3</w:t>
        </w:r>
        <w:r>
          <w:rPr>
            <w:rFonts w:ascii="Calibri" w:eastAsia="Times New Roman" w:hAnsi="Calibri" w:cs="Times New Roman"/>
            <w:sz w:val="22"/>
            <w:lang w:eastAsia="en-AU"/>
          </w:rPr>
          <w:tab/>
        </w:r>
        <w:r>
          <w:rPr>
            <w:rStyle w:val="Hyperlink"/>
          </w:rPr>
          <w:t>Fruit flies [Diptera: Tephritidae]</w:t>
        </w:r>
        <w:r>
          <w:rPr>
            <w:webHidden/>
          </w:rPr>
          <w:tab/>
        </w:r>
        <w:r>
          <w:rPr>
            <w:webHidden/>
          </w:rPr>
          <w:fldChar w:fldCharType="begin"/>
        </w:r>
        <w:r>
          <w:rPr>
            <w:webHidden/>
          </w:rPr>
          <w:instrText xml:space="preserve"> PAGEREF _Toc325618443 \h </w:instrText>
        </w:r>
        <w:r>
          <w:rPr>
            <w:webHidden/>
          </w:rPr>
        </w:r>
        <w:r>
          <w:rPr>
            <w:webHidden/>
          </w:rPr>
          <w:fldChar w:fldCharType="separate"/>
        </w:r>
        <w:r>
          <w:rPr>
            <w:webHidden/>
          </w:rPr>
          <w:t>41</w:t>
        </w:r>
        <w:r>
          <w:rPr>
            <w:webHidden/>
          </w:rPr>
          <w:fldChar w:fldCharType="end"/>
        </w:r>
      </w:hyperlink>
    </w:p>
    <w:p w14:paraId="541F609D" w14:textId="77777777" w:rsidR="009D3DC8" w:rsidRDefault="009D3DC8">
      <w:pPr>
        <w:pStyle w:val="TOC2"/>
        <w:rPr>
          <w:rFonts w:ascii="Calibri" w:eastAsia="Times New Roman" w:hAnsi="Calibri" w:cs="Times New Roman"/>
          <w:sz w:val="22"/>
          <w:lang w:eastAsia="en-AU"/>
        </w:rPr>
      </w:pPr>
      <w:hyperlink w:anchor="_Toc325618444" w:history="1">
        <w:r>
          <w:rPr>
            <w:rStyle w:val="Hyperlink"/>
          </w:rPr>
          <w:t>4.4</w:t>
        </w:r>
        <w:r>
          <w:rPr>
            <w:rFonts w:ascii="Calibri" w:eastAsia="Times New Roman" w:hAnsi="Calibri" w:cs="Times New Roman"/>
            <w:sz w:val="22"/>
            <w:lang w:eastAsia="en-AU"/>
          </w:rPr>
          <w:tab/>
        </w:r>
        <w:r>
          <w:rPr>
            <w:rStyle w:val="Hyperlink"/>
          </w:rPr>
          <w:t>Soft scales [Hemiptera: Coccidae]</w:t>
        </w:r>
        <w:r>
          <w:rPr>
            <w:webHidden/>
          </w:rPr>
          <w:tab/>
        </w:r>
        <w:r>
          <w:rPr>
            <w:webHidden/>
          </w:rPr>
          <w:fldChar w:fldCharType="begin"/>
        </w:r>
        <w:r>
          <w:rPr>
            <w:webHidden/>
          </w:rPr>
          <w:instrText xml:space="preserve"> PAGEREF _Toc325618444 \h </w:instrText>
        </w:r>
        <w:r>
          <w:rPr>
            <w:webHidden/>
          </w:rPr>
        </w:r>
        <w:r>
          <w:rPr>
            <w:webHidden/>
          </w:rPr>
          <w:fldChar w:fldCharType="separate"/>
        </w:r>
        <w:r>
          <w:rPr>
            <w:webHidden/>
          </w:rPr>
          <w:t>46</w:t>
        </w:r>
        <w:r>
          <w:rPr>
            <w:webHidden/>
          </w:rPr>
          <w:fldChar w:fldCharType="end"/>
        </w:r>
      </w:hyperlink>
    </w:p>
    <w:p w14:paraId="52CA4BAA" w14:textId="77777777" w:rsidR="009D3DC8" w:rsidRDefault="009D3DC8">
      <w:pPr>
        <w:pStyle w:val="TOC2"/>
        <w:rPr>
          <w:rFonts w:ascii="Calibri" w:eastAsia="Times New Roman" w:hAnsi="Calibri" w:cs="Times New Roman"/>
          <w:sz w:val="22"/>
          <w:lang w:eastAsia="en-AU"/>
        </w:rPr>
      </w:pPr>
      <w:hyperlink w:anchor="_Toc325618445" w:history="1">
        <w:r>
          <w:rPr>
            <w:rStyle w:val="Hyperlink"/>
          </w:rPr>
          <w:t>4.5</w:t>
        </w:r>
        <w:r>
          <w:rPr>
            <w:rFonts w:ascii="Calibri" w:eastAsia="Times New Roman" w:hAnsi="Calibri" w:cs="Times New Roman"/>
            <w:sz w:val="22"/>
            <w:lang w:eastAsia="en-AU"/>
          </w:rPr>
          <w:tab/>
        </w:r>
        <w:r>
          <w:rPr>
            <w:rStyle w:val="Hyperlink"/>
          </w:rPr>
          <w:t>Armoured scales [Hemiptera: Diaspididae]</w:t>
        </w:r>
        <w:r>
          <w:rPr>
            <w:webHidden/>
          </w:rPr>
          <w:tab/>
        </w:r>
        <w:r>
          <w:rPr>
            <w:webHidden/>
          </w:rPr>
          <w:fldChar w:fldCharType="begin"/>
        </w:r>
        <w:r>
          <w:rPr>
            <w:webHidden/>
          </w:rPr>
          <w:instrText xml:space="preserve"> PAGEREF _Toc325618445 \h </w:instrText>
        </w:r>
        <w:r>
          <w:rPr>
            <w:webHidden/>
          </w:rPr>
        </w:r>
        <w:r>
          <w:rPr>
            <w:webHidden/>
          </w:rPr>
          <w:fldChar w:fldCharType="separate"/>
        </w:r>
        <w:r>
          <w:rPr>
            <w:webHidden/>
          </w:rPr>
          <w:t>51</w:t>
        </w:r>
        <w:r>
          <w:rPr>
            <w:webHidden/>
          </w:rPr>
          <w:fldChar w:fldCharType="end"/>
        </w:r>
      </w:hyperlink>
    </w:p>
    <w:p w14:paraId="35C5906D" w14:textId="77777777" w:rsidR="009D3DC8" w:rsidRDefault="009D3DC8">
      <w:pPr>
        <w:pStyle w:val="TOC2"/>
        <w:rPr>
          <w:rFonts w:ascii="Calibri" w:eastAsia="Times New Roman" w:hAnsi="Calibri" w:cs="Times New Roman"/>
          <w:sz w:val="22"/>
          <w:lang w:eastAsia="en-AU"/>
        </w:rPr>
      </w:pPr>
      <w:hyperlink w:anchor="_Toc325618446" w:history="1">
        <w:r>
          <w:rPr>
            <w:rStyle w:val="Hyperlink"/>
          </w:rPr>
          <w:t>4.6</w:t>
        </w:r>
        <w:r>
          <w:rPr>
            <w:rFonts w:ascii="Calibri" w:eastAsia="Times New Roman" w:hAnsi="Calibri" w:cs="Times New Roman"/>
            <w:sz w:val="22"/>
            <w:lang w:eastAsia="en-AU"/>
          </w:rPr>
          <w:tab/>
        </w:r>
        <w:r>
          <w:rPr>
            <w:rStyle w:val="Hyperlink"/>
          </w:rPr>
          <w:t>Mealybugs [Hemiptera: Pseudococcidae]</w:t>
        </w:r>
        <w:r>
          <w:rPr>
            <w:webHidden/>
          </w:rPr>
          <w:tab/>
        </w:r>
        <w:r>
          <w:rPr>
            <w:webHidden/>
          </w:rPr>
          <w:fldChar w:fldCharType="begin"/>
        </w:r>
        <w:r>
          <w:rPr>
            <w:webHidden/>
          </w:rPr>
          <w:instrText xml:space="preserve"> PAGEREF _Toc325618446 \h </w:instrText>
        </w:r>
        <w:r>
          <w:rPr>
            <w:webHidden/>
          </w:rPr>
        </w:r>
        <w:r>
          <w:rPr>
            <w:webHidden/>
          </w:rPr>
          <w:fldChar w:fldCharType="separate"/>
        </w:r>
        <w:r>
          <w:rPr>
            <w:webHidden/>
          </w:rPr>
          <w:t>57</w:t>
        </w:r>
        <w:r>
          <w:rPr>
            <w:webHidden/>
          </w:rPr>
          <w:fldChar w:fldCharType="end"/>
        </w:r>
      </w:hyperlink>
    </w:p>
    <w:p w14:paraId="77426D00" w14:textId="77777777" w:rsidR="009D3DC8" w:rsidRDefault="009D3DC8">
      <w:pPr>
        <w:pStyle w:val="TOC2"/>
        <w:rPr>
          <w:rFonts w:ascii="Calibri" w:eastAsia="Times New Roman" w:hAnsi="Calibri" w:cs="Times New Roman"/>
          <w:sz w:val="22"/>
          <w:lang w:eastAsia="en-AU"/>
        </w:rPr>
      </w:pPr>
      <w:hyperlink w:anchor="_Toc325618447" w:history="1">
        <w:r>
          <w:rPr>
            <w:rStyle w:val="Hyperlink"/>
          </w:rPr>
          <w:t>4.7</w:t>
        </w:r>
        <w:r>
          <w:rPr>
            <w:rFonts w:ascii="Calibri" w:eastAsia="Times New Roman" w:hAnsi="Calibri" w:cs="Times New Roman"/>
            <w:sz w:val="22"/>
            <w:lang w:eastAsia="en-AU"/>
          </w:rPr>
          <w:tab/>
        </w:r>
        <w:r>
          <w:rPr>
            <w:rStyle w:val="Hyperlink"/>
          </w:rPr>
          <w:t>Ants [Hymenoptera: Formicidae]</w:t>
        </w:r>
        <w:r>
          <w:rPr>
            <w:webHidden/>
          </w:rPr>
          <w:tab/>
        </w:r>
        <w:r>
          <w:rPr>
            <w:webHidden/>
          </w:rPr>
          <w:fldChar w:fldCharType="begin"/>
        </w:r>
        <w:r>
          <w:rPr>
            <w:webHidden/>
          </w:rPr>
          <w:instrText xml:space="preserve"> PAGEREF _Toc325618447 \h </w:instrText>
        </w:r>
        <w:r>
          <w:rPr>
            <w:webHidden/>
          </w:rPr>
        </w:r>
        <w:r>
          <w:rPr>
            <w:webHidden/>
          </w:rPr>
          <w:fldChar w:fldCharType="separate"/>
        </w:r>
        <w:r>
          <w:rPr>
            <w:webHidden/>
          </w:rPr>
          <w:t>62</w:t>
        </w:r>
        <w:r>
          <w:rPr>
            <w:webHidden/>
          </w:rPr>
          <w:fldChar w:fldCharType="end"/>
        </w:r>
      </w:hyperlink>
    </w:p>
    <w:p w14:paraId="4A5C9D2C" w14:textId="77777777" w:rsidR="009D3DC8" w:rsidRDefault="009D3DC8">
      <w:pPr>
        <w:pStyle w:val="TOC2"/>
        <w:rPr>
          <w:rFonts w:ascii="Calibri" w:eastAsia="Times New Roman" w:hAnsi="Calibri" w:cs="Times New Roman"/>
          <w:sz w:val="22"/>
          <w:lang w:eastAsia="en-AU"/>
        </w:rPr>
      </w:pPr>
      <w:hyperlink w:anchor="_Toc325618448" w:history="1">
        <w:r>
          <w:rPr>
            <w:rStyle w:val="Hyperlink"/>
          </w:rPr>
          <w:t>4.8</w:t>
        </w:r>
        <w:r>
          <w:rPr>
            <w:rFonts w:ascii="Calibri" w:eastAsia="Times New Roman" w:hAnsi="Calibri" w:cs="Times New Roman"/>
            <w:sz w:val="22"/>
            <w:lang w:eastAsia="en-AU"/>
          </w:rPr>
          <w:tab/>
        </w:r>
        <w:r>
          <w:rPr>
            <w:rStyle w:val="Hyperlink"/>
          </w:rPr>
          <w:t>Pest risk assessment conclusions</w:t>
        </w:r>
        <w:r>
          <w:rPr>
            <w:webHidden/>
          </w:rPr>
          <w:tab/>
        </w:r>
        <w:r>
          <w:rPr>
            <w:webHidden/>
          </w:rPr>
          <w:fldChar w:fldCharType="begin"/>
        </w:r>
        <w:r>
          <w:rPr>
            <w:webHidden/>
          </w:rPr>
          <w:instrText xml:space="preserve"> PAGEREF _Toc325618448 \h </w:instrText>
        </w:r>
        <w:r>
          <w:rPr>
            <w:webHidden/>
          </w:rPr>
        </w:r>
        <w:r>
          <w:rPr>
            <w:webHidden/>
          </w:rPr>
          <w:fldChar w:fldCharType="separate"/>
        </w:r>
        <w:r>
          <w:rPr>
            <w:webHidden/>
          </w:rPr>
          <w:t>68</w:t>
        </w:r>
        <w:r>
          <w:rPr>
            <w:webHidden/>
          </w:rPr>
          <w:fldChar w:fldCharType="end"/>
        </w:r>
      </w:hyperlink>
    </w:p>
    <w:p w14:paraId="5E068AB5" w14:textId="77777777" w:rsidR="009D3DC8" w:rsidRDefault="009D3DC8">
      <w:pPr>
        <w:pStyle w:val="TOC1"/>
        <w:rPr>
          <w:rFonts w:ascii="Calibri" w:eastAsia="Times New Roman" w:hAnsi="Calibri"/>
          <w:sz w:val="22"/>
          <w:lang w:eastAsia="en-AU"/>
        </w:rPr>
      </w:pPr>
      <w:hyperlink w:anchor="_Toc325618449" w:history="1">
        <w:r>
          <w:rPr>
            <w:rStyle w:val="Hyperlink"/>
            <w:rFonts w:eastAsia="Times New Roman"/>
          </w:rPr>
          <w:t>5</w:t>
        </w:r>
        <w:r>
          <w:rPr>
            <w:rFonts w:ascii="Calibri" w:eastAsia="Times New Roman" w:hAnsi="Calibri"/>
            <w:sz w:val="22"/>
            <w:lang w:eastAsia="en-AU"/>
          </w:rPr>
          <w:tab/>
        </w:r>
        <w:r>
          <w:rPr>
            <w:rStyle w:val="Hyperlink"/>
          </w:rPr>
          <w:t>Pest risk management</w:t>
        </w:r>
        <w:r>
          <w:rPr>
            <w:webHidden/>
          </w:rPr>
          <w:tab/>
        </w:r>
        <w:r>
          <w:rPr>
            <w:webHidden/>
          </w:rPr>
          <w:fldChar w:fldCharType="begin"/>
        </w:r>
        <w:r>
          <w:rPr>
            <w:webHidden/>
          </w:rPr>
          <w:instrText xml:space="preserve"> PAGEREF _Toc325618449 \h </w:instrText>
        </w:r>
        <w:r>
          <w:rPr>
            <w:webHidden/>
          </w:rPr>
        </w:r>
        <w:r>
          <w:rPr>
            <w:webHidden/>
          </w:rPr>
          <w:fldChar w:fldCharType="separate"/>
        </w:r>
        <w:r>
          <w:rPr>
            <w:webHidden/>
          </w:rPr>
          <w:t>71</w:t>
        </w:r>
        <w:r>
          <w:rPr>
            <w:webHidden/>
          </w:rPr>
          <w:fldChar w:fldCharType="end"/>
        </w:r>
      </w:hyperlink>
    </w:p>
    <w:p w14:paraId="3C0426E8" w14:textId="77777777" w:rsidR="009D3DC8" w:rsidRDefault="009D3DC8">
      <w:pPr>
        <w:pStyle w:val="TOC2"/>
        <w:rPr>
          <w:rFonts w:ascii="Calibri" w:eastAsia="Times New Roman" w:hAnsi="Calibri" w:cs="Times New Roman"/>
          <w:sz w:val="22"/>
          <w:lang w:eastAsia="en-AU"/>
        </w:rPr>
      </w:pPr>
      <w:hyperlink w:anchor="_Toc325618450" w:history="1">
        <w:r>
          <w:rPr>
            <w:rStyle w:val="Hyperlink"/>
          </w:rPr>
          <w:t>5.1</w:t>
        </w:r>
        <w:r>
          <w:rPr>
            <w:rFonts w:ascii="Calibri" w:eastAsia="Times New Roman" w:hAnsi="Calibri" w:cs="Times New Roman"/>
            <w:sz w:val="22"/>
            <w:lang w:eastAsia="en-AU"/>
          </w:rPr>
          <w:tab/>
        </w:r>
        <w:r>
          <w:rPr>
            <w:rStyle w:val="Hyperlink"/>
          </w:rPr>
          <w:t>Pest risk management measures and phytosanitary procedures</w:t>
        </w:r>
        <w:r>
          <w:rPr>
            <w:webHidden/>
          </w:rPr>
          <w:tab/>
        </w:r>
        <w:r>
          <w:rPr>
            <w:webHidden/>
          </w:rPr>
          <w:fldChar w:fldCharType="begin"/>
        </w:r>
        <w:r>
          <w:rPr>
            <w:webHidden/>
          </w:rPr>
          <w:instrText xml:space="preserve"> PAGEREF _Toc325618450 \h </w:instrText>
        </w:r>
        <w:r>
          <w:rPr>
            <w:webHidden/>
          </w:rPr>
        </w:r>
        <w:r>
          <w:rPr>
            <w:webHidden/>
          </w:rPr>
          <w:fldChar w:fldCharType="separate"/>
        </w:r>
        <w:r>
          <w:rPr>
            <w:webHidden/>
          </w:rPr>
          <w:t>71</w:t>
        </w:r>
        <w:r>
          <w:rPr>
            <w:webHidden/>
          </w:rPr>
          <w:fldChar w:fldCharType="end"/>
        </w:r>
      </w:hyperlink>
    </w:p>
    <w:p w14:paraId="0655745E" w14:textId="77777777" w:rsidR="009D3DC8" w:rsidRDefault="009D3DC8">
      <w:pPr>
        <w:pStyle w:val="TOC2"/>
        <w:rPr>
          <w:rFonts w:ascii="Calibri" w:eastAsia="Times New Roman" w:hAnsi="Calibri" w:cs="Times New Roman"/>
          <w:sz w:val="22"/>
          <w:lang w:eastAsia="en-AU"/>
        </w:rPr>
      </w:pPr>
      <w:hyperlink w:anchor="_Toc325618451" w:history="1">
        <w:r>
          <w:rPr>
            <w:rStyle w:val="Hyperlink"/>
          </w:rPr>
          <w:t>5.2</w:t>
        </w:r>
        <w:r>
          <w:rPr>
            <w:rFonts w:ascii="Calibri" w:eastAsia="Times New Roman" w:hAnsi="Calibri" w:cs="Times New Roman"/>
            <w:sz w:val="22"/>
            <w:lang w:eastAsia="en-AU"/>
          </w:rPr>
          <w:tab/>
        </w:r>
        <w:r>
          <w:rPr>
            <w:rStyle w:val="Hyperlink"/>
          </w:rPr>
          <w:t>Operational system for the maintenance and verification of phytosanitary status</w:t>
        </w:r>
        <w:r>
          <w:rPr>
            <w:webHidden/>
          </w:rPr>
          <w:tab/>
        </w:r>
        <w:r>
          <w:rPr>
            <w:webHidden/>
          </w:rPr>
          <w:fldChar w:fldCharType="begin"/>
        </w:r>
        <w:r>
          <w:rPr>
            <w:webHidden/>
          </w:rPr>
          <w:instrText xml:space="preserve"> PAGEREF _Toc325618451 \h </w:instrText>
        </w:r>
        <w:r>
          <w:rPr>
            <w:webHidden/>
          </w:rPr>
        </w:r>
        <w:r>
          <w:rPr>
            <w:webHidden/>
          </w:rPr>
          <w:fldChar w:fldCharType="separate"/>
        </w:r>
        <w:r>
          <w:rPr>
            <w:webHidden/>
          </w:rPr>
          <w:t>74</w:t>
        </w:r>
        <w:r>
          <w:rPr>
            <w:webHidden/>
          </w:rPr>
          <w:fldChar w:fldCharType="end"/>
        </w:r>
      </w:hyperlink>
    </w:p>
    <w:p w14:paraId="175DE4B6" w14:textId="77777777" w:rsidR="009D3DC8" w:rsidRDefault="009D3DC8">
      <w:pPr>
        <w:pStyle w:val="TOC2"/>
        <w:rPr>
          <w:rFonts w:ascii="Calibri" w:eastAsia="Times New Roman" w:hAnsi="Calibri" w:cs="Times New Roman"/>
          <w:sz w:val="22"/>
          <w:lang w:eastAsia="en-AU"/>
        </w:rPr>
      </w:pPr>
      <w:hyperlink w:anchor="_Toc325618452" w:history="1">
        <w:r>
          <w:rPr>
            <w:rStyle w:val="Hyperlink"/>
          </w:rPr>
          <w:t>5.3</w:t>
        </w:r>
        <w:r>
          <w:rPr>
            <w:rFonts w:ascii="Calibri" w:eastAsia="Times New Roman" w:hAnsi="Calibri" w:cs="Times New Roman"/>
            <w:sz w:val="22"/>
            <w:lang w:eastAsia="en-AU"/>
          </w:rPr>
          <w:tab/>
        </w:r>
        <w:r>
          <w:rPr>
            <w:rStyle w:val="Hyperlink"/>
          </w:rPr>
          <w:t>Uncategorised pests</w:t>
        </w:r>
        <w:r>
          <w:rPr>
            <w:webHidden/>
          </w:rPr>
          <w:tab/>
        </w:r>
        <w:r>
          <w:rPr>
            <w:webHidden/>
          </w:rPr>
          <w:fldChar w:fldCharType="begin"/>
        </w:r>
        <w:r>
          <w:rPr>
            <w:webHidden/>
          </w:rPr>
          <w:instrText xml:space="preserve"> PAGEREF _Toc325618452 \h </w:instrText>
        </w:r>
        <w:r>
          <w:rPr>
            <w:webHidden/>
          </w:rPr>
        </w:r>
        <w:r>
          <w:rPr>
            <w:webHidden/>
          </w:rPr>
          <w:fldChar w:fldCharType="separate"/>
        </w:r>
        <w:r>
          <w:rPr>
            <w:webHidden/>
          </w:rPr>
          <w:t>78</w:t>
        </w:r>
        <w:r>
          <w:rPr>
            <w:webHidden/>
          </w:rPr>
          <w:fldChar w:fldCharType="end"/>
        </w:r>
      </w:hyperlink>
    </w:p>
    <w:p w14:paraId="081BD431" w14:textId="77777777" w:rsidR="009D3DC8" w:rsidRDefault="009D3DC8">
      <w:pPr>
        <w:pStyle w:val="TOC2"/>
        <w:rPr>
          <w:rFonts w:ascii="Calibri" w:eastAsia="Times New Roman" w:hAnsi="Calibri" w:cs="Times New Roman"/>
          <w:sz w:val="22"/>
          <w:lang w:eastAsia="en-AU"/>
        </w:rPr>
      </w:pPr>
      <w:hyperlink w:anchor="_Toc325618453" w:history="1">
        <w:r>
          <w:rPr>
            <w:rStyle w:val="Hyperlink"/>
          </w:rPr>
          <w:t>5.4</w:t>
        </w:r>
        <w:r>
          <w:rPr>
            <w:rFonts w:ascii="Calibri" w:eastAsia="Times New Roman" w:hAnsi="Calibri" w:cs="Times New Roman"/>
            <w:sz w:val="22"/>
            <w:lang w:eastAsia="en-AU"/>
          </w:rPr>
          <w:tab/>
        </w:r>
        <w:r>
          <w:rPr>
            <w:rStyle w:val="Hyperlink"/>
          </w:rPr>
          <w:t>Audit of protocol</w:t>
        </w:r>
        <w:r>
          <w:rPr>
            <w:webHidden/>
          </w:rPr>
          <w:tab/>
        </w:r>
        <w:r>
          <w:rPr>
            <w:webHidden/>
          </w:rPr>
          <w:fldChar w:fldCharType="begin"/>
        </w:r>
        <w:r>
          <w:rPr>
            <w:webHidden/>
          </w:rPr>
          <w:instrText xml:space="preserve"> PAGEREF _Toc325618453 \h </w:instrText>
        </w:r>
        <w:r>
          <w:rPr>
            <w:webHidden/>
          </w:rPr>
        </w:r>
        <w:r>
          <w:rPr>
            <w:webHidden/>
          </w:rPr>
          <w:fldChar w:fldCharType="separate"/>
        </w:r>
        <w:r>
          <w:rPr>
            <w:webHidden/>
          </w:rPr>
          <w:t>78</w:t>
        </w:r>
        <w:r>
          <w:rPr>
            <w:webHidden/>
          </w:rPr>
          <w:fldChar w:fldCharType="end"/>
        </w:r>
      </w:hyperlink>
    </w:p>
    <w:p w14:paraId="2EA80683" w14:textId="77777777" w:rsidR="009D3DC8" w:rsidRDefault="009D3DC8">
      <w:pPr>
        <w:pStyle w:val="TOC2"/>
        <w:rPr>
          <w:rStyle w:val="Hyperlink"/>
        </w:rPr>
      </w:pPr>
      <w:hyperlink w:anchor="_Toc325618454" w:history="1">
        <w:r>
          <w:rPr>
            <w:rStyle w:val="Hyperlink"/>
          </w:rPr>
          <w:t>5.5</w:t>
        </w:r>
        <w:r>
          <w:rPr>
            <w:rFonts w:ascii="Calibri" w:eastAsia="Times New Roman" w:hAnsi="Calibri" w:cs="Times New Roman"/>
            <w:sz w:val="22"/>
            <w:lang w:eastAsia="en-AU"/>
          </w:rPr>
          <w:tab/>
        </w:r>
        <w:r>
          <w:rPr>
            <w:rStyle w:val="Hyperlink"/>
          </w:rPr>
          <w:t>Review of policy</w:t>
        </w:r>
        <w:r>
          <w:rPr>
            <w:webHidden/>
          </w:rPr>
          <w:tab/>
        </w:r>
        <w:r>
          <w:rPr>
            <w:webHidden/>
          </w:rPr>
          <w:fldChar w:fldCharType="begin"/>
        </w:r>
        <w:r>
          <w:rPr>
            <w:webHidden/>
          </w:rPr>
          <w:instrText xml:space="preserve"> PAGEREF _Toc325618454 \h </w:instrText>
        </w:r>
        <w:r>
          <w:rPr>
            <w:webHidden/>
          </w:rPr>
        </w:r>
        <w:r>
          <w:rPr>
            <w:webHidden/>
          </w:rPr>
          <w:fldChar w:fldCharType="separate"/>
        </w:r>
        <w:r>
          <w:rPr>
            <w:webHidden/>
          </w:rPr>
          <w:t>78</w:t>
        </w:r>
        <w:r>
          <w:rPr>
            <w:webHidden/>
          </w:rPr>
          <w:fldChar w:fldCharType="end"/>
        </w:r>
      </w:hyperlink>
    </w:p>
    <w:p w14:paraId="7F0E9798" w14:textId="77777777" w:rsidR="009D3DC8" w:rsidRDefault="009D3DC8"/>
    <w:p w14:paraId="6DDA9169" w14:textId="77777777" w:rsidR="009D3DC8" w:rsidRDefault="009D3DC8">
      <w:pPr>
        <w:pStyle w:val="TOC1"/>
        <w:rPr>
          <w:rFonts w:ascii="Calibri" w:eastAsia="Times New Roman" w:hAnsi="Calibri"/>
          <w:sz w:val="22"/>
          <w:lang w:eastAsia="en-AU"/>
        </w:rPr>
      </w:pPr>
      <w:hyperlink w:anchor="_Toc325618455" w:history="1">
        <w:r>
          <w:rPr>
            <w:rStyle w:val="Hyperlink"/>
          </w:rPr>
          <w:t>Appendix A</w:t>
        </w:r>
        <w:r>
          <w:rPr>
            <w:rFonts w:ascii="Calibri" w:eastAsia="Times New Roman" w:hAnsi="Calibri"/>
            <w:sz w:val="22"/>
            <w:lang w:eastAsia="en-AU"/>
          </w:rPr>
          <w:tab/>
        </w:r>
        <w:r>
          <w:rPr>
            <w:rStyle w:val="Hyperlink"/>
          </w:rPr>
          <w:t xml:space="preserve">Initiation and categorisation for pests of fresh mangosteen </w:t>
        </w:r>
        <w:r>
          <w:rPr>
            <w:rStyle w:val="Hyperlink"/>
          </w:rPr>
          <w:br/>
          <w:t>fruit from Indonesia</w:t>
        </w:r>
        <w:r>
          <w:rPr>
            <w:webHidden/>
          </w:rPr>
          <w:tab/>
        </w:r>
        <w:r>
          <w:rPr>
            <w:webHidden/>
          </w:rPr>
          <w:fldChar w:fldCharType="begin"/>
        </w:r>
        <w:r>
          <w:rPr>
            <w:webHidden/>
          </w:rPr>
          <w:instrText xml:space="preserve"> PAGEREF _Toc325618455 \h </w:instrText>
        </w:r>
        <w:r>
          <w:rPr>
            <w:webHidden/>
          </w:rPr>
        </w:r>
        <w:r>
          <w:rPr>
            <w:webHidden/>
          </w:rPr>
          <w:fldChar w:fldCharType="separate"/>
        </w:r>
        <w:r>
          <w:rPr>
            <w:webHidden/>
          </w:rPr>
          <w:t>81</w:t>
        </w:r>
        <w:r>
          <w:rPr>
            <w:webHidden/>
          </w:rPr>
          <w:fldChar w:fldCharType="end"/>
        </w:r>
      </w:hyperlink>
    </w:p>
    <w:p w14:paraId="75095843" w14:textId="77777777" w:rsidR="009D3DC8" w:rsidRDefault="009D3DC8">
      <w:pPr>
        <w:pStyle w:val="TOC1"/>
        <w:rPr>
          <w:rFonts w:ascii="Calibri" w:eastAsia="Times New Roman" w:hAnsi="Calibri"/>
          <w:sz w:val="22"/>
          <w:lang w:eastAsia="en-AU"/>
        </w:rPr>
      </w:pPr>
      <w:hyperlink w:anchor="_Toc325618456" w:history="1">
        <w:r>
          <w:rPr>
            <w:rStyle w:val="Hyperlink"/>
          </w:rPr>
          <w:t>Appendix B</w:t>
        </w:r>
        <w:r>
          <w:rPr>
            <w:rFonts w:ascii="Calibri" w:eastAsia="Times New Roman" w:hAnsi="Calibri"/>
            <w:sz w:val="22"/>
            <w:lang w:eastAsia="en-AU"/>
          </w:rPr>
          <w:tab/>
        </w:r>
        <w:r>
          <w:rPr>
            <w:rStyle w:val="Hyperlink"/>
          </w:rPr>
          <w:t>Additional quarantine pest data</w:t>
        </w:r>
        <w:r>
          <w:rPr>
            <w:webHidden/>
          </w:rPr>
          <w:tab/>
        </w:r>
        <w:r>
          <w:rPr>
            <w:webHidden/>
          </w:rPr>
          <w:fldChar w:fldCharType="begin"/>
        </w:r>
        <w:r>
          <w:rPr>
            <w:webHidden/>
          </w:rPr>
          <w:instrText xml:space="preserve"> PAGEREF _Toc325618456 \h </w:instrText>
        </w:r>
        <w:r>
          <w:rPr>
            <w:webHidden/>
          </w:rPr>
        </w:r>
        <w:r>
          <w:rPr>
            <w:webHidden/>
          </w:rPr>
          <w:fldChar w:fldCharType="separate"/>
        </w:r>
        <w:r>
          <w:rPr>
            <w:webHidden/>
          </w:rPr>
          <w:t>109</w:t>
        </w:r>
        <w:r>
          <w:rPr>
            <w:webHidden/>
          </w:rPr>
          <w:fldChar w:fldCharType="end"/>
        </w:r>
      </w:hyperlink>
    </w:p>
    <w:p w14:paraId="028BEA92" w14:textId="77777777" w:rsidR="009D3DC8" w:rsidRDefault="009D3DC8">
      <w:pPr>
        <w:pStyle w:val="TOC1"/>
        <w:rPr>
          <w:rFonts w:ascii="Calibri" w:eastAsia="Times New Roman" w:hAnsi="Calibri"/>
          <w:sz w:val="22"/>
          <w:lang w:eastAsia="en-AU"/>
        </w:rPr>
      </w:pPr>
      <w:hyperlink w:anchor="_Toc325618457" w:history="1">
        <w:r>
          <w:rPr>
            <w:rStyle w:val="Hyperlink"/>
          </w:rPr>
          <w:t>Appendix C</w:t>
        </w:r>
        <w:r>
          <w:rPr>
            <w:rFonts w:ascii="Calibri" w:eastAsia="Times New Roman" w:hAnsi="Calibri"/>
            <w:sz w:val="22"/>
            <w:lang w:eastAsia="en-AU"/>
          </w:rPr>
          <w:tab/>
        </w:r>
        <w:r>
          <w:rPr>
            <w:rStyle w:val="Hyperlink"/>
          </w:rPr>
          <w:t>Scientific issues raised in stakeholder comments</w:t>
        </w:r>
        <w:r>
          <w:rPr>
            <w:webHidden/>
          </w:rPr>
          <w:tab/>
        </w:r>
        <w:r>
          <w:rPr>
            <w:webHidden/>
          </w:rPr>
          <w:fldChar w:fldCharType="begin"/>
        </w:r>
        <w:r>
          <w:rPr>
            <w:webHidden/>
          </w:rPr>
          <w:instrText xml:space="preserve"> PAGEREF _Toc325618457 \h </w:instrText>
        </w:r>
        <w:r>
          <w:rPr>
            <w:webHidden/>
          </w:rPr>
        </w:r>
        <w:r>
          <w:rPr>
            <w:webHidden/>
          </w:rPr>
          <w:fldChar w:fldCharType="separate"/>
        </w:r>
        <w:r>
          <w:rPr>
            <w:webHidden/>
          </w:rPr>
          <w:t>117</w:t>
        </w:r>
        <w:r>
          <w:rPr>
            <w:webHidden/>
          </w:rPr>
          <w:fldChar w:fldCharType="end"/>
        </w:r>
      </w:hyperlink>
    </w:p>
    <w:p w14:paraId="4CB289A0" w14:textId="77777777" w:rsidR="009D3DC8" w:rsidRDefault="009D3DC8">
      <w:pPr>
        <w:pStyle w:val="TOC1"/>
        <w:rPr>
          <w:rFonts w:ascii="Calibri" w:eastAsia="Times New Roman" w:hAnsi="Calibri"/>
          <w:sz w:val="22"/>
          <w:lang w:eastAsia="en-AU"/>
        </w:rPr>
      </w:pPr>
      <w:hyperlink w:anchor="_Toc325618458" w:history="1">
        <w:r>
          <w:rPr>
            <w:rStyle w:val="Hyperlink"/>
          </w:rPr>
          <w:t>Appendix D</w:t>
        </w:r>
        <w:r>
          <w:rPr>
            <w:rFonts w:ascii="Calibri" w:eastAsia="Times New Roman" w:hAnsi="Calibri"/>
            <w:sz w:val="22"/>
            <w:lang w:eastAsia="en-AU"/>
          </w:rPr>
          <w:tab/>
        </w:r>
        <w:r>
          <w:rPr>
            <w:rStyle w:val="Hyperlink"/>
          </w:rPr>
          <w:t>Biosecurity framework</w:t>
        </w:r>
        <w:r>
          <w:rPr>
            <w:webHidden/>
          </w:rPr>
          <w:tab/>
        </w:r>
        <w:r>
          <w:rPr>
            <w:webHidden/>
          </w:rPr>
          <w:fldChar w:fldCharType="begin"/>
        </w:r>
        <w:r>
          <w:rPr>
            <w:webHidden/>
          </w:rPr>
          <w:instrText xml:space="preserve"> PAGEREF _Toc325618458 \h </w:instrText>
        </w:r>
        <w:r>
          <w:rPr>
            <w:webHidden/>
          </w:rPr>
        </w:r>
        <w:r>
          <w:rPr>
            <w:webHidden/>
          </w:rPr>
          <w:fldChar w:fldCharType="separate"/>
        </w:r>
        <w:r>
          <w:rPr>
            <w:webHidden/>
          </w:rPr>
          <w:t>119</w:t>
        </w:r>
        <w:r>
          <w:rPr>
            <w:webHidden/>
          </w:rPr>
          <w:fldChar w:fldCharType="end"/>
        </w:r>
      </w:hyperlink>
    </w:p>
    <w:p w14:paraId="7856ADDE" w14:textId="77777777" w:rsidR="009D3DC8" w:rsidRDefault="009D3DC8">
      <w:pPr>
        <w:pStyle w:val="TOC1"/>
        <w:rPr>
          <w:rFonts w:ascii="Calibri" w:eastAsia="Times New Roman" w:hAnsi="Calibri"/>
          <w:sz w:val="22"/>
          <w:lang w:eastAsia="en-AU"/>
        </w:rPr>
      </w:pPr>
      <w:hyperlink w:anchor="_Toc325618459" w:history="1">
        <w:r>
          <w:rPr>
            <w:rStyle w:val="Hyperlink"/>
          </w:rPr>
          <w:t>Glossary</w:t>
        </w:r>
        <w:r>
          <w:rPr>
            <w:webHidden/>
          </w:rPr>
          <w:tab/>
        </w:r>
        <w:r>
          <w:rPr>
            <w:webHidden/>
          </w:rPr>
          <w:tab/>
        </w:r>
        <w:r>
          <w:rPr>
            <w:webHidden/>
          </w:rPr>
          <w:fldChar w:fldCharType="begin"/>
        </w:r>
        <w:r>
          <w:rPr>
            <w:webHidden/>
          </w:rPr>
          <w:instrText xml:space="preserve"> PAGEREF _Toc325618459 \h </w:instrText>
        </w:r>
        <w:r>
          <w:rPr>
            <w:webHidden/>
          </w:rPr>
        </w:r>
        <w:r>
          <w:rPr>
            <w:webHidden/>
          </w:rPr>
          <w:fldChar w:fldCharType="separate"/>
        </w:r>
        <w:r>
          <w:rPr>
            <w:webHidden/>
          </w:rPr>
          <w:t>125</w:t>
        </w:r>
        <w:r>
          <w:rPr>
            <w:webHidden/>
          </w:rPr>
          <w:fldChar w:fldCharType="end"/>
        </w:r>
      </w:hyperlink>
    </w:p>
    <w:p w14:paraId="30592053" w14:textId="77777777" w:rsidR="009D3DC8" w:rsidRDefault="009D3DC8">
      <w:pPr>
        <w:pStyle w:val="TOC1"/>
        <w:rPr>
          <w:rFonts w:ascii="Calibri" w:eastAsia="Times New Roman" w:hAnsi="Calibri"/>
          <w:sz w:val="22"/>
          <w:lang w:eastAsia="en-AU"/>
        </w:rPr>
      </w:pPr>
      <w:hyperlink w:anchor="_Toc325618460" w:history="1">
        <w:r>
          <w:rPr>
            <w:rStyle w:val="Hyperlink"/>
          </w:rPr>
          <w:t>References</w:t>
        </w:r>
        <w:r>
          <w:rPr>
            <w:webHidden/>
          </w:rPr>
          <w:tab/>
        </w:r>
        <w:r>
          <w:rPr>
            <w:webHidden/>
          </w:rPr>
          <w:tab/>
        </w:r>
        <w:r>
          <w:rPr>
            <w:webHidden/>
          </w:rPr>
          <w:fldChar w:fldCharType="begin"/>
        </w:r>
        <w:r>
          <w:rPr>
            <w:webHidden/>
          </w:rPr>
          <w:instrText xml:space="preserve"> PAGEREF _Toc325618460 \h </w:instrText>
        </w:r>
        <w:r>
          <w:rPr>
            <w:webHidden/>
          </w:rPr>
        </w:r>
        <w:r>
          <w:rPr>
            <w:webHidden/>
          </w:rPr>
          <w:fldChar w:fldCharType="separate"/>
        </w:r>
        <w:r>
          <w:rPr>
            <w:webHidden/>
          </w:rPr>
          <w:t>129</w:t>
        </w:r>
        <w:r>
          <w:rPr>
            <w:webHidden/>
          </w:rPr>
          <w:fldChar w:fldCharType="end"/>
        </w:r>
      </w:hyperlink>
    </w:p>
    <w:p w14:paraId="6639E199" w14:textId="77777777" w:rsidR="009D3DC8" w:rsidRDefault="009D3DC8">
      <w:r>
        <w:rPr>
          <w:rFonts w:ascii="Arial" w:hAnsi="Arial" w:cs="Arial"/>
          <w:sz w:val="28"/>
        </w:rPr>
        <w:fldChar w:fldCharType="end"/>
      </w:r>
    </w:p>
    <w:p w14:paraId="5590956E" w14:textId="77777777" w:rsidR="009D3DC8" w:rsidRDefault="009D3DC8">
      <w:pPr>
        <w:sectPr w:rsidR="009D3DC8">
          <w:pgSz w:w="11906" w:h="16838"/>
          <w:pgMar w:top="1440" w:right="1440" w:bottom="1440" w:left="1440" w:header="709" w:footer="709" w:gutter="0"/>
          <w:pgNumType w:fmt="lowerRoman"/>
          <w:cols w:space="708"/>
          <w:docGrid w:linePitch="360"/>
        </w:sectPr>
      </w:pPr>
    </w:p>
    <w:p w14:paraId="26C1778D" w14:textId="77777777" w:rsidR="009D3DC8" w:rsidRDefault="009D3DC8">
      <w:pPr>
        <w:pStyle w:val="Heading1"/>
        <w:numPr>
          <w:ilvl w:val="0"/>
          <w:numId w:val="0"/>
        </w:numPr>
        <w:spacing w:before="120" w:after="360" w:line="340" w:lineRule="atLeast"/>
        <w:ind w:left="720" w:hanging="720"/>
      </w:pPr>
      <w:bookmarkStart w:id="5" w:name="_Toc288462473"/>
      <w:bookmarkStart w:id="6" w:name="_Toc317078300"/>
      <w:bookmarkStart w:id="7" w:name="_Toc318961741"/>
      <w:bookmarkStart w:id="8" w:name="_Toc325618421"/>
      <w:r>
        <w:lastRenderedPageBreak/>
        <w:t>List of tables</w:t>
      </w:r>
      <w:bookmarkEnd w:id="5"/>
      <w:bookmarkEnd w:id="6"/>
      <w:bookmarkEnd w:id="7"/>
      <w:bookmarkEnd w:id="8"/>
    </w:p>
    <w:p w14:paraId="671426D9"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lang w:eastAsia="en-AU"/>
        </w:rPr>
      </w:pPr>
      <w:r>
        <w:rPr>
          <w:rStyle w:val="Hyperlink"/>
          <w:rFonts w:ascii="Arial" w:eastAsia="Times New Roman" w:hAnsi="Arial" w:cs="Arial"/>
          <w:noProof/>
          <w:sz w:val="20"/>
          <w:szCs w:val="20"/>
          <w:lang w:eastAsia="en-AU"/>
        </w:rPr>
        <w:fldChar w:fldCharType="begin"/>
      </w:r>
      <w:r>
        <w:rPr>
          <w:rStyle w:val="Hyperlink"/>
          <w:rFonts w:ascii="Arial" w:hAnsi="Arial" w:cs="Arial"/>
          <w:noProof/>
          <w:sz w:val="20"/>
          <w:szCs w:val="20"/>
        </w:rPr>
        <w:instrText xml:space="preserve"> TOC \h \z \t "Table" \c "Table" </w:instrText>
      </w:r>
      <w:r>
        <w:rPr>
          <w:rStyle w:val="Hyperlink"/>
          <w:rFonts w:ascii="Arial" w:eastAsia="Times New Roman" w:hAnsi="Arial" w:cs="Arial"/>
          <w:noProof/>
          <w:sz w:val="20"/>
          <w:szCs w:val="20"/>
          <w:lang w:eastAsia="en-AU"/>
        </w:rPr>
        <w:fldChar w:fldCharType="separate"/>
      </w:r>
      <w:hyperlink w:anchor="_Toc325625792" w:history="1">
        <w:r>
          <w:rPr>
            <w:rStyle w:val="Hyperlink"/>
            <w:rFonts w:ascii="Arial" w:hAnsi="Arial" w:cs="Arial"/>
            <w:noProof/>
            <w:sz w:val="20"/>
            <w:szCs w:val="20"/>
          </w:rPr>
          <w:t>Table 2.1</w:t>
        </w:r>
        <w:r>
          <w:rPr>
            <w:rFonts w:ascii="Arial" w:eastAsia="Times New Roman" w:hAnsi="Arial" w:cs="Arial"/>
            <w:noProof/>
            <w:sz w:val="20"/>
            <w:szCs w:val="20"/>
            <w:lang w:eastAsia="en-AU"/>
          </w:rPr>
          <w:tab/>
        </w:r>
        <w:r>
          <w:rPr>
            <w:rStyle w:val="Hyperlink"/>
            <w:rFonts w:ascii="Arial" w:hAnsi="Arial" w:cs="Arial"/>
            <w:noProof/>
            <w:sz w:val="20"/>
            <w:szCs w:val="20"/>
          </w:rPr>
          <w:t>Nomenclature for qualitative likelihoods</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_Toc325625792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11</w:t>
        </w:r>
        <w:r>
          <w:rPr>
            <w:rFonts w:ascii="Arial" w:hAnsi="Arial" w:cs="Arial"/>
            <w:noProof/>
            <w:webHidden/>
            <w:sz w:val="20"/>
            <w:szCs w:val="20"/>
          </w:rPr>
          <w:fldChar w:fldCharType="end"/>
        </w:r>
      </w:hyperlink>
    </w:p>
    <w:p w14:paraId="0B234FBE"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lang w:eastAsia="en-AU"/>
        </w:rPr>
      </w:pPr>
      <w:hyperlink w:anchor="_Toc325625793" w:history="1">
        <w:r>
          <w:rPr>
            <w:rStyle w:val="Hyperlink"/>
            <w:rFonts w:ascii="Arial" w:hAnsi="Arial" w:cs="Arial"/>
            <w:noProof/>
            <w:sz w:val="20"/>
            <w:szCs w:val="20"/>
          </w:rPr>
          <w:t>Table 2.2</w:t>
        </w:r>
        <w:r>
          <w:rPr>
            <w:rFonts w:ascii="Arial" w:eastAsia="Times New Roman" w:hAnsi="Arial" w:cs="Arial"/>
            <w:noProof/>
            <w:sz w:val="20"/>
            <w:szCs w:val="20"/>
            <w:lang w:eastAsia="en-AU"/>
          </w:rPr>
          <w:tab/>
        </w:r>
        <w:r>
          <w:rPr>
            <w:rStyle w:val="Hyperlink"/>
            <w:rFonts w:ascii="Arial" w:hAnsi="Arial" w:cs="Arial"/>
            <w:noProof/>
            <w:sz w:val="20"/>
            <w:szCs w:val="20"/>
          </w:rPr>
          <w:t>Matrix of rules for combining qualitative likelihoods</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_Toc325625793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11</w:t>
        </w:r>
        <w:r>
          <w:rPr>
            <w:rFonts w:ascii="Arial" w:hAnsi="Arial" w:cs="Arial"/>
            <w:noProof/>
            <w:webHidden/>
            <w:sz w:val="20"/>
            <w:szCs w:val="20"/>
          </w:rPr>
          <w:fldChar w:fldCharType="end"/>
        </w:r>
      </w:hyperlink>
    </w:p>
    <w:p w14:paraId="64B6D7A1" w14:textId="77777777" w:rsidR="009D3DC8" w:rsidRDefault="009D3DC8">
      <w:pPr>
        <w:pStyle w:val="TableofFigures"/>
        <w:tabs>
          <w:tab w:val="left" w:pos="1701"/>
          <w:tab w:val="right" w:leader="dot" w:pos="9016"/>
        </w:tabs>
        <w:spacing w:after="120"/>
        <w:ind w:left="1701" w:hanging="1701"/>
        <w:rPr>
          <w:rFonts w:ascii="Arial" w:eastAsia="Times New Roman" w:hAnsi="Arial" w:cs="Arial"/>
          <w:noProof/>
          <w:sz w:val="20"/>
          <w:szCs w:val="20"/>
          <w:lang w:eastAsia="en-AU"/>
        </w:rPr>
      </w:pPr>
      <w:hyperlink w:anchor="_Toc325625794" w:history="1">
        <w:r>
          <w:rPr>
            <w:rStyle w:val="Hyperlink"/>
            <w:rFonts w:ascii="Arial" w:hAnsi="Arial" w:cs="Arial"/>
            <w:noProof/>
            <w:sz w:val="20"/>
            <w:szCs w:val="20"/>
          </w:rPr>
          <w:t>Table 2.3</w:t>
        </w:r>
        <w:r>
          <w:rPr>
            <w:rFonts w:ascii="Arial" w:eastAsia="Times New Roman" w:hAnsi="Arial" w:cs="Arial"/>
            <w:noProof/>
            <w:sz w:val="20"/>
            <w:szCs w:val="20"/>
            <w:lang w:eastAsia="en-AU"/>
          </w:rPr>
          <w:tab/>
        </w:r>
        <w:r>
          <w:rPr>
            <w:rStyle w:val="Hyperlink"/>
            <w:rFonts w:ascii="Arial" w:hAnsi="Arial" w:cs="Arial"/>
            <w:noProof/>
            <w:sz w:val="20"/>
            <w:szCs w:val="20"/>
          </w:rPr>
          <w:t>Decision rules for determining the consequence impact score based on the magnitude of consequences at four geographic scales</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_Toc325625794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13</w:t>
        </w:r>
        <w:r>
          <w:rPr>
            <w:rFonts w:ascii="Arial" w:hAnsi="Arial" w:cs="Arial"/>
            <w:noProof/>
            <w:webHidden/>
            <w:sz w:val="20"/>
            <w:szCs w:val="20"/>
          </w:rPr>
          <w:fldChar w:fldCharType="end"/>
        </w:r>
      </w:hyperlink>
    </w:p>
    <w:p w14:paraId="557B30C0"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lang w:eastAsia="en-AU"/>
        </w:rPr>
      </w:pPr>
      <w:hyperlink w:anchor="_Toc325625795" w:history="1">
        <w:r>
          <w:rPr>
            <w:rStyle w:val="Hyperlink"/>
            <w:rFonts w:ascii="Arial" w:hAnsi="Arial" w:cs="Arial"/>
            <w:noProof/>
            <w:sz w:val="20"/>
            <w:szCs w:val="20"/>
          </w:rPr>
          <w:t>Table 2.4</w:t>
        </w:r>
        <w:r>
          <w:rPr>
            <w:rFonts w:ascii="Arial" w:eastAsia="Times New Roman" w:hAnsi="Arial" w:cs="Arial"/>
            <w:noProof/>
            <w:sz w:val="20"/>
            <w:szCs w:val="20"/>
            <w:lang w:eastAsia="en-AU"/>
          </w:rPr>
          <w:tab/>
        </w:r>
        <w:r>
          <w:rPr>
            <w:rStyle w:val="Hyperlink"/>
            <w:rFonts w:ascii="Arial" w:hAnsi="Arial" w:cs="Arial"/>
            <w:noProof/>
            <w:sz w:val="20"/>
            <w:szCs w:val="20"/>
          </w:rPr>
          <w:t>Decision rules for determining the overall consequence rating for each pest</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_Toc325625795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14</w:t>
        </w:r>
        <w:r>
          <w:rPr>
            <w:rFonts w:ascii="Arial" w:hAnsi="Arial" w:cs="Arial"/>
            <w:noProof/>
            <w:webHidden/>
            <w:sz w:val="20"/>
            <w:szCs w:val="20"/>
          </w:rPr>
          <w:fldChar w:fldCharType="end"/>
        </w:r>
      </w:hyperlink>
    </w:p>
    <w:p w14:paraId="720A19DA"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lang w:eastAsia="en-AU"/>
        </w:rPr>
      </w:pPr>
      <w:hyperlink w:anchor="_Toc325625796" w:history="1">
        <w:r>
          <w:rPr>
            <w:rStyle w:val="Hyperlink"/>
            <w:rFonts w:ascii="Arial" w:hAnsi="Arial" w:cs="Arial"/>
            <w:noProof/>
            <w:sz w:val="20"/>
            <w:szCs w:val="20"/>
          </w:rPr>
          <w:t>Table 2.5</w:t>
        </w:r>
        <w:r>
          <w:rPr>
            <w:rFonts w:ascii="Arial" w:eastAsia="Times New Roman" w:hAnsi="Arial" w:cs="Arial"/>
            <w:noProof/>
            <w:sz w:val="20"/>
            <w:szCs w:val="20"/>
            <w:lang w:eastAsia="en-AU"/>
          </w:rPr>
          <w:tab/>
        </w:r>
        <w:r>
          <w:rPr>
            <w:rStyle w:val="Hyperlink"/>
            <w:rFonts w:ascii="Arial" w:hAnsi="Arial" w:cs="Arial"/>
            <w:noProof/>
            <w:sz w:val="20"/>
            <w:szCs w:val="20"/>
          </w:rPr>
          <w:t>Risk estimation matrix</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_Toc325625796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14</w:t>
        </w:r>
        <w:r>
          <w:rPr>
            <w:rFonts w:ascii="Arial" w:hAnsi="Arial" w:cs="Arial"/>
            <w:noProof/>
            <w:webHidden/>
            <w:sz w:val="20"/>
            <w:szCs w:val="20"/>
          </w:rPr>
          <w:fldChar w:fldCharType="end"/>
        </w:r>
      </w:hyperlink>
    </w:p>
    <w:p w14:paraId="088EB3D0"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lang w:eastAsia="en-AU"/>
        </w:rPr>
      </w:pPr>
      <w:hyperlink w:anchor="_Toc325625797" w:history="1">
        <w:r>
          <w:rPr>
            <w:rStyle w:val="Hyperlink"/>
            <w:rFonts w:ascii="Arial" w:hAnsi="Arial" w:cs="Arial"/>
            <w:noProof/>
            <w:sz w:val="20"/>
            <w:szCs w:val="20"/>
          </w:rPr>
          <w:t>Table 3.1</w:t>
        </w:r>
        <w:r>
          <w:rPr>
            <w:rFonts w:ascii="Arial" w:eastAsia="Times New Roman" w:hAnsi="Arial" w:cs="Arial"/>
            <w:noProof/>
            <w:sz w:val="20"/>
            <w:szCs w:val="20"/>
            <w:lang w:eastAsia="en-AU"/>
          </w:rPr>
          <w:tab/>
        </w:r>
        <w:r>
          <w:rPr>
            <w:rStyle w:val="Hyperlink"/>
            <w:rFonts w:ascii="Arial" w:hAnsi="Arial" w:cs="Arial"/>
            <w:noProof/>
            <w:sz w:val="20"/>
            <w:szCs w:val="20"/>
          </w:rPr>
          <w:t>Characteristics of common mangosteen varieties in Indonesia</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_Toc325625797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19</w:t>
        </w:r>
        <w:r>
          <w:rPr>
            <w:rFonts w:ascii="Arial" w:hAnsi="Arial" w:cs="Arial"/>
            <w:noProof/>
            <w:webHidden/>
            <w:sz w:val="20"/>
            <w:szCs w:val="20"/>
          </w:rPr>
          <w:fldChar w:fldCharType="end"/>
        </w:r>
      </w:hyperlink>
    </w:p>
    <w:p w14:paraId="6594F087" w14:textId="77777777" w:rsidR="009D3DC8" w:rsidRDefault="009D3DC8">
      <w:pPr>
        <w:pStyle w:val="TableofFigures"/>
        <w:tabs>
          <w:tab w:val="left" w:pos="1701"/>
          <w:tab w:val="right" w:leader="dot" w:pos="9016"/>
        </w:tabs>
        <w:spacing w:after="120"/>
        <w:ind w:left="1701" w:hanging="1701"/>
        <w:rPr>
          <w:rFonts w:ascii="Arial" w:eastAsia="Times New Roman" w:hAnsi="Arial" w:cs="Arial"/>
          <w:noProof/>
          <w:sz w:val="20"/>
          <w:szCs w:val="20"/>
          <w:lang w:eastAsia="en-AU"/>
        </w:rPr>
      </w:pPr>
      <w:hyperlink w:anchor="_Toc325625798" w:history="1">
        <w:r>
          <w:rPr>
            <w:rStyle w:val="Hyperlink"/>
            <w:rFonts w:ascii="Arial" w:hAnsi="Arial" w:cs="Arial"/>
            <w:noProof/>
            <w:sz w:val="20"/>
            <w:szCs w:val="20"/>
          </w:rPr>
          <w:t>Table 3.2</w:t>
        </w:r>
        <w:r>
          <w:rPr>
            <w:rFonts w:ascii="Arial" w:eastAsia="Times New Roman" w:hAnsi="Arial" w:cs="Arial"/>
            <w:noProof/>
            <w:sz w:val="20"/>
            <w:szCs w:val="20"/>
            <w:lang w:eastAsia="en-AU"/>
          </w:rPr>
          <w:tab/>
        </w:r>
        <w:r>
          <w:rPr>
            <w:rStyle w:val="Hyperlink"/>
            <w:rFonts w:ascii="Arial" w:hAnsi="Arial" w:cs="Arial"/>
            <w:noProof/>
            <w:sz w:val="20"/>
            <w:szCs w:val="20"/>
          </w:rPr>
          <w:t xml:space="preserve">Pest and disease control practices for mangosteen production in Indonesia </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_Toc325625798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21</w:t>
        </w:r>
        <w:r>
          <w:rPr>
            <w:rFonts w:ascii="Arial" w:hAnsi="Arial" w:cs="Arial"/>
            <w:noProof/>
            <w:webHidden/>
            <w:sz w:val="20"/>
            <w:szCs w:val="20"/>
          </w:rPr>
          <w:fldChar w:fldCharType="end"/>
        </w:r>
      </w:hyperlink>
    </w:p>
    <w:p w14:paraId="1DDC4D34" w14:textId="77777777" w:rsidR="009D3DC8" w:rsidRDefault="009D3DC8">
      <w:pPr>
        <w:pStyle w:val="TableofFigures"/>
        <w:tabs>
          <w:tab w:val="left" w:pos="1701"/>
          <w:tab w:val="right" w:leader="dot" w:pos="9016"/>
        </w:tabs>
        <w:spacing w:after="120"/>
        <w:ind w:left="1701" w:hanging="1701"/>
        <w:rPr>
          <w:rFonts w:ascii="Arial" w:eastAsia="Times New Roman" w:hAnsi="Arial" w:cs="Arial"/>
          <w:noProof/>
          <w:sz w:val="20"/>
          <w:szCs w:val="20"/>
          <w:lang w:eastAsia="en-AU"/>
        </w:rPr>
      </w:pPr>
      <w:hyperlink w:anchor="_Toc325625799" w:history="1">
        <w:r>
          <w:rPr>
            <w:rStyle w:val="Hyperlink"/>
            <w:rFonts w:ascii="Arial" w:hAnsi="Arial" w:cs="Arial"/>
            <w:noProof/>
            <w:sz w:val="20"/>
            <w:szCs w:val="20"/>
          </w:rPr>
          <w:t>Table 3.3</w:t>
        </w:r>
        <w:r>
          <w:rPr>
            <w:rFonts w:ascii="Arial" w:eastAsia="Times New Roman" w:hAnsi="Arial" w:cs="Arial"/>
            <w:noProof/>
            <w:sz w:val="20"/>
            <w:szCs w:val="20"/>
            <w:lang w:eastAsia="en-AU"/>
          </w:rPr>
          <w:tab/>
        </w:r>
        <w:r>
          <w:rPr>
            <w:rStyle w:val="Hyperlink"/>
            <w:rFonts w:ascii="Arial" w:hAnsi="Arial" w:cs="Arial"/>
            <w:noProof/>
            <w:sz w:val="20"/>
            <w:szCs w:val="20"/>
          </w:rPr>
          <w:t xml:space="preserve">Harvest period for Indonesia’s main mangosteen production regions </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_Toc325625799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22</w:t>
        </w:r>
        <w:r>
          <w:rPr>
            <w:rFonts w:ascii="Arial" w:hAnsi="Arial" w:cs="Arial"/>
            <w:noProof/>
            <w:webHidden/>
            <w:sz w:val="20"/>
            <w:szCs w:val="20"/>
          </w:rPr>
          <w:fldChar w:fldCharType="end"/>
        </w:r>
      </w:hyperlink>
    </w:p>
    <w:p w14:paraId="278A756C"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lang w:eastAsia="en-AU"/>
        </w:rPr>
      </w:pPr>
      <w:hyperlink w:anchor="_Toc325625800" w:history="1">
        <w:r>
          <w:rPr>
            <w:rStyle w:val="Hyperlink"/>
            <w:rFonts w:ascii="Arial" w:hAnsi="Arial" w:cs="Arial"/>
            <w:noProof/>
            <w:sz w:val="20"/>
            <w:szCs w:val="20"/>
          </w:rPr>
          <w:t>Table 3.4</w:t>
        </w:r>
        <w:r>
          <w:rPr>
            <w:rFonts w:ascii="Arial" w:eastAsia="Times New Roman" w:hAnsi="Arial" w:cs="Arial"/>
            <w:noProof/>
            <w:sz w:val="20"/>
            <w:szCs w:val="20"/>
            <w:lang w:eastAsia="en-AU"/>
          </w:rPr>
          <w:tab/>
        </w:r>
        <w:r>
          <w:rPr>
            <w:rStyle w:val="Hyperlink"/>
            <w:rFonts w:ascii="Arial" w:hAnsi="Arial" w:cs="Arial"/>
            <w:noProof/>
            <w:sz w:val="20"/>
            <w:szCs w:val="20"/>
          </w:rPr>
          <w:t xml:space="preserve">Indonesia’s mangosteen maturity index </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_Toc325625800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22</w:t>
        </w:r>
        <w:r>
          <w:rPr>
            <w:rFonts w:ascii="Arial" w:hAnsi="Arial" w:cs="Arial"/>
            <w:noProof/>
            <w:webHidden/>
            <w:sz w:val="20"/>
            <w:szCs w:val="20"/>
          </w:rPr>
          <w:fldChar w:fldCharType="end"/>
        </w:r>
      </w:hyperlink>
    </w:p>
    <w:p w14:paraId="05C76630"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lang w:eastAsia="en-AU"/>
        </w:rPr>
      </w:pPr>
      <w:hyperlink w:anchor="_Toc325625801" w:history="1">
        <w:r>
          <w:rPr>
            <w:rStyle w:val="Hyperlink"/>
            <w:rFonts w:ascii="Arial" w:hAnsi="Arial" w:cs="Arial"/>
            <w:noProof/>
            <w:sz w:val="20"/>
            <w:szCs w:val="20"/>
          </w:rPr>
          <w:t>Table 4.1</w:t>
        </w:r>
        <w:r>
          <w:rPr>
            <w:rFonts w:ascii="Arial" w:eastAsia="Times New Roman" w:hAnsi="Arial" w:cs="Arial"/>
            <w:noProof/>
            <w:sz w:val="20"/>
            <w:szCs w:val="20"/>
            <w:lang w:eastAsia="en-AU"/>
          </w:rPr>
          <w:tab/>
        </w:r>
        <w:r>
          <w:rPr>
            <w:rStyle w:val="Hyperlink"/>
            <w:rFonts w:ascii="Arial" w:hAnsi="Arial" w:cs="Arial"/>
            <w:noProof/>
            <w:sz w:val="20"/>
            <w:szCs w:val="20"/>
          </w:rPr>
          <w:t>Quarantine pests for mangosteen fruit from Indonesia</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_Toc325625801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30</w:t>
        </w:r>
        <w:r>
          <w:rPr>
            <w:rFonts w:ascii="Arial" w:hAnsi="Arial" w:cs="Arial"/>
            <w:noProof/>
            <w:webHidden/>
            <w:sz w:val="20"/>
            <w:szCs w:val="20"/>
          </w:rPr>
          <w:fldChar w:fldCharType="end"/>
        </w:r>
      </w:hyperlink>
    </w:p>
    <w:p w14:paraId="4DA7EA85" w14:textId="77777777" w:rsidR="009D3DC8" w:rsidRDefault="009D3DC8">
      <w:pPr>
        <w:pStyle w:val="TableofFigures"/>
        <w:tabs>
          <w:tab w:val="left" w:pos="1701"/>
          <w:tab w:val="right" w:leader="dot" w:pos="9016"/>
        </w:tabs>
        <w:spacing w:after="120"/>
        <w:ind w:left="1701" w:hanging="1701"/>
        <w:rPr>
          <w:rFonts w:ascii="Arial" w:eastAsia="Times New Roman" w:hAnsi="Arial" w:cs="Arial"/>
          <w:noProof/>
          <w:sz w:val="20"/>
          <w:szCs w:val="20"/>
          <w:lang w:eastAsia="en-AU"/>
        </w:rPr>
      </w:pPr>
      <w:hyperlink w:anchor="_Toc325625802" w:history="1">
        <w:r>
          <w:rPr>
            <w:rStyle w:val="Hyperlink"/>
            <w:rFonts w:ascii="Arial" w:hAnsi="Arial" w:cs="Arial"/>
            <w:noProof/>
            <w:sz w:val="20"/>
            <w:szCs w:val="20"/>
          </w:rPr>
          <w:t>Table 4.2</w:t>
        </w:r>
        <w:r>
          <w:rPr>
            <w:rFonts w:ascii="Arial" w:eastAsia="Times New Roman" w:hAnsi="Arial" w:cs="Arial"/>
            <w:noProof/>
            <w:sz w:val="20"/>
            <w:szCs w:val="20"/>
            <w:lang w:eastAsia="en-AU"/>
          </w:rPr>
          <w:tab/>
        </w:r>
        <w:r>
          <w:rPr>
            <w:rStyle w:val="Hyperlink"/>
            <w:rFonts w:ascii="Arial" w:hAnsi="Arial" w:cs="Arial"/>
            <w:noProof/>
            <w:sz w:val="20"/>
            <w:szCs w:val="20"/>
          </w:rPr>
          <w:t xml:space="preserve">Summary of unrestricted risk estimates for quarantine pests associated with </w:t>
        </w:r>
        <w:r>
          <w:rPr>
            <w:rStyle w:val="Hyperlink"/>
            <w:rFonts w:ascii="Arial" w:hAnsi="Arial" w:cs="Arial"/>
            <w:noProof/>
            <w:sz w:val="20"/>
            <w:szCs w:val="20"/>
          </w:rPr>
          <w:br/>
          <w:t>fresh mangosteen fruit from Indonesia</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_Toc325625802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69</w:t>
        </w:r>
        <w:r>
          <w:rPr>
            <w:rFonts w:ascii="Arial" w:hAnsi="Arial" w:cs="Arial"/>
            <w:noProof/>
            <w:webHidden/>
            <w:sz w:val="20"/>
            <w:szCs w:val="20"/>
          </w:rPr>
          <w:fldChar w:fldCharType="end"/>
        </w:r>
      </w:hyperlink>
    </w:p>
    <w:p w14:paraId="3DDCDB2A" w14:textId="77777777" w:rsidR="009D3DC8" w:rsidRDefault="009D3DC8">
      <w:pPr>
        <w:pStyle w:val="TableofFigures"/>
        <w:tabs>
          <w:tab w:val="left" w:pos="1701"/>
          <w:tab w:val="right" w:leader="dot" w:pos="9016"/>
        </w:tabs>
        <w:spacing w:after="120"/>
        <w:ind w:left="1701" w:hanging="1701"/>
        <w:rPr>
          <w:rFonts w:ascii="Arial" w:eastAsia="Times New Roman" w:hAnsi="Arial" w:cs="Arial"/>
          <w:noProof/>
          <w:sz w:val="20"/>
          <w:szCs w:val="20"/>
          <w:lang w:eastAsia="en-AU"/>
        </w:rPr>
      </w:pPr>
      <w:hyperlink w:anchor="_Toc325625803" w:history="1">
        <w:r>
          <w:rPr>
            <w:rStyle w:val="Hyperlink"/>
            <w:rFonts w:ascii="Arial" w:hAnsi="Arial" w:cs="Arial"/>
            <w:noProof/>
            <w:sz w:val="20"/>
            <w:szCs w:val="20"/>
          </w:rPr>
          <w:t>Table 5.1</w:t>
        </w:r>
        <w:r>
          <w:rPr>
            <w:rFonts w:ascii="Arial" w:eastAsia="Times New Roman" w:hAnsi="Arial" w:cs="Arial"/>
            <w:noProof/>
            <w:sz w:val="20"/>
            <w:szCs w:val="20"/>
            <w:lang w:eastAsia="en-AU"/>
          </w:rPr>
          <w:tab/>
        </w:r>
        <w:r>
          <w:rPr>
            <w:rStyle w:val="Hyperlink"/>
            <w:rFonts w:ascii="Arial" w:hAnsi="Arial" w:cs="Arial"/>
            <w:noProof/>
            <w:sz w:val="20"/>
            <w:szCs w:val="20"/>
          </w:rPr>
          <w:t xml:space="preserve">Phytosanitary measures proposed for quarantine pests for fresh mangosteen </w:t>
        </w:r>
        <w:r>
          <w:rPr>
            <w:rStyle w:val="Hyperlink"/>
            <w:rFonts w:ascii="Arial" w:hAnsi="Arial" w:cs="Arial"/>
            <w:noProof/>
            <w:sz w:val="20"/>
            <w:szCs w:val="20"/>
          </w:rPr>
          <w:br/>
          <w:t>fruit from Indonesia</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_Toc325625803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73</w:t>
        </w:r>
        <w:r>
          <w:rPr>
            <w:rFonts w:ascii="Arial" w:hAnsi="Arial" w:cs="Arial"/>
            <w:noProof/>
            <w:webHidden/>
            <w:sz w:val="20"/>
            <w:szCs w:val="20"/>
          </w:rPr>
          <w:fldChar w:fldCharType="end"/>
        </w:r>
      </w:hyperlink>
    </w:p>
    <w:p w14:paraId="5CD0B4D8" w14:textId="77777777" w:rsidR="009D3DC8" w:rsidRDefault="009D3DC8">
      <w:pPr>
        <w:spacing w:after="120" w:line="240" w:lineRule="auto"/>
        <w:rPr>
          <w:rStyle w:val="Hyperlink"/>
          <w:rFonts w:ascii="Arial" w:hAnsi="Arial" w:cs="Arial"/>
          <w:noProof/>
          <w:sz w:val="20"/>
          <w:szCs w:val="20"/>
        </w:rPr>
      </w:pPr>
      <w:r>
        <w:rPr>
          <w:rStyle w:val="Hyperlink"/>
          <w:rFonts w:ascii="Arial" w:hAnsi="Arial" w:cs="Arial"/>
          <w:noProof/>
          <w:sz w:val="20"/>
          <w:szCs w:val="20"/>
        </w:rPr>
        <w:fldChar w:fldCharType="end"/>
      </w:r>
      <w:bookmarkStart w:id="9" w:name="_Toc317078301"/>
      <w:bookmarkStart w:id="10" w:name="_Toc285029302"/>
      <w:bookmarkStart w:id="11" w:name="_Toc298224787"/>
    </w:p>
    <w:p w14:paraId="4DB6B376" w14:textId="77777777" w:rsidR="009D3DC8" w:rsidRDefault="009D3DC8">
      <w:pPr>
        <w:spacing w:after="120"/>
        <w:rPr>
          <w:rStyle w:val="Hyperlink"/>
          <w:rFonts w:ascii="Arial" w:hAnsi="Arial" w:cs="Arial"/>
          <w:noProof/>
          <w:sz w:val="20"/>
          <w:szCs w:val="20"/>
        </w:rPr>
      </w:pPr>
    </w:p>
    <w:p w14:paraId="750F8C68" w14:textId="77777777" w:rsidR="009D3DC8" w:rsidRDefault="009D3DC8">
      <w:pPr>
        <w:pStyle w:val="Heading1"/>
        <w:numPr>
          <w:ilvl w:val="0"/>
          <w:numId w:val="0"/>
        </w:numPr>
        <w:spacing w:before="120" w:after="360" w:line="340" w:lineRule="atLeast"/>
        <w:ind w:left="720" w:hanging="720"/>
      </w:pPr>
      <w:bookmarkStart w:id="12" w:name="_Toc318961742"/>
      <w:bookmarkStart w:id="13" w:name="_Toc325618422"/>
      <w:r>
        <w:t>List of figures</w:t>
      </w:r>
      <w:bookmarkEnd w:id="9"/>
      <w:bookmarkEnd w:id="12"/>
      <w:bookmarkEnd w:id="13"/>
    </w:p>
    <w:p w14:paraId="708A6A1D"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r>
        <w:rPr>
          <w:rFonts w:ascii="Arial" w:hAnsi="Arial" w:cs="Arial"/>
          <w:b/>
          <w:sz w:val="20"/>
          <w:szCs w:val="20"/>
        </w:rPr>
        <w:fldChar w:fldCharType="begin"/>
      </w:r>
      <w:r>
        <w:rPr>
          <w:rFonts w:ascii="Arial" w:hAnsi="Arial" w:cs="Arial"/>
          <w:b/>
          <w:sz w:val="20"/>
          <w:szCs w:val="20"/>
        </w:rPr>
        <w:instrText xml:space="preserve"> TOC \h \z \t "Figure" \c </w:instrText>
      </w:r>
      <w:r>
        <w:rPr>
          <w:rFonts w:ascii="Arial" w:hAnsi="Arial" w:cs="Arial"/>
          <w:b/>
          <w:sz w:val="20"/>
          <w:szCs w:val="20"/>
        </w:rPr>
        <w:fldChar w:fldCharType="separate"/>
      </w:r>
      <w:hyperlink w:anchor="_Toc318962120" w:history="1">
        <w:r>
          <w:rPr>
            <w:rStyle w:val="Hyperlink"/>
            <w:rFonts w:ascii="Arial" w:hAnsi="Arial" w:cs="Arial"/>
            <w:noProof/>
            <w:sz w:val="20"/>
            <w:szCs w:val="20"/>
          </w:rPr>
          <w:t>Figure 1</w:t>
        </w:r>
        <w:r>
          <w:rPr>
            <w:rFonts w:ascii="Arial" w:eastAsia="Times New Roman" w:hAnsi="Arial" w:cs="Arial"/>
            <w:noProof/>
            <w:sz w:val="20"/>
            <w:szCs w:val="20"/>
          </w:rPr>
          <w:tab/>
        </w:r>
        <w:r>
          <w:rPr>
            <w:rStyle w:val="Hyperlink"/>
            <w:rFonts w:ascii="Arial" w:hAnsi="Arial" w:cs="Arial"/>
            <w:noProof/>
            <w:sz w:val="20"/>
            <w:szCs w:val="20"/>
          </w:rPr>
          <w:t>Map of Australia</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_Toc318962120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vi</w:t>
        </w:r>
        <w:r>
          <w:rPr>
            <w:rFonts w:ascii="Arial" w:hAnsi="Arial" w:cs="Arial"/>
            <w:noProof/>
            <w:webHidden/>
            <w:sz w:val="20"/>
            <w:szCs w:val="20"/>
          </w:rPr>
          <w:fldChar w:fldCharType="end"/>
        </w:r>
      </w:hyperlink>
    </w:p>
    <w:p w14:paraId="0915CFF4"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1" w:history="1">
        <w:r>
          <w:rPr>
            <w:rStyle w:val="Hyperlink"/>
            <w:rFonts w:ascii="Arial" w:hAnsi="Arial" w:cs="Arial"/>
            <w:noProof/>
            <w:sz w:val="20"/>
            <w:szCs w:val="20"/>
          </w:rPr>
          <w:t>Figure 2</w:t>
        </w:r>
        <w:r>
          <w:rPr>
            <w:rFonts w:ascii="Arial" w:eastAsia="Times New Roman" w:hAnsi="Arial" w:cs="Arial"/>
            <w:noProof/>
            <w:sz w:val="20"/>
            <w:szCs w:val="20"/>
          </w:rPr>
          <w:tab/>
        </w:r>
        <w:r>
          <w:rPr>
            <w:rStyle w:val="Hyperlink"/>
            <w:rFonts w:ascii="Arial" w:hAnsi="Arial" w:cs="Arial"/>
            <w:noProof/>
            <w:sz w:val="20"/>
            <w:szCs w:val="20"/>
          </w:rPr>
          <w:t>Mangosteen production areas in Australia</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_Toc318962121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vi</w:t>
        </w:r>
        <w:r>
          <w:rPr>
            <w:rFonts w:ascii="Arial" w:hAnsi="Arial" w:cs="Arial"/>
            <w:noProof/>
            <w:webHidden/>
            <w:sz w:val="20"/>
            <w:szCs w:val="20"/>
          </w:rPr>
          <w:fldChar w:fldCharType="end"/>
        </w:r>
      </w:hyperlink>
    </w:p>
    <w:p w14:paraId="24D76908"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2" w:history="1">
        <w:r>
          <w:rPr>
            <w:rStyle w:val="Hyperlink"/>
            <w:rFonts w:ascii="Arial" w:hAnsi="Arial" w:cs="Arial"/>
            <w:noProof/>
            <w:sz w:val="20"/>
            <w:szCs w:val="20"/>
          </w:rPr>
          <w:t>Figure 3</w:t>
        </w:r>
        <w:r>
          <w:rPr>
            <w:rFonts w:ascii="Arial" w:eastAsia="Times New Roman" w:hAnsi="Arial" w:cs="Arial"/>
            <w:noProof/>
            <w:sz w:val="20"/>
            <w:szCs w:val="20"/>
          </w:rPr>
          <w:tab/>
        </w:r>
        <w:r>
          <w:rPr>
            <w:rStyle w:val="Hyperlink"/>
            <w:rFonts w:ascii="Arial" w:hAnsi="Arial" w:cs="Arial"/>
            <w:noProof/>
            <w:sz w:val="20"/>
            <w:szCs w:val="20"/>
          </w:rPr>
          <w:t>A guide to Australia’s bio-climatic zones</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_Toc318962122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vii</w:t>
        </w:r>
        <w:r>
          <w:rPr>
            <w:rFonts w:ascii="Arial" w:hAnsi="Arial" w:cs="Arial"/>
            <w:noProof/>
            <w:webHidden/>
            <w:sz w:val="20"/>
            <w:szCs w:val="20"/>
          </w:rPr>
          <w:fldChar w:fldCharType="end"/>
        </w:r>
      </w:hyperlink>
    </w:p>
    <w:p w14:paraId="76E523E1"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3" w:history="1">
        <w:r>
          <w:rPr>
            <w:rStyle w:val="Hyperlink"/>
            <w:rFonts w:ascii="Arial" w:hAnsi="Arial" w:cs="Arial"/>
            <w:noProof/>
            <w:sz w:val="20"/>
            <w:szCs w:val="20"/>
          </w:rPr>
          <w:t>Figure 4</w:t>
        </w:r>
        <w:r>
          <w:rPr>
            <w:rFonts w:ascii="Arial" w:eastAsia="Times New Roman" w:hAnsi="Arial" w:cs="Arial"/>
            <w:noProof/>
            <w:sz w:val="20"/>
            <w:szCs w:val="20"/>
          </w:rPr>
          <w:tab/>
        </w:r>
        <w:r>
          <w:rPr>
            <w:rStyle w:val="Hyperlink"/>
            <w:rFonts w:ascii="Arial" w:hAnsi="Arial" w:cs="Arial"/>
            <w:noProof/>
            <w:sz w:val="20"/>
            <w:szCs w:val="20"/>
          </w:rPr>
          <w:t>Diagram of a mangosteen fruit</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_Toc318962123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viii</w:t>
        </w:r>
        <w:r>
          <w:rPr>
            <w:rFonts w:ascii="Arial" w:hAnsi="Arial" w:cs="Arial"/>
            <w:noProof/>
            <w:webHidden/>
            <w:sz w:val="20"/>
            <w:szCs w:val="20"/>
          </w:rPr>
          <w:fldChar w:fldCharType="end"/>
        </w:r>
      </w:hyperlink>
    </w:p>
    <w:p w14:paraId="4F9E75FC"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4" w:history="1">
        <w:r>
          <w:rPr>
            <w:rStyle w:val="Hyperlink"/>
            <w:rFonts w:ascii="Arial" w:hAnsi="Arial" w:cs="Arial"/>
            <w:noProof/>
            <w:sz w:val="20"/>
            <w:szCs w:val="20"/>
          </w:rPr>
          <w:t>Figure 5</w:t>
        </w:r>
        <w:r>
          <w:rPr>
            <w:rFonts w:ascii="Arial" w:eastAsia="Times New Roman" w:hAnsi="Arial" w:cs="Arial"/>
            <w:noProof/>
            <w:sz w:val="20"/>
            <w:szCs w:val="20"/>
          </w:rPr>
          <w:tab/>
        </w:r>
        <w:r>
          <w:rPr>
            <w:rStyle w:val="Hyperlink"/>
            <w:rFonts w:ascii="Arial" w:hAnsi="Arial" w:cs="Arial"/>
            <w:noProof/>
            <w:sz w:val="20"/>
            <w:szCs w:val="20"/>
          </w:rPr>
          <w:t>Map of Indonesia</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_Toc318962124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17</w:t>
        </w:r>
        <w:r>
          <w:rPr>
            <w:rFonts w:ascii="Arial" w:hAnsi="Arial" w:cs="Arial"/>
            <w:noProof/>
            <w:webHidden/>
            <w:sz w:val="20"/>
            <w:szCs w:val="20"/>
          </w:rPr>
          <w:fldChar w:fldCharType="end"/>
        </w:r>
      </w:hyperlink>
    </w:p>
    <w:p w14:paraId="0D211925"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5" w:history="1">
        <w:r>
          <w:rPr>
            <w:rStyle w:val="Hyperlink"/>
            <w:rFonts w:ascii="Arial" w:hAnsi="Arial" w:cs="Arial"/>
            <w:noProof/>
            <w:sz w:val="20"/>
            <w:szCs w:val="20"/>
          </w:rPr>
          <w:t>Figure 6</w:t>
        </w:r>
        <w:r>
          <w:rPr>
            <w:rFonts w:ascii="Arial" w:eastAsia="Times New Roman" w:hAnsi="Arial" w:cs="Arial"/>
            <w:noProof/>
            <w:sz w:val="20"/>
            <w:szCs w:val="20"/>
          </w:rPr>
          <w:tab/>
        </w:r>
        <w:r>
          <w:rPr>
            <w:rStyle w:val="Hyperlink"/>
            <w:rFonts w:ascii="Arial" w:hAnsi="Arial" w:cs="Arial"/>
            <w:noProof/>
            <w:sz w:val="20"/>
            <w:szCs w:val="20"/>
          </w:rPr>
          <w:t>Terrace planting and trough</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_Toc318962125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20</w:t>
        </w:r>
        <w:r>
          <w:rPr>
            <w:rFonts w:ascii="Arial" w:hAnsi="Arial" w:cs="Arial"/>
            <w:noProof/>
            <w:webHidden/>
            <w:sz w:val="20"/>
            <w:szCs w:val="20"/>
          </w:rPr>
          <w:fldChar w:fldCharType="end"/>
        </w:r>
      </w:hyperlink>
    </w:p>
    <w:p w14:paraId="49CE56B0"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6" w:history="1">
        <w:r>
          <w:rPr>
            <w:rStyle w:val="Hyperlink"/>
            <w:rFonts w:ascii="Arial" w:hAnsi="Arial" w:cs="Arial"/>
            <w:noProof/>
            <w:sz w:val="20"/>
            <w:szCs w:val="20"/>
          </w:rPr>
          <w:t>Figure 7</w:t>
        </w:r>
        <w:r>
          <w:rPr>
            <w:rFonts w:ascii="Arial" w:eastAsia="Times New Roman" w:hAnsi="Arial" w:cs="Arial"/>
            <w:noProof/>
            <w:sz w:val="20"/>
            <w:szCs w:val="20"/>
          </w:rPr>
          <w:tab/>
        </w:r>
        <w:r>
          <w:rPr>
            <w:rStyle w:val="Hyperlink"/>
            <w:rFonts w:ascii="Arial" w:hAnsi="Arial" w:cs="Arial"/>
            <w:noProof/>
            <w:sz w:val="20"/>
            <w:szCs w:val="20"/>
          </w:rPr>
          <w:t>Different types of harvesting poles</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_Toc318962126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23</w:t>
        </w:r>
        <w:r>
          <w:rPr>
            <w:rFonts w:ascii="Arial" w:hAnsi="Arial" w:cs="Arial"/>
            <w:noProof/>
            <w:webHidden/>
            <w:sz w:val="20"/>
            <w:szCs w:val="20"/>
          </w:rPr>
          <w:fldChar w:fldCharType="end"/>
        </w:r>
      </w:hyperlink>
    </w:p>
    <w:p w14:paraId="0BE08B43"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7" w:history="1">
        <w:r>
          <w:rPr>
            <w:rStyle w:val="Hyperlink"/>
            <w:rFonts w:ascii="Arial" w:hAnsi="Arial" w:cs="Arial"/>
            <w:noProof/>
            <w:sz w:val="20"/>
            <w:szCs w:val="20"/>
          </w:rPr>
          <w:t>Figure 8</w:t>
        </w:r>
        <w:r>
          <w:rPr>
            <w:rFonts w:ascii="Arial" w:eastAsia="Times New Roman" w:hAnsi="Arial" w:cs="Arial"/>
            <w:noProof/>
            <w:sz w:val="20"/>
            <w:szCs w:val="20"/>
          </w:rPr>
          <w:tab/>
        </w:r>
        <w:r>
          <w:rPr>
            <w:rStyle w:val="Hyperlink"/>
            <w:rFonts w:ascii="Arial" w:hAnsi="Arial" w:cs="Arial"/>
            <w:noProof/>
            <w:sz w:val="20"/>
            <w:szCs w:val="20"/>
          </w:rPr>
          <w:t>Harvesting of mangosteen fruit and bamboo basket lined with banana leaves</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_Toc318962127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23</w:t>
        </w:r>
        <w:r>
          <w:rPr>
            <w:rFonts w:ascii="Arial" w:hAnsi="Arial" w:cs="Arial"/>
            <w:noProof/>
            <w:webHidden/>
            <w:sz w:val="20"/>
            <w:szCs w:val="20"/>
          </w:rPr>
          <w:fldChar w:fldCharType="end"/>
        </w:r>
      </w:hyperlink>
    </w:p>
    <w:p w14:paraId="404B3D57" w14:textId="77777777" w:rsidR="009D3DC8" w:rsidRDefault="009D3DC8">
      <w:pPr>
        <w:pStyle w:val="TableofFigures"/>
        <w:tabs>
          <w:tab w:val="left" w:pos="1701"/>
          <w:tab w:val="right" w:leader="dot" w:pos="9016"/>
        </w:tabs>
        <w:spacing w:after="120"/>
        <w:rPr>
          <w:rFonts w:ascii="Arial" w:eastAsia="Times New Roman" w:hAnsi="Arial" w:cs="Arial"/>
          <w:noProof/>
          <w:sz w:val="20"/>
          <w:szCs w:val="20"/>
        </w:rPr>
      </w:pPr>
      <w:hyperlink w:anchor="_Toc318962128" w:history="1">
        <w:r>
          <w:rPr>
            <w:rStyle w:val="Hyperlink"/>
            <w:rFonts w:ascii="Arial" w:hAnsi="Arial" w:cs="Arial"/>
            <w:noProof/>
            <w:sz w:val="20"/>
            <w:szCs w:val="20"/>
          </w:rPr>
          <w:t>Figure 9</w:t>
        </w:r>
        <w:r>
          <w:rPr>
            <w:rFonts w:ascii="Arial" w:eastAsia="Times New Roman" w:hAnsi="Arial" w:cs="Arial"/>
            <w:noProof/>
            <w:sz w:val="20"/>
            <w:szCs w:val="20"/>
          </w:rPr>
          <w:tab/>
        </w:r>
        <w:r>
          <w:rPr>
            <w:rStyle w:val="Hyperlink"/>
            <w:rFonts w:ascii="Arial" w:hAnsi="Arial" w:cs="Arial"/>
            <w:noProof/>
            <w:sz w:val="20"/>
            <w:szCs w:val="20"/>
          </w:rPr>
          <w:t>Initial sorting of mangosteen fruit at the collection house</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_Toc318962128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24</w:t>
        </w:r>
        <w:r>
          <w:rPr>
            <w:rFonts w:ascii="Arial" w:hAnsi="Arial" w:cs="Arial"/>
            <w:noProof/>
            <w:webHidden/>
            <w:sz w:val="20"/>
            <w:szCs w:val="20"/>
          </w:rPr>
          <w:fldChar w:fldCharType="end"/>
        </w:r>
      </w:hyperlink>
    </w:p>
    <w:p w14:paraId="217D0EB2" w14:textId="77777777" w:rsidR="009D3DC8" w:rsidRDefault="009D3DC8">
      <w:pPr>
        <w:pStyle w:val="TableofFigures"/>
        <w:tabs>
          <w:tab w:val="left" w:pos="1701"/>
          <w:tab w:val="right" w:leader="dot" w:pos="9016"/>
        </w:tabs>
        <w:spacing w:after="120"/>
        <w:ind w:left="1701" w:hanging="1701"/>
        <w:rPr>
          <w:rFonts w:ascii="Arial" w:eastAsia="Times New Roman" w:hAnsi="Arial" w:cs="Arial"/>
          <w:noProof/>
          <w:sz w:val="20"/>
          <w:szCs w:val="20"/>
        </w:rPr>
      </w:pPr>
      <w:hyperlink w:anchor="_Toc318962129" w:history="1">
        <w:r>
          <w:rPr>
            <w:rStyle w:val="Hyperlink"/>
            <w:rFonts w:ascii="Arial" w:hAnsi="Arial" w:cs="Arial"/>
            <w:noProof/>
            <w:sz w:val="20"/>
            <w:szCs w:val="20"/>
          </w:rPr>
          <w:t>Figure 10</w:t>
        </w:r>
        <w:r>
          <w:rPr>
            <w:rFonts w:ascii="Arial" w:eastAsia="Times New Roman" w:hAnsi="Arial" w:cs="Arial"/>
            <w:noProof/>
            <w:sz w:val="20"/>
            <w:szCs w:val="20"/>
          </w:rPr>
          <w:tab/>
        </w:r>
        <w:r>
          <w:rPr>
            <w:rStyle w:val="Hyperlink"/>
            <w:rFonts w:ascii="Arial" w:hAnsi="Arial" w:cs="Arial"/>
            <w:noProof/>
            <w:sz w:val="20"/>
            <w:szCs w:val="20"/>
          </w:rPr>
          <w:t>Summary of orchard and post-harvest steps for mangosteen fruit grown in Indonesia for export</w:t>
        </w:r>
        <w:r>
          <w:rPr>
            <w:rFonts w:ascii="Arial" w:hAnsi="Arial" w:cs="Arial"/>
            <w:noProof/>
            <w:webHidden/>
            <w:sz w:val="20"/>
            <w:szCs w:val="20"/>
          </w:rPr>
          <w:tab/>
        </w:r>
        <w:r>
          <w:rPr>
            <w:rFonts w:ascii="Arial" w:hAnsi="Arial" w:cs="Arial"/>
            <w:noProof/>
            <w:webHidden/>
            <w:sz w:val="20"/>
            <w:szCs w:val="20"/>
          </w:rPr>
          <w:fldChar w:fldCharType="begin"/>
        </w:r>
        <w:r>
          <w:rPr>
            <w:rFonts w:ascii="Arial" w:hAnsi="Arial" w:cs="Arial"/>
            <w:noProof/>
            <w:webHidden/>
            <w:sz w:val="20"/>
            <w:szCs w:val="20"/>
          </w:rPr>
          <w:instrText xml:space="preserve"> PAGEREF _Toc318962129 \h </w:instrText>
        </w:r>
        <w:r>
          <w:rPr>
            <w:rFonts w:ascii="Arial" w:hAnsi="Arial" w:cs="Arial"/>
            <w:noProof/>
            <w:webHidden/>
            <w:sz w:val="20"/>
            <w:szCs w:val="20"/>
          </w:rPr>
        </w:r>
        <w:r>
          <w:rPr>
            <w:rFonts w:ascii="Arial" w:hAnsi="Arial" w:cs="Arial"/>
            <w:noProof/>
            <w:webHidden/>
            <w:sz w:val="20"/>
            <w:szCs w:val="20"/>
          </w:rPr>
          <w:fldChar w:fldCharType="separate"/>
        </w:r>
        <w:r>
          <w:rPr>
            <w:rFonts w:ascii="Arial" w:hAnsi="Arial" w:cs="Arial"/>
            <w:noProof/>
            <w:webHidden/>
            <w:sz w:val="20"/>
            <w:szCs w:val="20"/>
          </w:rPr>
          <w:t>27</w:t>
        </w:r>
        <w:r>
          <w:rPr>
            <w:rFonts w:ascii="Arial" w:hAnsi="Arial" w:cs="Arial"/>
            <w:noProof/>
            <w:webHidden/>
            <w:sz w:val="20"/>
            <w:szCs w:val="20"/>
          </w:rPr>
          <w:fldChar w:fldCharType="end"/>
        </w:r>
      </w:hyperlink>
    </w:p>
    <w:p w14:paraId="55A97F35" w14:textId="77777777" w:rsidR="009D3DC8" w:rsidRDefault="009D3DC8">
      <w:pPr>
        <w:pStyle w:val="Figure"/>
        <w:spacing w:before="0"/>
        <w:rPr>
          <w:b w:val="0"/>
        </w:rPr>
        <w:sectPr w:rsidR="009D3DC8">
          <w:headerReference w:type="default" r:id="rId19"/>
          <w:footerReference w:type="default" r:id="rId20"/>
          <w:type w:val="oddPage"/>
          <w:pgSz w:w="11906" w:h="16838"/>
          <w:pgMar w:top="1440" w:right="1440" w:bottom="1440" w:left="1440" w:header="708" w:footer="708" w:gutter="0"/>
          <w:pgNumType w:fmt="lowerRoman"/>
          <w:cols w:space="708"/>
          <w:docGrid w:linePitch="360"/>
        </w:sectPr>
      </w:pPr>
      <w:r>
        <w:rPr>
          <w:b w:val="0"/>
        </w:rPr>
        <w:fldChar w:fldCharType="end"/>
      </w:r>
      <w:bookmarkEnd w:id="10"/>
      <w:bookmarkEnd w:id="11"/>
    </w:p>
    <w:p w14:paraId="6281E51A" w14:textId="77777777" w:rsidR="009D3DC8" w:rsidRDefault="009D3DC8">
      <w:pPr>
        <w:pStyle w:val="Figure"/>
        <w:spacing w:before="0"/>
      </w:pPr>
      <w:r>
        <w:rPr>
          <w:noProof/>
          <w:lang w:eastAsia="en-AU"/>
        </w:rPr>
        <w:lastRenderedPageBreak/>
        <w:pict w14:anchorId="5E297D99">
          <v:shape id="Picture 3" o:spid="_x0000_i1028" type="#_x0000_t75" alt="Australia map" style="width:321.75pt;height:278.25pt;visibility:visible">
            <v:imagedata r:id="rId21" o:title="Australia map"/>
          </v:shape>
        </w:pict>
      </w:r>
    </w:p>
    <w:p w14:paraId="2C3EEFE9" w14:textId="77777777" w:rsidR="009D3DC8" w:rsidRDefault="009D3DC8">
      <w:pPr>
        <w:pStyle w:val="Figure"/>
      </w:pPr>
      <w:bookmarkStart w:id="14" w:name="_Toc318962120"/>
      <w:r>
        <w:t>Figure 1</w:t>
      </w:r>
      <w:r>
        <w:tab/>
        <w:t>Map of Australia</w:t>
      </w:r>
      <w:bookmarkEnd w:id="14"/>
    </w:p>
    <w:p w14:paraId="058692D8" w14:textId="77777777" w:rsidR="009D3DC8" w:rsidRDefault="009D3DC8">
      <w:pPr>
        <w:pStyle w:val="Body"/>
      </w:pPr>
    </w:p>
    <w:p w14:paraId="16BC09BD" w14:textId="77777777" w:rsidR="009D3DC8" w:rsidRDefault="009D3DC8">
      <w:pPr>
        <w:pStyle w:val="Body"/>
      </w:pPr>
    </w:p>
    <w:p w14:paraId="46CE6403" w14:textId="77777777" w:rsidR="009D3DC8" w:rsidRDefault="009D3DC8">
      <w:pPr>
        <w:pStyle w:val="Body"/>
      </w:pPr>
    </w:p>
    <w:p w14:paraId="76DFA473" w14:textId="77777777" w:rsidR="009D3DC8" w:rsidRDefault="009D3DC8">
      <w:pPr>
        <w:pStyle w:val="Body"/>
        <w:jc w:val="left"/>
      </w:pPr>
      <w:r>
        <w:rPr>
          <w:noProof/>
          <w:lang w:eastAsia="en-AU"/>
        </w:rPr>
        <w:pict w14:anchorId="78C43357">
          <v:shape id="Picture 10" o:spid="_x0000_i1029" type="#_x0000_t75" alt="prodution map 17Feb2012.JPG" style="width:326.25pt;height:285.75pt;visibility:visible">
            <v:imagedata r:id="rId22" o:title="prodution map 17Feb2012"/>
          </v:shape>
        </w:pict>
      </w:r>
    </w:p>
    <w:p w14:paraId="7CB4B60D" w14:textId="77777777" w:rsidR="009D3DC8" w:rsidRDefault="009D3DC8">
      <w:pPr>
        <w:pStyle w:val="Figure"/>
      </w:pPr>
      <w:bookmarkStart w:id="15" w:name="_Toc318962121"/>
      <w:r>
        <w:t>Figure 2</w:t>
      </w:r>
      <w:r>
        <w:tab/>
        <w:t>Mangosteen production areas in Australia</w:t>
      </w:r>
      <w:bookmarkEnd w:id="15"/>
    </w:p>
    <w:p w14:paraId="3BB90EAD" w14:textId="77777777" w:rsidR="009D3DC8" w:rsidRDefault="009D3DC8">
      <w:pPr>
        <w:keepNext/>
        <w:sectPr w:rsidR="009D3DC8">
          <w:headerReference w:type="default" r:id="rId23"/>
          <w:pgSz w:w="11906" w:h="16838"/>
          <w:pgMar w:top="1440" w:right="1440" w:bottom="1440" w:left="1440" w:header="708" w:footer="708" w:gutter="0"/>
          <w:pgNumType w:fmt="lowerRoman"/>
          <w:cols w:space="708"/>
          <w:docGrid w:linePitch="360"/>
        </w:sectPr>
      </w:pPr>
    </w:p>
    <w:p w14:paraId="4574E9B9" w14:textId="77777777" w:rsidR="009D3DC8" w:rsidRDefault="009D3DC8">
      <w:pPr>
        <w:keepNext/>
      </w:pPr>
      <w:r>
        <w:rPr>
          <w:rFonts w:ascii="Helvetica" w:hAnsi="Helvetica" w:cs="Arial"/>
          <w:noProof/>
          <w:sz w:val="20"/>
          <w:szCs w:val="20"/>
          <w:lang w:eastAsia="en-AU"/>
        </w:rPr>
        <w:lastRenderedPageBreak/>
        <w:pict w14:anchorId="19F28BDD">
          <v:shape id="Picture 4" o:spid="_x0000_i1030" type="#_x0000_t75" alt="climate map" style="width:451.5pt;height:321.75pt;visibility:visible" o:bordertopcolor="black" o:borderleftcolor="black" o:borderbottomcolor="black" o:borderrightcolor="black">
            <v:imagedata r:id="rId24" o:title="climate map"/>
            <w10:bordertop type="single" width="4"/>
            <w10:borderleft type="single" width="4"/>
            <w10:borderbottom type="single" width="4"/>
            <w10:borderright type="single" width="4"/>
          </v:shape>
        </w:pict>
      </w:r>
    </w:p>
    <w:p w14:paraId="3137471C" w14:textId="77777777" w:rsidR="009D3DC8" w:rsidRDefault="009D3DC8">
      <w:pPr>
        <w:pStyle w:val="Figure"/>
      </w:pPr>
      <w:bookmarkStart w:id="16" w:name="_Toc318962122"/>
      <w:r>
        <w:t>Figure 3</w:t>
      </w:r>
      <w:r>
        <w:tab/>
        <w:t>A guide to Australia’s bio-climatic zones</w:t>
      </w:r>
      <w:bookmarkStart w:id="17" w:name="_Toc285095341"/>
      <w:bookmarkEnd w:id="16"/>
    </w:p>
    <w:p w14:paraId="30AFBC0A" w14:textId="77777777" w:rsidR="009D3DC8" w:rsidRDefault="009D3DC8">
      <w:pPr>
        <w:rPr>
          <w:sz w:val="24"/>
          <w:highlight w:val="yellow"/>
        </w:rPr>
      </w:pPr>
    </w:p>
    <w:p w14:paraId="60CD8E51" w14:textId="77777777" w:rsidR="009D3DC8" w:rsidRDefault="009D3DC8">
      <w:pPr>
        <w:spacing w:after="180"/>
        <w:rPr>
          <w:sz w:val="24"/>
          <w:highlight w:val="yellow"/>
        </w:rPr>
        <w:sectPr w:rsidR="009D3DC8">
          <w:pgSz w:w="11906" w:h="16838"/>
          <w:pgMar w:top="1440" w:right="1440" w:bottom="1440" w:left="1440" w:header="708" w:footer="708" w:gutter="0"/>
          <w:pgNumType w:fmt="lowerRoman"/>
          <w:cols w:space="708"/>
          <w:docGrid w:linePitch="360"/>
        </w:sectPr>
      </w:pPr>
    </w:p>
    <w:p w14:paraId="48D9AC97" w14:textId="77777777" w:rsidR="009D3DC8" w:rsidRDefault="009D3DC8">
      <w:pPr>
        <w:spacing w:after="180"/>
        <w:rPr>
          <w:sz w:val="24"/>
          <w:highlight w:val="yellow"/>
        </w:rPr>
      </w:pPr>
      <w:r>
        <w:rPr>
          <w:noProof/>
          <w:sz w:val="24"/>
          <w:lang w:eastAsia="en-AU"/>
        </w:rPr>
        <w:lastRenderedPageBreak/>
        <w:pict w14:anchorId="08EC6F7C">
          <v:shape id="_x0000_i1031" type="#_x0000_t75" style="width:441pt;height:349.5pt;visibility:visible">
            <v:imagedata r:id="rId25" o:title="mangosteen descriptiors Final1a"/>
          </v:shape>
        </w:pict>
      </w:r>
    </w:p>
    <w:p w14:paraId="61BEFDA9" w14:textId="77777777" w:rsidR="009D3DC8" w:rsidRDefault="009D3DC8">
      <w:pPr>
        <w:pStyle w:val="Figure"/>
      </w:pPr>
      <w:bookmarkStart w:id="18" w:name="_Toc318962123"/>
      <w:r>
        <w:t>Figure 4</w:t>
      </w:r>
      <w:r>
        <w:tab/>
        <w:t>Diagram of a mangosteen fruit (modified from Osman and Milan 2006)</w:t>
      </w:r>
      <w:bookmarkEnd w:id="18"/>
    </w:p>
    <w:p w14:paraId="7716304E" w14:textId="77777777" w:rsidR="009D3DC8" w:rsidRDefault="009D3DC8">
      <w:pPr>
        <w:pStyle w:val="Body"/>
        <w:sectPr w:rsidR="009D3DC8">
          <w:headerReference w:type="default" r:id="rId26"/>
          <w:pgSz w:w="11906" w:h="16838" w:code="9"/>
          <w:pgMar w:top="1440" w:right="1440" w:bottom="1418" w:left="1440" w:header="709" w:footer="709" w:gutter="0"/>
          <w:pgNumType w:fmt="lowerRoman"/>
          <w:cols w:space="708"/>
          <w:docGrid w:linePitch="360"/>
        </w:sectPr>
      </w:pPr>
    </w:p>
    <w:p w14:paraId="29482077" w14:textId="77777777" w:rsidR="009D3DC8" w:rsidRDefault="009D3DC8">
      <w:pPr>
        <w:pStyle w:val="Heading1"/>
        <w:numPr>
          <w:ilvl w:val="0"/>
          <w:numId w:val="0"/>
        </w:numPr>
        <w:spacing w:before="120" w:after="360" w:line="340" w:lineRule="atLeast"/>
        <w:ind w:left="720" w:hanging="720"/>
      </w:pPr>
      <w:bookmarkStart w:id="19" w:name="_Toc325618423"/>
      <w:r>
        <w:lastRenderedPageBreak/>
        <w:t>Acronyms and abbreviations</w:t>
      </w:r>
      <w:bookmarkEnd w:id="17"/>
      <w:bookmarkEnd w:id="19"/>
    </w:p>
    <w:tbl>
      <w:tblPr>
        <w:tblW w:w="4900" w:type="pct"/>
        <w:tblInd w:w="115" w:type="dxa"/>
        <w:tblBorders>
          <w:top w:val="single" w:sz="4" w:space="0" w:color="000000"/>
          <w:left w:val="single" w:sz="4" w:space="0" w:color="auto"/>
          <w:bottom w:val="single" w:sz="4" w:space="0" w:color="000000"/>
          <w:right w:val="single" w:sz="4" w:space="0" w:color="auto"/>
          <w:insideH w:val="single" w:sz="8" w:space="0" w:color="C0C0C0"/>
          <w:insideV w:val="single" w:sz="8" w:space="0" w:color="C0C0C0"/>
        </w:tblBorders>
        <w:tblLayout w:type="fixed"/>
        <w:tblCellMar>
          <w:left w:w="115" w:type="dxa"/>
          <w:right w:w="115" w:type="dxa"/>
        </w:tblCellMar>
        <w:tblLook w:val="00BF" w:firstRow="1" w:lastRow="0" w:firstColumn="1" w:lastColumn="0" w:noHBand="0" w:noVBand="0"/>
      </w:tblPr>
      <w:tblGrid>
        <w:gridCol w:w="2111"/>
        <w:gridCol w:w="6960"/>
      </w:tblGrid>
      <w:tr w:rsidR="009D3DC8" w14:paraId="210031E0" w14:textId="77777777">
        <w:trPr>
          <w:cantSplit/>
          <w:tblHeader/>
        </w:trPr>
        <w:tc>
          <w:tcPr>
            <w:tcW w:w="2111" w:type="dxa"/>
            <w:tcBorders>
              <w:top w:val="single" w:sz="8" w:space="0" w:color="auto"/>
              <w:left w:val="single" w:sz="8" w:space="0" w:color="000000"/>
              <w:bottom w:val="single" w:sz="8" w:space="0" w:color="auto"/>
              <w:right w:val="single" w:sz="8" w:space="0" w:color="A6A6A6"/>
            </w:tcBorders>
            <w:shd w:val="clear" w:color="auto" w:fill="D9D9D9"/>
          </w:tcPr>
          <w:p w14:paraId="4F124015" w14:textId="77777777" w:rsidR="009D3DC8" w:rsidRDefault="009D3DC8">
            <w:pPr>
              <w:pStyle w:val="TableText1"/>
              <w:spacing w:line="240" w:lineRule="auto"/>
              <w:ind w:right="26"/>
              <w:rPr>
                <w:rFonts w:ascii="Arial" w:hAnsi="Arial" w:cs="Arial"/>
                <w:b/>
              </w:rPr>
            </w:pPr>
            <w:r>
              <w:rPr>
                <w:rFonts w:ascii="Arial" w:hAnsi="Arial" w:cs="Arial"/>
                <w:b/>
              </w:rPr>
              <w:t>Term or abbreviation</w:t>
            </w:r>
          </w:p>
        </w:tc>
        <w:tc>
          <w:tcPr>
            <w:tcW w:w="6960" w:type="dxa"/>
            <w:tcBorders>
              <w:top w:val="single" w:sz="8" w:space="0" w:color="auto"/>
              <w:left w:val="single" w:sz="8" w:space="0" w:color="A6A6A6"/>
              <w:bottom w:val="single" w:sz="8" w:space="0" w:color="auto"/>
              <w:right w:val="single" w:sz="8" w:space="0" w:color="auto"/>
            </w:tcBorders>
            <w:shd w:val="clear" w:color="auto" w:fill="D9D9D9"/>
          </w:tcPr>
          <w:p w14:paraId="0A315114" w14:textId="77777777" w:rsidR="009D3DC8" w:rsidRDefault="009D3DC8">
            <w:pPr>
              <w:pStyle w:val="TableText1"/>
              <w:spacing w:line="240" w:lineRule="auto"/>
              <w:rPr>
                <w:rFonts w:ascii="Arial" w:hAnsi="Arial" w:cs="Arial"/>
                <w:b/>
              </w:rPr>
            </w:pPr>
            <w:r>
              <w:rPr>
                <w:rFonts w:ascii="Arial" w:hAnsi="Arial" w:cs="Arial"/>
                <w:b/>
              </w:rPr>
              <w:t>Definition</w:t>
            </w:r>
          </w:p>
        </w:tc>
      </w:tr>
      <w:tr w:rsidR="009D3DC8" w14:paraId="43B81B61" w14:textId="77777777">
        <w:trPr>
          <w:cantSplit/>
          <w:trHeight w:val="280"/>
          <w:tblHeader/>
        </w:trPr>
        <w:tc>
          <w:tcPr>
            <w:tcW w:w="2111" w:type="dxa"/>
            <w:tcBorders>
              <w:top w:val="single" w:sz="8" w:space="0" w:color="C0C0C0"/>
              <w:left w:val="single" w:sz="4" w:space="0" w:color="auto"/>
              <w:bottom w:val="single" w:sz="8" w:space="0" w:color="C0C0C0"/>
              <w:right w:val="single" w:sz="8" w:space="0" w:color="C0C0C0"/>
            </w:tcBorders>
          </w:tcPr>
          <w:p w14:paraId="1F862E67" w14:textId="77777777" w:rsidR="009D3DC8" w:rsidRDefault="009D3DC8">
            <w:pPr>
              <w:pStyle w:val="TableText1"/>
              <w:spacing w:line="240" w:lineRule="auto"/>
              <w:rPr>
                <w:rFonts w:ascii="Arial" w:hAnsi="Arial" w:cs="Arial"/>
              </w:rPr>
            </w:pPr>
            <w:r>
              <w:rPr>
                <w:rFonts w:ascii="Arial" w:hAnsi="Arial" w:cs="Arial"/>
              </w:rPr>
              <w:t>ACT</w:t>
            </w:r>
          </w:p>
        </w:tc>
        <w:tc>
          <w:tcPr>
            <w:tcW w:w="6960" w:type="dxa"/>
            <w:tcBorders>
              <w:top w:val="single" w:sz="8" w:space="0" w:color="C0C0C0"/>
              <w:left w:val="single" w:sz="8" w:space="0" w:color="C0C0C0"/>
              <w:bottom w:val="single" w:sz="8" w:space="0" w:color="C0C0C0"/>
              <w:right w:val="single" w:sz="4" w:space="0" w:color="auto"/>
            </w:tcBorders>
          </w:tcPr>
          <w:p w14:paraId="79AED897"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Australian Capital Territory</w:t>
                </w:r>
              </w:smartTag>
            </w:smartTag>
          </w:p>
        </w:tc>
      </w:tr>
      <w:tr w:rsidR="009D3DC8" w14:paraId="1A80FAF6" w14:textId="77777777">
        <w:trPr>
          <w:cantSplit/>
          <w:trHeight w:val="199"/>
          <w:tblHeader/>
        </w:trPr>
        <w:tc>
          <w:tcPr>
            <w:tcW w:w="2111" w:type="dxa"/>
            <w:tcBorders>
              <w:top w:val="single" w:sz="8" w:space="0" w:color="C0C0C0"/>
              <w:left w:val="single" w:sz="4" w:space="0" w:color="auto"/>
              <w:bottom w:val="single" w:sz="8" w:space="0" w:color="C0C0C0"/>
              <w:right w:val="single" w:sz="8" w:space="0" w:color="C0C0C0"/>
            </w:tcBorders>
          </w:tcPr>
          <w:p w14:paraId="08FF4244" w14:textId="77777777" w:rsidR="009D3DC8" w:rsidRDefault="009D3DC8">
            <w:pPr>
              <w:pStyle w:val="TableText1"/>
              <w:spacing w:line="240" w:lineRule="auto"/>
              <w:rPr>
                <w:rFonts w:ascii="Arial" w:hAnsi="Arial" w:cs="Arial"/>
              </w:rPr>
            </w:pPr>
            <w:r>
              <w:rPr>
                <w:rFonts w:ascii="Arial" w:hAnsi="Arial" w:cs="Arial"/>
              </w:rPr>
              <w:t>AFAS</w:t>
            </w:r>
          </w:p>
        </w:tc>
        <w:tc>
          <w:tcPr>
            <w:tcW w:w="6960" w:type="dxa"/>
            <w:tcBorders>
              <w:top w:val="single" w:sz="8" w:space="0" w:color="C0C0C0"/>
              <w:left w:val="single" w:sz="8" w:space="0" w:color="C0C0C0"/>
              <w:bottom w:val="single" w:sz="8" w:space="0" w:color="C0C0C0"/>
              <w:right w:val="single" w:sz="4" w:space="0" w:color="auto"/>
            </w:tcBorders>
          </w:tcPr>
          <w:p w14:paraId="439DDF01" w14:textId="77777777" w:rsidR="009D3DC8" w:rsidRDefault="009D3DC8">
            <w:pPr>
              <w:pStyle w:val="TableText1"/>
              <w:spacing w:line="240" w:lineRule="auto"/>
              <w:rPr>
                <w:rFonts w:ascii="Arial" w:hAnsi="Arial" w:cs="Arial"/>
              </w:rPr>
            </w:pPr>
            <w:r>
              <w:rPr>
                <w:rFonts w:ascii="Arial" w:hAnsi="Arial" w:cs="Arial"/>
              </w:rPr>
              <w:t>Australian Fumigation Accreditation Scheme</w:t>
            </w:r>
          </w:p>
        </w:tc>
      </w:tr>
      <w:tr w:rsidR="009D3DC8" w14:paraId="4E447550" w14:textId="77777777">
        <w:trPr>
          <w:cantSplit/>
          <w:trHeight w:val="147"/>
          <w:tblHeader/>
        </w:trPr>
        <w:tc>
          <w:tcPr>
            <w:tcW w:w="2111" w:type="dxa"/>
            <w:tcBorders>
              <w:top w:val="single" w:sz="8" w:space="0" w:color="C0C0C0"/>
              <w:left w:val="single" w:sz="4" w:space="0" w:color="auto"/>
              <w:bottom w:val="single" w:sz="8" w:space="0" w:color="C0C0C0"/>
              <w:right w:val="single" w:sz="8" w:space="0" w:color="C0C0C0"/>
            </w:tcBorders>
          </w:tcPr>
          <w:p w14:paraId="612881C9" w14:textId="77777777" w:rsidR="009D3DC8" w:rsidRDefault="009D3DC8">
            <w:pPr>
              <w:pStyle w:val="TableText1"/>
              <w:spacing w:line="240" w:lineRule="auto"/>
              <w:rPr>
                <w:rFonts w:ascii="Arial" w:hAnsi="Arial" w:cs="Arial"/>
              </w:rPr>
            </w:pPr>
            <w:r>
              <w:rPr>
                <w:rFonts w:ascii="Arial" w:hAnsi="Arial" w:cs="Arial"/>
              </w:rPr>
              <w:t>ALOP</w:t>
            </w:r>
          </w:p>
        </w:tc>
        <w:tc>
          <w:tcPr>
            <w:tcW w:w="6960" w:type="dxa"/>
            <w:tcBorders>
              <w:top w:val="single" w:sz="8" w:space="0" w:color="C0C0C0"/>
              <w:left w:val="single" w:sz="8" w:space="0" w:color="C0C0C0"/>
              <w:bottom w:val="single" w:sz="8" w:space="0" w:color="C0C0C0"/>
              <w:right w:val="single" w:sz="4" w:space="0" w:color="auto"/>
            </w:tcBorders>
          </w:tcPr>
          <w:p w14:paraId="6A07F4BA" w14:textId="77777777" w:rsidR="009D3DC8" w:rsidRDefault="009D3DC8">
            <w:pPr>
              <w:pStyle w:val="TableText1"/>
              <w:spacing w:line="240" w:lineRule="auto"/>
              <w:rPr>
                <w:rFonts w:ascii="Arial" w:hAnsi="Arial" w:cs="Arial"/>
              </w:rPr>
            </w:pPr>
            <w:r>
              <w:rPr>
                <w:rFonts w:ascii="Arial" w:hAnsi="Arial" w:cs="Arial"/>
              </w:rPr>
              <w:t>Appropriate level of protection</w:t>
            </w:r>
          </w:p>
        </w:tc>
      </w:tr>
      <w:tr w:rsidR="009D3DC8" w14:paraId="4C200755" w14:textId="77777777">
        <w:trPr>
          <w:cantSplit/>
          <w:trHeight w:val="209"/>
          <w:tblHeader/>
        </w:trPr>
        <w:tc>
          <w:tcPr>
            <w:tcW w:w="2111" w:type="dxa"/>
            <w:tcBorders>
              <w:top w:val="single" w:sz="8" w:space="0" w:color="C0C0C0"/>
              <w:left w:val="single" w:sz="4" w:space="0" w:color="auto"/>
              <w:bottom w:val="single" w:sz="8" w:space="0" w:color="C0C0C0"/>
              <w:right w:val="single" w:sz="8" w:space="0" w:color="C0C0C0"/>
            </w:tcBorders>
          </w:tcPr>
          <w:p w14:paraId="33554D90" w14:textId="77777777" w:rsidR="009D3DC8" w:rsidRDefault="009D3DC8">
            <w:pPr>
              <w:pStyle w:val="TableText1"/>
              <w:spacing w:line="240" w:lineRule="auto"/>
              <w:rPr>
                <w:rFonts w:ascii="Arial" w:hAnsi="Arial" w:cs="Arial"/>
              </w:rPr>
            </w:pPr>
            <w:r>
              <w:rPr>
                <w:rFonts w:ascii="Arial" w:hAnsi="Arial" w:cs="Arial"/>
              </w:rPr>
              <w:t>AQIS</w:t>
            </w:r>
          </w:p>
        </w:tc>
        <w:tc>
          <w:tcPr>
            <w:tcW w:w="6960" w:type="dxa"/>
            <w:tcBorders>
              <w:top w:val="single" w:sz="8" w:space="0" w:color="C0C0C0"/>
              <w:left w:val="single" w:sz="8" w:space="0" w:color="C0C0C0"/>
              <w:bottom w:val="single" w:sz="8" w:space="0" w:color="C0C0C0"/>
              <w:right w:val="single" w:sz="4" w:space="0" w:color="auto"/>
            </w:tcBorders>
          </w:tcPr>
          <w:p w14:paraId="6A8D5C6F" w14:textId="77777777" w:rsidR="009D3DC8" w:rsidRDefault="009D3DC8">
            <w:pPr>
              <w:pStyle w:val="TableText1"/>
              <w:spacing w:line="240" w:lineRule="auto"/>
              <w:rPr>
                <w:rFonts w:ascii="Arial" w:hAnsi="Arial" w:cs="Arial"/>
              </w:rPr>
            </w:pPr>
            <w:r>
              <w:rPr>
                <w:rFonts w:ascii="Arial" w:hAnsi="Arial" w:cs="Arial"/>
              </w:rPr>
              <w:t>Australian Quarantine and Inspection Service</w:t>
            </w:r>
          </w:p>
        </w:tc>
      </w:tr>
      <w:tr w:rsidR="009D3DC8" w14:paraId="6ECDE8C5" w14:textId="77777777">
        <w:trPr>
          <w:cantSplit/>
          <w:trHeight w:val="299"/>
          <w:tblHeader/>
        </w:trPr>
        <w:tc>
          <w:tcPr>
            <w:tcW w:w="2111" w:type="dxa"/>
            <w:tcBorders>
              <w:top w:val="single" w:sz="8" w:space="0" w:color="C0C0C0"/>
              <w:left w:val="single" w:sz="4" w:space="0" w:color="auto"/>
              <w:bottom w:val="single" w:sz="8" w:space="0" w:color="C0C0C0"/>
              <w:right w:val="single" w:sz="8" w:space="0" w:color="C0C0C0"/>
            </w:tcBorders>
          </w:tcPr>
          <w:p w14:paraId="03C62F22" w14:textId="77777777" w:rsidR="009D3DC8" w:rsidRDefault="009D3DC8">
            <w:pPr>
              <w:pStyle w:val="TableText1"/>
              <w:spacing w:line="240" w:lineRule="auto"/>
              <w:rPr>
                <w:rFonts w:ascii="Arial" w:hAnsi="Arial" w:cs="Arial"/>
              </w:rPr>
            </w:pPr>
            <w:r>
              <w:rPr>
                <w:rFonts w:ascii="Arial" w:hAnsi="Arial" w:cs="Arial"/>
              </w:rPr>
              <w:t>BA</w:t>
            </w:r>
          </w:p>
        </w:tc>
        <w:tc>
          <w:tcPr>
            <w:tcW w:w="6960" w:type="dxa"/>
            <w:tcBorders>
              <w:top w:val="single" w:sz="8" w:space="0" w:color="C0C0C0"/>
              <w:left w:val="single" w:sz="8" w:space="0" w:color="C0C0C0"/>
              <w:bottom w:val="single" w:sz="8" w:space="0" w:color="C0C0C0"/>
              <w:right w:val="single" w:sz="4" w:space="0" w:color="auto"/>
            </w:tcBorders>
          </w:tcPr>
          <w:p w14:paraId="650AEA5D" w14:textId="77777777" w:rsidR="009D3DC8" w:rsidRDefault="009D3DC8">
            <w:pPr>
              <w:pStyle w:val="TableText1"/>
              <w:spacing w:line="240" w:lineRule="auto"/>
              <w:rPr>
                <w:rFonts w:ascii="Arial" w:hAnsi="Arial" w:cs="Arial"/>
              </w:rPr>
            </w:pPr>
            <w:r>
              <w:rPr>
                <w:rFonts w:ascii="Arial" w:hAnsi="Arial" w:cs="Arial"/>
              </w:rPr>
              <w:t>Biosecurity Australia</w:t>
            </w:r>
          </w:p>
        </w:tc>
      </w:tr>
      <w:tr w:rsidR="009D3DC8" w14:paraId="1F1FF48D" w14:textId="77777777">
        <w:trPr>
          <w:cantSplit/>
          <w:trHeight w:val="219"/>
          <w:tblHeader/>
        </w:trPr>
        <w:tc>
          <w:tcPr>
            <w:tcW w:w="2111" w:type="dxa"/>
            <w:tcBorders>
              <w:top w:val="single" w:sz="8" w:space="0" w:color="C0C0C0"/>
              <w:left w:val="single" w:sz="4" w:space="0" w:color="auto"/>
              <w:bottom w:val="single" w:sz="8" w:space="0" w:color="C0C0C0"/>
              <w:right w:val="single" w:sz="8" w:space="0" w:color="C0C0C0"/>
            </w:tcBorders>
          </w:tcPr>
          <w:p w14:paraId="6C67B87D" w14:textId="77777777" w:rsidR="009D3DC8" w:rsidRDefault="009D3DC8">
            <w:pPr>
              <w:pStyle w:val="TableText1"/>
              <w:spacing w:line="240" w:lineRule="auto"/>
              <w:rPr>
                <w:rFonts w:ascii="Arial" w:hAnsi="Arial" w:cs="Arial"/>
              </w:rPr>
            </w:pPr>
            <w:r>
              <w:rPr>
                <w:rFonts w:ascii="Arial" w:hAnsi="Arial" w:cs="Arial"/>
              </w:rPr>
              <w:t>BAA</w:t>
            </w:r>
          </w:p>
        </w:tc>
        <w:tc>
          <w:tcPr>
            <w:tcW w:w="6960" w:type="dxa"/>
            <w:tcBorders>
              <w:top w:val="single" w:sz="8" w:space="0" w:color="C0C0C0"/>
              <w:left w:val="single" w:sz="8" w:space="0" w:color="C0C0C0"/>
              <w:bottom w:val="single" w:sz="8" w:space="0" w:color="C0C0C0"/>
              <w:right w:val="single" w:sz="4" w:space="0" w:color="auto"/>
            </w:tcBorders>
          </w:tcPr>
          <w:p w14:paraId="621D750A" w14:textId="77777777" w:rsidR="009D3DC8" w:rsidRDefault="009D3DC8">
            <w:pPr>
              <w:pStyle w:val="TableText1"/>
              <w:spacing w:line="240" w:lineRule="auto"/>
              <w:rPr>
                <w:rFonts w:ascii="Arial" w:hAnsi="Arial" w:cs="Arial"/>
              </w:rPr>
            </w:pPr>
            <w:r>
              <w:rPr>
                <w:rFonts w:ascii="Arial" w:hAnsi="Arial" w:cs="Arial"/>
              </w:rPr>
              <w:t>Biosecurity Australia Advice</w:t>
            </w:r>
          </w:p>
        </w:tc>
      </w:tr>
      <w:tr w:rsidR="009D3DC8" w14:paraId="0DF30E88"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27F578A0" w14:textId="77777777" w:rsidR="009D3DC8" w:rsidRDefault="009D3DC8">
            <w:pPr>
              <w:pStyle w:val="TableText1"/>
              <w:spacing w:line="240" w:lineRule="auto"/>
              <w:rPr>
                <w:rFonts w:ascii="Arial" w:hAnsi="Arial" w:cs="Arial"/>
              </w:rPr>
            </w:pPr>
            <w:r>
              <w:rPr>
                <w:rFonts w:ascii="Arial" w:hAnsi="Arial" w:cs="Arial"/>
              </w:rPr>
              <w:t>CSIRO</w:t>
            </w:r>
          </w:p>
        </w:tc>
        <w:tc>
          <w:tcPr>
            <w:tcW w:w="6960" w:type="dxa"/>
            <w:tcBorders>
              <w:top w:val="single" w:sz="8" w:space="0" w:color="C0C0C0"/>
              <w:left w:val="single" w:sz="8" w:space="0" w:color="C0C0C0"/>
              <w:bottom w:val="single" w:sz="8" w:space="0" w:color="C0C0C0"/>
              <w:right w:val="single" w:sz="4" w:space="0" w:color="auto"/>
            </w:tcBorders>
          </w:tcPr>
          <w:p w14:paraId="0F215CD5" w14:textId="77777777" w:rsidR="009D3DC8" w:rsidRDefault="009D3DC8">
            <w:pPr>
              <w:pStyle w:val="TableText1"/>
              <w:spacing w:line="240" w:lineRule="auto"/>
              <w:rPr>
                <w:rFonts w:ascii="Arial" w:hAnsi="Arial" w:cs="Arial"/>
              </w:rPr>
            </w:pPr>
            <w:r>
              <w:rPr>
                <w:rFonts w:ascii="Arial" w:hAnsi="Arial" w:cs="Arial"/>
              </w:rPr>
              <w:t>Commonwealth Scientific and Industrial Research Organisation</w:t>
            </w:r>
          </w:p>
        </w:tc>
      </w:tr>
      <w:tr w:rsidR="009D3DC8" w14:paraId="5483E3D0"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40811EE5" w14:textId="77777777" w:rsidR="009D3DC8" w:rsidRDefault="009D3DC8">
            <w:pPr>
              <w:pStyle w:val="TableText1"/>
              <w:spacing w:line="240" w:lineRule="auto"/>
              <w:rPr>
                <w:rFonts w:ascii="Arial" w:hAnsi="Arial" w:cs="Arial"/>
              </w:rPr>
            </w:pPr>
            <w:r>
              <w:rPr>
                <w:rFonts w:ascii="Arial" w:hAnsi="Arial" w:cs="Arial"/>
              </w:rPr>
              <w:t>DAFF</w:t>
            </w:r>
          </w:p>
        </w:tc>
        <w:tc>
          <w:tcPr>
            <w:tcW w:w="6960" w:type="dxa"/>
            <w:tcBorders>
              <w:top w:val="single" w:sz="8" w:space="0" w:color="C0C0C0"/>
              <w:left w:val="single" w:sz="8" w:space="0" w:color="C0C0C0"/>
              <w:bottom w:val="single" w:sz="8" w:space="0" w:color="C0C0C0"/>
              <w:right w:val="single" w:sz="4" w:space="0" w:color="auto"/>
            </w:tcBorders>
          </w:tcPr>
          <w:p w14:paraId="348B0677" w14:textId="77777777" w:rsidR="009D3DC8" w:rsidRDefault="009D3DC8">
            <w:pPr>
              <w:pStyle w:val="TableText1"/>
              <w:spacing w:line="240" w:lineRule="auto"/>
              <w:rPr>
                <w:rFonts w:ascii="Arial" w:hAnsi="Arial" w:cs="Arial"/>
              </w:rPr>
            </w:pPr>
            <w:r>
              <w:rPr>
                <w:rFonts w:ascii="Arial" w:hAnsi="Arial" w:cs="Arial"/>
              </w:rPr>
              <w:t>Australian Government Department of Agriculture, Fisheries and Forestry</w:t>
            </w:r>
          </w:p>
        </w:tc>
      </w:tr>
      <w:tr w:rsidR="009D3DC8" w14:paraId="3820CF34"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62C78192" w14:textId="77777777" w:rsidR="009D3DC8" w:rsidRDefault="009D3DC8">
            <w:pPr>
              <w:pStyle w:val="TableText1"/>
              <w:spacing w:line="240" w:lineRule="auto"/>
              <w:rPr>
                <w:rFonts w:ascii="Arial" w:hAnsi="Arial" w:cs="Arial"/>
              </w:rPr>
            </w:pPr>
            <w:r>
              <w:rPr>
                <w:rFonts w:ascii="Arial" w:hAnsi="Arial" w:cs="Arial"/>
              </w:rPr>
              <w:t>DGH</w:t>
            </w:r>
          </w:p>
        </w:tc>
        <w:tc>
          <w:tcPr>
            <w:tcW w:w="6960" w:type="dxa"/>
            <w:tcBorders>
              <w:top w:val="single" w:sz="8" w:space="0" w:color="C0C0C0"/>
              <w:left w:val="single" w:sz="8" w:space="0" w:color="C0C0C0"/>
              <w:bottom w:val="single" w:sz="8" w:space="0" w:color="C0C0C0"/>
              <w:right w:val="single" w:sz="4" w:space="0" w:color="auto"/>
            </w:tcBorders>
          </w:tcPr>
          <w:p w14:paraId="1AC2A42B" w14:textId="77777777" w:rsidR="009D3DC8" w:rsidRDefault="009D3DC8">
            <w:pPr>
              <w:pStyle w:val="TableText1"/>
              <w:spacing w:line="240" w:lineRule="auto"/>
              <w:rPr>
                <w:rFonts w:ascii="Arial" w:hAnsi="Arial" w:cs="Arial"/>
              </w:rPr>
            </w:pPr>
            <w:r>
              <w:rPr>
                <w:rFonts w:ascii="Arial" w:hAnsi="Arial" w:cs="Arial"/>
              </w:rPr>
              <w:t>Indonesia’s Directorate General of Horticulture</w:t>
            </w:r>
          </w:p>
        </w:tc>
      </w:tr>
      <w:tr w:rsidR="009D3DC8" w14:paraId="07F7CCE9"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5DB9BF9A" w14:textId="77777777" w:rsidR="009D3DC8" w:rsidRDefault="009D3DC8">
            <w:pPr>
              <w:pStyle w:val="TableText1"/>
              <w:spacing w:line="240" w:lineRule="auto"/>
              <w:rPr>
                <w:rFonts w:ascii="Arial" w:hAnsi="Arial" w:cs="Arial"/>
              </w:rPr>
            </w:pPr>
            <w:r>
              <w:rPr>
                <w:rFonts w:ascii="Arial" w:hAnsi="Arial" w:cs="Arial"/>
              </w:rPr>
              <w:t>DNA</w:t>
            </w:r>
          </w:p>
        </w:tc>
        <w:tc>
          <w:tcPr>
            <w:tcW w:w="6960" w:type="dxa"/>
            <w:tcBorders>
              <w:top w:val="single" w:sz="8" w:space="0" w:color="C0C0C0"/>
              <w:left w:val="single" w:sz="8" w:space="0" w:color="C0C0C0"/>
              <w:bottom w:val="single" w:sz="8" w:space="0" w:color="C0C0C0"/>
              <w:right w:val="single" w:sz="4" w:space="0" w:color="auto"/>
            </w:tcBorders>
          </w:tcPr>
          <w:p w14:paraId="39F85C40" w14:textId="77777777" w:rsidR="009D3DC8" w:rsidRDefault="009D3DC8">
            <w:pPr>
              <w:pStyle w:val="TableText1"/>
              <w:spacing w:line="240" w:lineRule="auto"/>
              <w:rPr>
                <w:rFonts w:ascii="Arial" w:hAnsi="Arial" w:cs="Arial"/>
              </w:rPr>
            </w:pPr>
            <w:r>
              <w:rPr>
                <w:rFonts w:ascii="Arial" w:hAnsi="Arial" w:cs="Arial"/>
              </w:rPr>
              <w:t>Deoxyribonucleic acid</w:t>
            </w:r>
          </w:p>
        </w:tc>
      </w:tr>
      <w:tr w:rsidR="009D3DC8" w14:paraId="284FD941"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487CA8F6" w14:textId="77777777" w:rsidR="009D3DC8" w:rsidRDefault="009D3DC8">
            <w:pPr>
              <w:pStyle w:val="TableText1"/>
              <w:spacing w:line="240" w:lineRule="auto"/>
              <w:rPr>
                <w:rFonts w:ascii="Arial" w:hAnsi="Arial" w:cs="Arial"/>
              </w:rPr>
            </w:pPr>
            <w:r>
              <w:rPr>
                <w:rFonts w:ascii="Arial" w:hAnsi="Arial" w:cs="Arial"/>
              </w:rPr>
              <w:t>DSEWPC</w:t>
            </w:r>
          </w:p>
        </w:tc>
        <w:tc>
          <w:tcPr>
            <w:tcW w:w="6960" w:type="dxa"/>
            <w:tcBorders>
              <w:top w:val="single" w:sz="8" w:space="0" w:color="C0C0C0"/>
              <w:left w:val="single" w:sz="8" w:space="0" w:color="C0C0C0"/>
              <w:bottom w:val="single" w:sz="8" w:space="0" w:color="C0C0C0"/>
              <w:right w:val="single" w:sz="4" w:space="0" w:color="auto"/>
            </w:tcBorders>
          </w:tcPr>
          <w:p w14:paraId="716AC68C" w14:textId="77777777" w:rsidR="009D3DC8" w:rsidRDefault="009D3DC8">
            <w:pPr>
              <w:pStyle w:val="TableText1"/>
              <w:spacing w:line="240" w:lineRule="auto"/>
              <w:rPr>
                <w:rFonts w:ascii="Arial" w:hAnsi="Arial" w:cs="Arial"/>
              </w:rPr>
            </w:pPr>
            <w:r>
              <w:rPr>
                <w:rFonts w:ascii="Arial" w:hAnsi="Arial" w:cs="Arial"/>
              </w:rPr>
              <w:t>Australian Government Department of Sustainability, Environment, Water, Population and Communities</w:t>
            </w:r>
          </w:p>
        </w:tc>
      </w:tr>
      <w:tr w:rsidR="009D3DC8" w14:paraId="2E1B2E21"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1A4E57C6" w14:textId="77777777" w:rsidR="009D3DC8" w:rsidRDefault="009D3DC8">
            <w:pPr>
              <w:pStyle w:val="TableText1"/>
              <w:spacing w:line="240" w:lineRule="auto"/>
              <w:rPr>
                <w:rFonts w:ascii="Arial" w:hAnsi="Arial" w:cs="Arial"/>
              </w:rPr>
            </w:pPr>
            <w:r>
              <w:rPr>
                <w:rFonts w:ascii="Arial" w:hAnsi="Arial" w:cs="Arial"/>
              </w:rPr>
              <w:t>EP</w:t>
            </w:r>
          </w:p>
        </w:tc>
        <w:tc>
          <w:tcPr>
            <w:tcW w:w="6960" w:type="dxa"/>
            <w:tcBorders>
              <w:top w:val="single" w:sz="8" w:space="0" w:color="C0C0C0"/>
              <w:left w:val="single" w:sz="8" w:space="0" w:color="C0C0C0"/>
              <w:bottom w:val="single" w:sz="8" w:space="0" w:color="C0C0C0"/>
              <w:right w:val="single" w:sz="4" w:space="0" w:color="auto"/>
            </w:tcBorders>
          </w:tcPr>
          <w:p w14:paraId="4A8A1382" w14:textId="77777777" w:rsidR="009D3DC8" w:rsidRDefault="009D3DC8">
            <w:pPr>
              <w:pStyle w:val="TableText1"/>
              <w:spacing w:line="240" w:lineRule="auto"/>
              <w:rPr>
                <w:rFonts w:ascii="Arial" w:hAnsi="Arial" w:cs="Arial"/>
              </w:rPr>
            </w:pPr>
            <w:r>
              <w:rPr>
                <w:rFonts w:ascii="Arial" w:hAnsi="Arial" w:cs="Arial"/>
              </w:rPr>
              <w:t>Existing policy</w:t>
            </w:r>
          </w:p>
        </w:tc>
      </w:tr>
      <w:tr w:rsidR="009D3DC8" w14:paraId="6C336A37"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63C581E6" w14:textId="77777777" w:rsidR="009D3DC8" w:rsidRDefault="009D3DC8">
            <w:pPr>
              <w:pStyle w:val="TableText1"/>
              <w:spacing w:line="240" w:lineRule="auto"/>
              <w:rPr>
                <w:rFonts w:ascii="Arial" w:hAnsi="Arial" w:cs="Arial"/>
              </w:rPr>
            </w:pPr>
            <w:r>
              <w:rPr>
                <w:rFonts w:ascii="Arial" w:hAnsi="Arial" w:cs="Arial"/>
              </w:rPr>
              <w:t>FAO</w:t>
            </w:r>
          </w:p>
        </w:tc>
        <w:tc>
          <w:tcPr>
            <w:tcW w:w="6960" w:type="dxa"/>
            <w:tcBorders>
              <w:top w:val="single" w:sz="8" w:space="0" w:color="C0C0C0"/>
              <w:left w:val="single" w:sz="8" w:space="0" w:color="C0C0C0"/>
              <w:bottom w:val="single" w:sz="8" w:space="0" w:color="C0C0C0"/>
              <w:right w:val="single" w:sz="4" w:space="0" w:color="auto"/>
            </w:tcBorders>
          </w:tcPr>
          <w:p w14:paraId="2B15538F" w14:textId="77777777" w:rsidR="009D3DC8" w:rsidRDefault="009D3DC8">
            <w:pPr>
              <w:pStyle w:val="TableText1"/>
              <w:spacing w:line="240" w:lineRule="auto"/>
              <w:rPr>
                <w:rFonts w:ascii="Arial" w:hAnsi="Arial" w:cs="Arial"/>
              </w:rPr>
            </w:pPr>
            <w:r>
              <w:rPr>
                <w:rFonts w:ascii="Arial" w:hAnsi="Arial" w:cs="Arial"/>
              </w:rPr>
              <w:t>Food and Agriculture Organization of the United Nations</w:t>
            </w:r>
          </w:p>
        </w:tc>
      </w:tr>
      <w:tr w:rsidR="009D3DC8" w14:paraId="210DF90D"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0B7EB4F2" w14:textId="77777777" w:rsidR="009D3DC8" w:rsidRDefault="009D3DC8">
            <w:pPr>
              <w:pStyle w:val="TableText1"/>
              <w:spacing w:line="240" w:lineRule="auto"/>
              <w:rPr>
                <w:rFonts w:ascii="Arial" w:hAnsi="Arial" w:cs="Arial"/>
              </w:rPr>
            </w:pPr>
            <w:r>
              <w:rPr>
                <w:rFonts w:ascii="Arial" w:hAnsi="Arial" w:cs="Arial"/>
              </w:rPr>
              <w:t>GAP</w:t>
            </w:r>
          </w:p>
        </w:tc>
        <w:tc>
          <w:tcPr>
            <w:tcW w:w="6960" w:type="dxa"/>
            <w:tcBorders>
              <w:top w:val="single" w:sz="8" w:space="0" w:color="C0C0C0"/>
              <w:left w:val="single" w:sz="8" w:space="0" w:color="C0C0C0"/>
              <w:bottom w:val="single" w:sz="8" w:space="0" w:color="C0C0C0"/>
              <w:right w:val="single" w:sz="4" w:space="0" w:color="auto"/>
            </w:tcBorders>
          </w:tcPr>
          <w:p w14:paraId="16F07039" w14:textId="77777777" w:rsidR="009D3DC8" w:rsidRDefault="009D3DC8">
            <w:pPr>
              <w:pStyle w:val="TableText1"/>
              <w:spacing w:line="240" w:lineRule="auto"/>
              <w:rPr>
                <w:rFonts w:ascii="Arial" w:hAnsi="Arial" w:cs="Arial"/>
              </w:rPr>
            </w:pPr>
            <w:r>
              <w:rPr>
                <w:rFonts w:ascii="Arial" w:hAnsi="Arial" w:cs="Arial"/>
              </w:rPr>
              <w:t>Good Agricultural Practice</w:t>
            </w:r>
          </w:p>
        </w:tc>
      </w:tr>
      <w:tr w:rsidR="009D3DC8" w14:paraId="407E07EB"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30181FFF" w14:textId="77777777" w:rsidR="009D3DC8" w:rsidRDefault="009D3DC8">
            <w:pPr>
              <w:pStyle w:val="TableText1"/>
              <w:spacing w:line="240" w:lineRule="auto"/>
              <w:rPr>
                <w:rFonts w:ascii="Arial" w:hAnsi="Arial" w:cs="Arial"/>
              </w:rPr>
            </w:pPr>
            <w:r>
              <w:rPr>
                <w:rFonts w:ascii="Arial" w:hAnsi="Arial" w:cs="Arial"/>
              </w:rPr>
              <w:t>GHP</w:t>
            </w:r>
          </w:p>
        </w:tc>
        <w:tc>
          <w:tcPr>
            <w:tcW w:w="6960" w:type="dxa"/>
            <w:tcBorders>
              <w:top w:val="single" w:sz="8" w:space="0" w:color="C0C0C0"/>
              <w:left w:val="single" w:sz="8" w:space="0" w:color="C0C0C0"/>
              <w:bottom w:val="single" w:sz="8" w:space="0" w:color="C0C0C0"/>
              <w:right w:val="single" w:sz="4" w:space="0" w:color="auto"/>
            </w:tcBorders>
          </w:tcPr>
          <w:p w14:paraId="28903CED" w14:textId="77777777" w:rsidR="009D3DC8" w:rsidRDefault="009D3DC8">
            <w:pPr>
              <w:pStyle w:val="TableText1"/>
              <w:spacing w:line="240" w:lineRule="auto"/>
              <w:rPr>
                <w:rFonts w:ascii="Arial" w:hAnsi="Arial" w:cs="Arial"/>
              </w:rPr>
            </w:pPr>
            <w:r>
              <w:rPr>
                <w:rFonts w:ascii="Arial" w:hAnsi="Arial" w:cs="Arial"/>
              </w:rPr>
              <w:t>Good Handling Practices</w:t>
            </w:r>
          </w:p>
        </w:tc>
      </w:tr>
      <w:tr w:rsidR="009D3DC8" w14:paraId="20E1513C"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3E02A893" w14:textId="77777777" w:rsidR="009D3DC8" w:rsidRDefault="009D3DC8">
            <w:pPr>
              <w:pStyle w:val="TableText1"/>
              <w:spacing w:line="240" w:lineRule="auto"/>
              <w:rPr>
                <w:rFonts w:ascii="Arial" w:hAnsi="Arial" w:cs="Arial"/>
              </w:rPr>
            </w:pPr>
            <w:r>
              <w:rPr>
                <w:rFonts w:ascii="Arial" w:hAnsi="Arial" w:cs="Arial"/>
              </w:rPr>
              <w:t>IAQA</w:t>
            </w:r>
          </w:p>
        </w:tc>
        <w:tc>
          <w:tcPr>
            <w:tcW w:w="6960" w:type="dxa"/>
            <w:tcBorders>
              <w:top w:val="single" w:sz="8" w:space="0" w:color="C0C0C0"/>
              <w:left w:val="single" w:sz="8" w:space="0" w:color="C0C0C0"/>
              <w:bottom w:val="single" w:sz="8" w:space="0" w:color="C0C0C0"/>
              <w:right w:val="single" w:sz="4" w:space="0" w:color="auto"/>
            </w:tcBorders>
          </w:tcPr>
          <w:p w14:paraId="0709DFF4" w14:textId="77777777" w:rsidR="009D3DC8" w:rsidRDefault="009D3DC8">
            <w:pPr>
              <w:pStyle w:val="TableText1"/>
              <w:spacing w:line="240" w:lineRule="auto"/>
              <w:rPr>
                <w:rFonts w:ascii="Arial" w:hAnsi="Arial" w:cs="Arial"/>
              </w:rPr>
            </w:pPr>
            <w:r>
              <w:rPr>
                <w:rFonts w:ascii="Arial" w:hAnsi="Arial" w:cs="Arial"/>
              </w:rPr>
              <w:t>Indonesian Agricultural Quarantine Agency</w:t>
            </w:r>
          </w:p>
        </w:tc>
      </w:tr>
      <w:tr w:rsidR="009D3DC8" w14:paraId="3D1B5A8F"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7EF62A1C" w14:textId="77777777" w:rsidR="009D3DC8" w:rsidRDefault="009D3DC8">
            <w:pPr>
              <w:pStyle w:val="TableText1"/>
              <w:spacing w:line="240" w:lineRule="auto"/>
              <w:rPr>
                <w:rFonts w:ascii="Arial" w:hAnsi="Arial" w:cs="Arial"/>
              </w:rPr>
            </w:pPr>
            <w:r>
              <w:rPr>
                <w:rFonts w:ascii="Arial" w:hAnsi="Arial" w:cs="Arial"/>
              </w:rPr>
              <w:t>ICON</w:t>
            </w:r>
          </w:p>
        </w:tc>
        <w:tc>
          <w:tcPr>
            <w:tcW w:w="6960" w:type="dxa"/>
            <w:tcBorders>
              <w:top w:val="single" w:sz="8" w:space="0" w:color="C0C0C0"/>
              <w:left w:val="single" w:sz="8" w:space="0" w:color="C0C0C0"/>
              <w:bottom w:val="single" w:sz="8" w:space="0" w:color="C0C0C0"/>
              <w:right w:val="single" w:sz="4" w:space="0" w:color="auto"/>
            </w:tcBorders>
          </w:tcPr>
          <w:p w14:paraId="44BA60AB" w14:textId="77777777" w:rsidR="009D3DC8" w:rsidRDefault="009D3DC8">
            <w:pPr>
              <w:pStyle w:val="TableText1"/>
              <w:spacing w:line="240" w:lineRule="auto"/>
              <w:rPr>
                <w:rFonts w:ascii="Arial" w:hAnsi="Arial" w:cs="Arial"/>
              </w:rPr>
            </w:pPr>
            <w:r>
              <w:rPr>
                <w:rFonts w:ascii="Arial" w:hAnsi="Arial" w:cs="Arial"/>
              </w:rPr>
              <w:t>AQIS Import conditions database</w:t>
            </w:r>
          </w:p>
        </w:tc>
      </w:tr>
      <w:tr w:rsidR="009D3DC8" w14:paraId="2E22AF07"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5D6E0301" w14:textId="77777777" w:rsidR="009D3DC8" w:rsidRDefault="009D3DC8">
            <w:pPr>
              <w:pStyle w:val="TableText1"/>
              <w:spacing w:line="240" w:lineRule="auto"/>
              <w:rPr>
                <w:rFonts w:ascii="Arial" w:hAnsi="Arial" w:cs="Arial"/>
              </w:rPr>
            </w:pPr>
            <w:r>
              <w:rPr>
                <w:rFonts w:ascii="Arial" w:hAnsi="Arial" w:cs="Arial"/>
              </w:rPr>
              <w:t>IPC</w:t>
            </w:r>
          </w:p>
        </w:tc>
        <w:tc>
          <w:tcPr>
            <w:tcW w:w="6960" w:type="dxa"/>
            <w:tcBorders>
              <w:top w:val="single" w:sz="8" w:space="0" w:color="C0C0C0"/>
              <w:left w:val="single" w:sz="8" w:space="0" w:color="C0C0C0"/>
              <w:bottom w:val="single" w:sz="8" w:space="0" w:color="C0C0C0"/>
              <w:right w:val="single" w:sz="4" w:space="0" w:color="auto"/>
            </w:tcBorders>
          </w:tcPr>
          <w:p w14:paraId="60761C25" w14:textId="77777777" w:rsidR="009D3DC8" w:rsidRDefault="009D3DC8">
            <w:pPr>
              <w:pStyle w:val="TableText1"/>
              <w:spacing w:line="240" w:lineRule="auto"/>
              <w:rPr>
                <w:rFonts w:ascii="Arial" w:hAnsi="Arial" w:cs="Arial"/>
              </w:rPr>
            </w:pPr>
            <w:r>
              <w:rPr>
                <w:rFonts w:ascii="Arial" w:hAnsi="Arial" w:cs="Arial"/>
              </w:rPr>
              <w:t>International Phytosanitary Certificate</w:t>
            </w:r>
          </w:p>
        </w:tc>
      </w:tr>
      <w:tr w:rsidR="009D3DC8" w14:paraId="7A0AB280"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03A1757D" w14:textId="77777777" w:rsidR="009D3DC8" w:rsidRDefault="009D3DC8">
            <w:pPr>
              <w:pStyle w:val="TableText1"/>
              <w:spacing w:line="240" w:lineRule="auto"/>
              <w:rPr>
                <w:rFonts w:ascii="Arial" w:hAnsi="Arial" w:cs="Arial"/>
              </w:rPr>
            </w:pPr>
            <w:r>
              <w:rPr>
                <w:rFonts w:ascii="Arial" w:hAnsi="Arial" w:cs="Arial"/>
              </w:rPr>
              <w:t>IPM</w:t>
            </w:r>
          </w:p>
        </w:tc>
        <w:tc>
          <w:tcPr>
            <w:tcW w:w="6960" w:type="dxa"/>
            <w:tcBorders>
              <w:top w:val="single" w:sz="8" w:space="0" w:color="C0C0C0"/>
              <w:left w:val="single" w:sz="8" w:space="0" w:color="C0C0C0"/>
              <w:bottom w:val="single" w:sz="8" w:space="0" w:color="C0C0C0"/>
              <w:right w:val="single" w:sz="4" w:space="0" w:color="auto"/>
            </w:tcBorders>
          </w:tcPr>
          <w:p w14:paraId="6424FCFF" w14:textId="77777777" w:rsidR="009D3DC8" w:rsidRDefault="009D3DC8">
            <w:pPr>
              <w:pStyle w:val="TableText1"/>
              <w:spacing w:line="240" w:lineRule="auto"/>
              <w:rPr>
                <w:rFonts w:ascii="Arial" w:hAnsi="Arial" w:cs="Arial"/>
              </w:rPr>
            </w:pPr>
            <w:r>
              <w:rPr>
                <w:rFonts w:ascii="Arial" w:hAnsi="Arial" w:cs="Arial"/>
              </w:rPr>
              <w:t xml:space="preserve">Integrated </w:t>
            </w:r>
            <w:smartTag w:uri="urn:schemas-microsoft-com:office:smarttags" w:element="place">
              <w:r>
                <w:rPr>
                  <w:rFonts w:ascii="Arial" w:hAnsi="Arial" w:cs="Arial"/>
                </w:rPr>
                <w:t>Pest</w:t>
              </w:r>
            </w:smartTag>
            <w:r>
              <w:rPr>
                <w:rFonts w:ascii="Arial" w:hAnsi="Arial" w:cs="Arial"/>
              </w:rPr>
              <w:t xml:space="preserve"> Management</w:t>
            </w:r>
          </w:p>
        </w:tc>
      </w:tr>
      <w:tr w:rsidR="009D3DC8" w14:paraId="7CD3B598"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076EDFF9" w14:textId="77777777" w:rsidR="009D3DC8" w:rsidRDefault="009D3DC8">
            <w:pPr>
              <w:pStyle w:val="TableText1"/>
              <w:spacing w:line="240" w:lineRule="auto"/>
              <w:rPr>
                <w:rFonts w:ascii="Arial" w:hAnsi="Arial" w:cs="Arial"/>
              </w:rPr>
            </w:pPr>
            <w:r>
              <w:rPr>
                <w:rFonts w:ascii="Arial" w:hAnsi="Arial" w:cs="Arial"/>
              </w:rPr>
              <w:t>IPPC</w:t>
            </w:r>
          </w:p>
        </w:tc>
        <w:tc>
          <w:tcPr>
            <w:tcW w:w="6960" w:type="dxa"/>
            <w:tcBorders>
              <w:top w:val="single" w:sz="8" w:space="0" w:color="C0C0C0"/>
              <w:left w:val="single" w:sz="8" w:space="0" w:color="C0C0C0"/>
              <w:bottom w:val="single" w:sz="8" w:space="0" w:color="C0C0C0"/>
              <w:right w:val="single" w:sz="4" w:space="0" w:color="auto"/>
            </w:tcBorders>
          </w:tcPr>
          <w:p w14:paraId="43931685" w14:textId="77777777" w:rsidR="009D3DC8" w:rsidRDefault="009D3DC8">
            <w:pPr>
              <w:pStyle w:val="TableText1"/>
              <w:spacing w:line="240" w:lineRule="auto"/>
              <w:rPr>
                <w:rFonts w:ascii="Arial" w:hAnsi="Arial" w:cs="Arial"/>
              </w:rPr>
            </w:pPr>
            <w:r>
              <w:rPr>
                <w:rFonts w:ascii="Arial" w:hAnsi="Arial" w:cs="Arial"/>
              </w:rPr>
              <w:t>International Plant Protection Convention</w:t>
            </w:r>
          </w:p>
        </w:tc>
      </w:tr>
      <w:tr w:rsidR="009D3DC8" w14:paraId="1338FD72"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60EA7AC8" w14:textId="77777777" w:rsidR="009D3DC8" w:rsidRDefault="009D3DC8">
            <w:pPr>
              <w:pStyle w:val="TableText1"/>
              <w:spacing w:line="240" w:lineRule="auto"/>
              <w:rPr>
                <w:rFonts w:ascii="Arial" w:hAnsi="Arial" w:cs="Arial"/>
              </w:rPr>
            </w:pPr>
            <w:r>
              <w:rPr>
                <w:rFonts w:ascii="Arial" w:hAnsi="Arial" w:cs="Arial"/>
              </w:rPr>
              <w:t>IRA</w:t>
            </w:r>
          </w:p>
        </w:tc>
        <w:tc>
          <w:tcPr>
            <w:tcW w:w="6960" w:type="dxa"/>
            <w:tcBorders>
              <w:top w:val="single" w:sz="8" w:space="0" w:color="C0C0C0"/>
              <w:left w:val="single" w:sz="8" w:space="0" w:color="C0C0C0"/>
              <w:bottom w:val="single" w:sz="8" w:space="0" w:color="C0C0C0"/>
              <w:right w:val="single" w:sz="4" w:space="0" w:color="auto"/>
            </w:tcBorders>
          </w:tcPr>
          <w:p w14:paraId="1E754085" w14:textId="77777777" w:rsidR="009D3DC8" w:rsidRDefault="009D3DC8">
            <w:pPr>
              <w:pStyle w:val="TableText1"/>
              <w:spacing w:line="240" w:lineRule="auto"/>
              <w:rPr>
                <w:rFonts w:ascii="Arial" w:hAnsi="Arial" w:cs="Arial"/>
              </w:rPr>
            </w:pPr>
            <w:r>
              <w:rPr>
                <w:rFonts w:ascii="Arial" w:hAnsi="Arial" w:cs="Arial"/>
              </w:rPr>
              <w:t>Import Risk Analysis</w:t>
            </w:r>
          </w:p>
        </w:tc>
      </w:tr>
      <w:tr w:rsidR="009D3DC8" w14:paraId="0600D764"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0C5FAAB3" w14:textId="77777777" w:rsidR="009D3DC8" w:rsidRDefault="009D3DC8">
            <w:pPr>
              <w:pStyle w:val="TableText1"/>
              <w:spacing w:line="240" w:lineRule="auto"/>
              <w:rPr>
                <w:rFonts w:ascii="Arial" w:hAnsi="Arial" w:cs="Arial"/>
              </w:rPr>
            </w:pPr>
            <w:r>
              <w:rPr>
                <w:rFonts w:ascii="Arial" w:hAnsi="Arial" w:cs="Arial"/>
              </w:rPr>
              <w:t>ISPM</w:t>
            </w:r>
          </w:p>
        </w:tc>
        <w:tc>
          <w:tcPr>
            <w:tcW w:w="6960" w:type="dxa"/>
            <w:tcBorders>
              <w:top w:val="single" w:sz="8" w:space="0" w:color="C0C0C0"/>
              <w:left w:val="single" w:sz="8" w:space="0" w:color="C0C0C0"/>
              <w:bottom w:val="single" w:sz="8" w:space="0" w:color="C0C0C0"/>
              <w:right w:val="single" w:sz="4" w:space="0" w:color="auto"/>
            </w:tcBorders>
          </w:tcPr>
          <w:p w14:paraId="4D2455EA" w14:textId="77777777" w:rsidR="009D3DC8" w:rsidRDefault="009D3DC8">
            <w:pPr>
              <w:pStyle w:val="TableText1"/>
              <w:spacing w:line="240" w:lineRule="auto"/>
              <w:rPr>
                <w:rFonts w:ascii="Arial" w:hAnsi="Arial" w:cs="Arial"/>
              </w:rPr>
            </w:pPr>
            <w:r>
              <w:rPr>
                <w:rFonts w:ascii="Arial" w:hAnsi="Arial" w:cs="Arial"/>
              </w:rPr>
              <w:t>International Standard for Phytosanitary Measures</w:t>
            </w:r>
          </w:p>
        </w:tc>
      </w:tr>
      <w:tr w:rsidR="009D3DC8" w14:paraId="3F35FE11"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6953C196" w14:textId="77777777" w:rsidR="009D3DC8" w:rsidRDefault="009D3DC8">
            <w:pPr>
              <w:pStyle w:val="TableText1"/>
              <w:spacing w:line="240" w:lineRule="auto"/>
              <w:rPr>
                <w:rFonts w:ascii="Arial" w:hAnsi="Arial" w:cs="Arial"/>
              </w:rPr>
            </w:pPr>
            <w:r>
              <w:rPr>
                <w:rFonts w:ascii="Arial" w:hAnsi="Arial" w:cs="Arial"/>
              </w:rPr>
              <w:t>NSW</w:t>
            </w:r>
          </w:p>
        </w:tc>
        <w:tc>
          <w:tcPr>
            <w:tcW w:w="6960" w:type="dxa"/>
            <w:tcBorders>
              <w:top w:val="single" w:sz="8" w:space="0" w:color="C0C0C0"/>
              <w:left w:val="single" w:sz="8" w:space="0" w:color="C0C0C0"/>
              <w:bottom w:val="single" w:sz="8" w:space="0" w:color="C0C0C0"/>
              <w:right w:val="single" w:sz="4" w:space="0" w:color="auto"/>
            </w:tcBorders>
          </w:tcPr>
          <w:p w14:paraId="4D36826A"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New South Wales</w:t>
                </w:r>
              </w:smartTag>
            </w:smartTag>
          </w:p>
        </w:tc>
      </w:tr>
      <w:tr w:rsidR="009D3DC8" w14:paraId="45BFD839"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156098B0" w14:textId="77777777" w:rsidR="009D3DC8" w:rsidRDefault="009D3DC8">
            <w:pPr>
              <w:pStyle w:val="TableText1"/>
              <w:spacing w:line="240" w:lineRule="auto"/>
              <w:rPr>
                <w:rFonts w:ascii="Arial" w:hAnsi="Arial" w:cs="Arial"/>
              </w:rPr>
            </w:pPr>
            <w:r>
              <w:rPr>
                <w:rFonts w:ascii="Arial" w:hAnsi="Arial" w:cs="Arial"/>
              </w:rPr>
              <w:t>NPPO</w:t>
            </w:r>
          </w:p>
        </w:tc>
        <w:tc>
          <w:tcPr>
            <w:tcW w:w="6960" w:type="dxa"/>
            <w:tcBorders>
              <w:top w:val="single" w:sz="8" w:space="0" w:color="C0C0C0"/>
              <w:left w:val="single" w:sz="8" w:space="0" w:color="C0C0C0"/>
              <w:bottom w:val="single" w:sz="8" w:space="0" w:color="C0C0C0"/>
              <w:right w:val="single" w:sz="4" w:space="0" w:color="auto"/>
            </w:tcBorders>
          </w:tcPr>
          <w:p w14:paraId="35CE487E" w14:textId="77777777" w:rsidR="009D3DC8" w:rsidRDefault="009D3DC8">
            <w:pPr>
              <w:pStyle w:val="TableText1"/>
              <w:spacing w:line="240" w:lineRule="auto"/>
              <w:rPr>
                <w:rFonts w:ascii="Arial" w:hAnsi="Arial" w:cs="Arial"/>
              </w:rPr>
            </w:pPr>
            <w:r>
              <w:rPr>
                <w:rFonts w:ascii="Arial" w:hAnsi="Arial" w:cs="Arial"/>
              </w:rPr>
              <w:t>National Plant Protection Organisation</w:t>
            </w:r>
          </w:p>
        </w:tc>
      </w:tr>
      <w:tr w:rsidR="009D3DC8" w14:paraId="1DD6B6EC"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6BD6E35D" w14:textId="77777777" w:rsidR="009D3DC8" w:rsidRDefault="009D3DC8">
            <w:pPr>
              <w:pStyle w:val="TableText1"/>
              <w:spacing w:line="240" w:lineRule="auto"/>
              <w:rPr>
                <w:rFonts w:ascii="Arial" w:hAnsi="Arial" w:cs="Arial"/>
              </w:rPr>
            </w:pPr>
            <w:r>
              <w:rPr>
                <w:rFonts w:ascii="Arial" w:hAnsi="Arial" w:cs="Arial"/>
              </w:rPr>
              <w:t>NT</w:t>
            </w:r>
          </w:p>
        </w:tc>
        <w:tc>
          <w:tcPr>
            <w:tcW w:w="6960" w:type="dxa"/>
            <w:tcBorders>
              <w:top w:val="single" w:sz="8" w:space="0" w:color="C0C0C0"/>
              <w:left w:val="single" w:sz="8" w:space="0" w:color="C0C0C0"/>
              <w:bottom w:val="single" w:sz="8" w:space="0" w:color="C0C0C0"/>
              <w:right w:val="single" w:sz="4" w:space="0" w:color="auto"/>
            </w:tcBorders>
          </w:tcPr>
          <w:p w14:paraId="2DDD4CC4"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Northern Territory</w:t>
                </w:r>
              </w:smartTag>
            </w:smartTag>
          </w:p>
        </w:tc>
      </w:tr>
      <w:tr w:rsidR="009D3DC8" w14:paraId="300B0B4E"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51344CA8" w14:textId="77777777" w:rsidR="009D3DC8" w:rsidRDefault="009D3DC8">
            <w:pPr>
              <w:pStyle w:val="TableText1"/>
              <w:spacing w:line="240" w:lineRule="auto"/>
              <w:rPr>
                <w:rFonts w:ascii="Arial" w:hAnsi="Arial" w:cs="Arial"/>
              </w:rPr>
            </w:pPr>
            <w:r>
              <w:rPr>
                <w:rFonts w:ascii="Arial" w:hAnsi="Arial" w:cs="Arial"/>
              </w:rPr>
              <w:t>OIE</w:t>
            </w:r>
          </w:p>
        </w:tc>
        <w:tc>
          <w:tcPr>
            <w:tcW w:w="6960" w:type="dxa"/>
            <w:tcBorders>
              <w:top w:val="single" w:sz="8" w:space="0" w:color="C0C0C0"/>
              <w:left w:val="single" w:sz="8" w:space="0" w:color="C0C0C0"/>
              <w:bottom w:val="single" w:sz="8" w:space="0" w:color="C0C0C0"/>
              <w:right w:val="single" w:sz="4" w:space="0" w:color="auto"/>
            </w:tcBorders>
          </w:tcPr>
          <w:p w14:paraId="5E6DA976" w14:textId="77777777" w:rsidR="009D3DC8" w:rsidRDefault="009D3DC8">
            <w:pPr>
              <w:pStyle w:val="TableText1"/>
              <w:spacing w:line="240" w:lineRule="auto"/>
              <w:rPr>
                <w:rFonts w:ascii="Arial" w:hAnsi="Arial" w:cs="Arial"/>
              </w:rPr>
            </w:pPr>
            <w:r>
              <w:rPr>
                <w:rFonts w:ascii="Arial" w:hAnsi="Arial" w:cs="Arial"/>
              </w:rPr>
              <w:t>World organisation for animal health</w:t>
            </w:r>
          </w:p>
        </w:tc>
      </w:tr>
      <w:tr w:rsidR="009D3DC8" w14:paraId="4F08083A"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32BD7758" w14:textId="77777777" w:rsidR="009D3DC8" w:rsidRDefault="009D3DC8">
            <w:pPr>
              <w:pStyle w:val="TableText1"/>
              <w:spacing w:line="240" w:lineRule="auto"/>
              <w:rPr>
                <w:rFonts w:ascii="Arial" w:hAnsi="Arial" w:cs="Arial"/>
              </w:rPr>
            </w:pPr>
            <w:r>
              <w:rPr>
                <w:rFonts w:ascii="Arial" w:hAnsi="Arial" w:cs="Arial"/>
              </w:rPr>
              <w:t>PRA</w:t>
            </w:r>
          </w:p>
        </w:tc>
        <w:tc>
          <w:tcPr>
            <w:tcW w:w="6960" w:type="dxa"/>
            <w:tcBorders>
              <w:top w:val="single" w:sz="8" w:space="0" w:color="C0C0C0"/>
              <w:left w:val="single" w:sz="8" w:space="0" w:color="C0C0C0"/>
              <w:bottom w:val="single" w:sz="8" w:space="0" w:color="C0C0C0"/>
              <w:right w:val="single" w:sz="4" w:space="0" w:color="auto"/>
            </w:tcBorders>
          </w:tcPr>
          <w:p w14:paraId="299833CD" w14:textId="77777777" w:rsidR="009D3DC8" w:rsidRDefault="009D3DC8">
            <w:pPr>
              <w:pStyle w:val="TableText1"/>
              <w:spacing w:line="240" w:lineRule="auto"/>
              <w:rPr>
                <w:rFonts w:ascii="Arial" w:hAnsi="Arial" w:cs="Arial"/>
              </w:rPr>
            </w:pPr>
            <w:r>
              <w:rPr>
                <w:rFonts w:ascii="Arial" w:hAnsi="Arial" w:cs="Arial"/>
              </w:rPr>
              <w:t>Pest risk analysis</w:t>
            </w:r>
          </w:p>
        </w:tc>
      </w:tr>
      <w:tr w:rsidR="009D3DC8" w14:paraId="6214CBEF"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0230813A" w14:textId="77777777" w:rsidR="009D3DC8" w:rsidRDefault="009D3DC8">
            <w:pPr>
              <w:pStyle w:val="TableText1"/>
              <w:spacing w:line="240" w:lineRule="auto"/>
              <w:rPr>
                <w:rFonts w:ascii="Arial" w:hAnsi="Arial" w:cs="Arial"/>
              </w:rPr>
            </w:pPr>
            <w:r>
              <w:rPr>
                <w:rFonts w:ascii="Arial" w:hAnsi="Arial" w:cs="Arial"/>
              </w:rPr>
              <w:t>Qld</w:t>
            </w:r>
          </w:p>
        </w:tc>
        <w:tc>
          <w:tcPr>
            <w:tcW w:w="6960" w:type="dxa"/>
            <w:tcBorders>
              <w:top w:val="single" w:sz="8" w:space="0" w:color="C0C0C0"/>
              <w:left w:val="single" w:sz="8" w:space="0" w:color="C0C0C0"/>
              <w:bottom w:val="single" w:sz="8" w:space="0" w:color="C0C0C0"/>
              <w:right w:val="single" w:sz="4" w:space="0" w:color="auto"/>
            </w:tcBorders>
          </w:tcPr>
          <w:p w14:paraId="19DA2D9E"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Queensland</w:t>
                </w:r>
              </w:smartTag>
            </w:smartTag>
          </w:p>
        </w:tc>
      </w:tr>
      <w:tr w:rsidR="009D3DC8" w14:paraId="7EB45A46"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52E06FE2" w14:textId="77777777" w:rsidR="009D3DC8" w:rsidRDefault="009D3DC8">
            <w:pPr>
              <w:pStyle w:val="TableText1"/>
              <w:spacing w:line="240" w:lineRule="auto"/>
              <w:rPr>
                <w:rFonts w:ascii="Arial" w:hAnsi="Arial" w:cs="Arial"/>
              </w:rPr>
            </w:pPr>
            <w:r>
              <w:rPr>
                <w:rFonts w:ascii="Arial" w:hAnsi="Arial" w:cs="Arial"/>
              </w:rPr>
              <w:t>SA</w:t>
            </w:r>
          </w:p>
        </w:tc>
        <w:tc>
          <w:tcPr>
            <w:tcW w:w="6960" w:type="dxa"/>
            <w:tcBorders>
              <w:top w:val="single" w:sz="8" w:space="0" w:color="C0C0C0"/>
              <w:left w:val="single" w:sz="8" w:space="0" w:color="C0C0C0"/>
              <w:bottom w:val="single" w:sz="8" w:space="0" w:color="C0C0C0"/>
              <w:right w:val="single" w:sz="4" w:space="0" w:color="auto"/>
            </w:tcBorders>
          </w:tcPr>
          <w:p w14:paraId="073105B3"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South Australia</w:t>
                </w:r>
              </w:smartTag>
            </w:smartTag>
          </w:p>
        </w:tc>
      </w:tr>
      <w:tr w:rsidR="009D3DC8" w14:paraId="596D307E"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67F81CBF" w14:textId="77777777" w:rsidR="009D3DC8" w:rsidRDefault="009D3DC8">
            <w:pPr>
              <w:pStyle w:val="TableText1"/>
              <w:spacing w:line="240" w:lineRule="auto"/>
              <w:rPr>
                <w:rFonts w:ascii="Arial" w:hAnsi="Arial" w:cs="Arial"/>
              </w:rPr>
            </w:pPr>
            <w:r>
              <w:rPr>
                <w:rFonts w:ascii="Arial" w:hAnsi="Arial" w:cs="Arial"/>
              </w:rPr>
              <w:t>SOP</w:t>
            </w:r>
          </w:p>
        </w:tc>
        <w:tc>
          <w:tcPr>
            <w:tcW w:w="6960" w:type="dxa"/>
            <w:tcBorders>
              <w:top w:val="single" w:sz="8" w:space="0" w:color="C0C0C0"/>
              <w:left w:val="single" w:sz="8" w:space="0" w:color="C0C0C0"/>
              <w:bottom w:val="single" w:sz="8" w:space="0" w:color="C0C0C0"/>
              <w:right w:val="single" w:sz="4" w:space="0" w:color="auto"/>
            </w:tcBorders>
          </w:tcPr>
          <w:p w14:paraId="3473CC31" w14:textId="77777777" w:rsidR="009D3DC8" w:rsidRDefault="009D3DC8">
            <w:pPr>
              <w:pStyle w:val="TableText1"/>
              <w:spacing w:line="240" w:lineRule="auto"/>
              <w:rPr>
                <w:rFonts w:ascii="Arial" w:hAnsi="Arial" w:cs="Arial"/>
              </w:rPr>
            </w:pPr>
            <w:r>
              <w:rPr>
                <w:rFonts w:ascii="Arial" w:hAnsi="Arial" w:cs="Arial"/>
              </w:rPr>
              <w:t>Standard Operating Procedure</w:t>
            </w:r>
          </w:p>
        </w:tc>
      </w:tr>
      <w:tr w:rsidR="009D3DC8" w14:paraId="252E00EE"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4CEA308F" w14:textId="77777777" w:rsidR="009D3DC8" w:rsidRDefault="009D3DC8">
            <w:pPr>
              <w:pStyle w:val="TableText1"/>
              <w:spacing w:line="240" w:lineRule="auto"/>
              <w:rPr>
                <w:rFonts w:ascii="Arial" w:hAnsi="Arial" w:cs="Arial"/>
              </w:rPr>
            </w:pPr>
            <w:r>
              <w:rPr>
                <w:rFonts w:ascii="Arial" w:hAnsi="Arial" w:cs="Arial"/>
              </w:rPr>
              <w:t>SPS</w:t>
            </w:r>
          </w:p>
        </w:tc>
        <w:tc>
          <w:tcPr>
            <w:tcW w:w="6960" w:type="dxa"/>
            <w:tcBorders>
              <w:top w:val="single" w:sz="8" w:space="0" w:color="C0C0C0"/>
              <w:left w:val="single" w:sz="8" w:space="0" w:color="C0C0C0"/>
              <w:bottom w:val="single" w:sz="8" w:space="0" w:color="C0C0C0"/>
              <w:right w:val="single" w:sz="4" w:space="0" w:color="auto"/>
            </w:tcBorders>
          </w:tcPr>
          <w:p w14:paraId="4F55AF2C" w14:textId="77777777" w:rsidR="009D3DC8" w:rsidRDefault="009D3DC8">
            <w:pPr>
              <w:pStyle w:val="TableText1"/>
              <w:spacing w:line="240" w:lineRule="auto"/>
              <w:rPr>
                <w:rFonts w:ascii="Arial" w:hAnsi="Arial" w:cs="Arial"/>
              </w:rPr>
            </w:pPr>
            <w:r>
              <w:rPr>
                <w:rFonts w:ascii="Arial" w:hAnsi="Arial" w:cs="Arial"/>
              </w:rPr>
              <w:t>Sanitary and Phytosanitary</w:t>
            </w:r>
          </w:p>
        </w:tc>
      </w:tr>
      <w:tr w:rsidR="009D3DC8" w14:paraId="3640E141"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70E66B0C" w14:textId="77777777" w:rsidR="009D3DC8" w:rsidRDefault="009D3DC8">
            <w:pPr>
              <w:pStyle w:val="TableText1"/>
              <w:spacing w:line="240" w:lineRule="auto"/>
              <w:rPr>
                <w:rFonts w:ascii="Arial" w:hAnsi="Arial" w:cs="Arial"/>
              </w:rPr>
            </w:pPr>
            <w:r>
              <w:rPr>
                <w:rFonts w:ascii="Arial" w:hAnsi="Arial" w:cs="Arial"/>
              </w:rPr>
              <w:t>SSOP</w:t>
            </w:r>
          </w:p>
        </w:tc>
        <w:tc>
          <w:tcPr>
            <w:tcW w:w="6960" w:type="dxa"/>
            <w:tcBorders>
              <w:top w:val="single" w:sz="8" w:space="0" w:color="C0C0C0"/>
              <w:left w:val="single" w:sz="8" w:space="0" w:color="C0C0C0"/>
              <w:bottom w:val="single" w:sz="8" w:space="0" w:color="C0C0C0"/>
              <w:right w:val="single" w:sz="4" w:space="0" w:color="auto"/>
            </w:tcBorders>
          </w:tcPr>
          <w:p w14:paraId="52A59B3A" w14:textId="77777777" w:rsidR="009D3DC8" w:rsidRDefault="009D3DC8">
            <w:pPr>
              <w:pStyle w:val="TableText1"/>
              <w:spacing w:line="240" w:lineRule="auto"/>
              <w:rPr>
                <w:rFonts w:ascii="Arial" w:hAnsi="Arial" w:cs="Arial"/>
              </w:rPr>
            </w:pPr>
            <w:r>
              <w:rPr>
                <w:rFonts w:ascii="Arial" w:hAnsi="Arial" w:cs="Arial"/>
              </w:rPr>
              <w:t>Sanitation Standard Operation Procedure</w:t>
            </w:r>
          </w:p>
        </w:tc>
      </w:tr>
      <w:tr w:rsidR="009D3DC8" w14:paraId="59F13918"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720E44A4" w14:textId="77777777" w:rsidR="009D3DC8" w:rsidRDefault="009D3DC8">
            <w:pPr>
              <w:pStyle w:val="TableText1"/>
              <w:spacing w:line="240" w:lineRule="auto"/>
              <w:rPr>
                <w:rFonts w:ascii="Arial" w:hAnsi="Arial" w:cs="Arial"/>
              </w:rPr>
            </w:pPr>
            <w:r>
              <w:rPr>
                <w:rFonts w:ascii="Arial" w:hAnsi="Arial" w:cs="Arial"/>
              </w:rPr>
              <w:t>Tas.</w:t>
            </w:r>
          </w:p>
        </w:tc>
        <w:tc>
          <w:tcPr>
            <w:tcW w:w="6960" w:type="dxa"/>
            <w:tcBorders>
              <w:top w:val="single" w:sz="8" w:space="0" w:color="C0C0C0"/>
              <w:left w:val="single" w:sz="8" w:space="0" w:color="C0C0C0"/>
              <w:bottom w:val="single" w:sz="8" w:space="0" w:color="C0C0C0"/>
              <w:right w:val="single" w:sz="4" w:space="0" w:color="auto"/>
            </w:tcBorders>
          </w:tcPr>
          <w:p w14:paraId="286C331A"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Tasmania</w:t>
                </w:r>
              </w:smartTag>
            </w:smartTag>
          </w:p>
        </w:tc>
      </w:tr>
      <w:tr w:rsidR="009D3DC8" w14:paraId="2C807F57" w14:textId="77777777">
        <w:trPr>
          <w:cantSplit/>
          <w:trHeight w:val="80"/>
          <w:tblHeader/>
        </w:trPr>
        <w:tc>
          <w:tcPr>
            <w:tcW w:w="2111" w:type="dxa"/>
            <w:tcBorders>
              <w:top w:val="single" w:sz="8" w:space="0" w:color="C0C0C0"/>
              <w:left w:val="single" w:sz="4" w:space="0" w:color="auto"/>
              <w:bottom w:val="single" w:sz="8" w:space="0" w:color="C0C0C0"/>
              <w:right w:val="single" w:sz="8" w:space="0" w:color="C0C0C0"/>
            </w:tcBorders>
          </w:tcPr>
          <w:p w14:paraId="162846F5" w14:textId="77777777" w:rsidR="009D3DC8" w:rsidRDefault="009D3DC8">
            <w:pPr>
              <w:pStyle w:val="TableText1"/>
              <w:spacing w:line="240" w:lineRule="auto"/>
              <w:rPr>
                <w:rFonts w:ascii="Arial" w:hAnsi="Arial" w:cs="Arial"/>
              </w:rPr>
            </w:pPr>
            <w:r>
              <w:rPr>
                <w:rFonts w:ascii="Arial" w:hAnsi="Arial" w:cs="Arial"/>
              </w:rPr>
              <w:t>USA</w:t>
            </w:r>
          </w:p>
        </w:tc>
        <w:tc>
          <w:tcPr>
            <w:tcW w:w="6960" w:type="dxa"/>
            <w:tcBorders>
              <w:top w:val="single" w:sz="8" w:space="0" w:color="C0C0C0"/>
              <w:left w:val="single" w:sz="8" w:space="0" w:color="C0C0C0"/>
              <w:bottom w:val="single" w:sz="8" w:space="0" w:color="C0C0C0"/>
              <w:right w:val="single" w:sz="4" w:space="0" w:color="auto"/>
            </w:tcBorders>
          </w:tcPr>
          <w:p w14:paraId="2236D470" w14:textId="77777777" w:rsidR="009D3DC8" w:rsidRDefault="009D3DC8">
            <w:pPr>
              <w:pStyle w:val="TableText1"/>
              <w:spacing w:line="240" w:lineRule="auto"/>
              <w:rPr>
                <w:rFonts w:ascii="Arial" w:hAnsi="Arial" w:cs="Arial"/>
              </w:rPr>
            </w:pPr>
            <w:r>
              <w:rPr>
                <w:rFonts w:ascii="Arial" w:hAnsi="Arial" w:cs="Arial"/>
              </w:rPr>
              <w:t>United States of America</w:t>
            </w:r>
          </w:p>
        </w:tc>
      </w:tr>
      <w:tr w:rsidR="009D3DC8" w14:paraId="0F271A31" w14:textId="77777777">
        <w:trPr>
          <w:cantSplit/>
          <w:trHeight w:val="169"/>
          <w:tblHeader/>
        </w:trPr>
        <w:tc>
          <w:tcPr>
            <w:tcW w:w="2111" w:type="dxa"/>
            <w:tcBorders>
              <w:top w:val="single" w:sz="8" w:space="0" w:color="C0C0C0"/>
              <w:left w:val="single" w:sz="4" w:space="0" w:color="auto"/>
              <w:bottom w:val="single" w:sz="8" w:space="0" w:color="C0C0C0"/>
              <w:right w:val="single" w:sz="8" w:space="0" w:color="C0C0C0"/>
            </w:tcBorders>
          </w:tcPr>
          <w:p w14:paraId="58A1FE5A" w14:textId="77777777" w:rsidR="009D3DC8" w:rsidRDefault="009D3DC8">
            <w:pPr>
              <w:pStyle w:val="TableText1"/>
              <w:spacing w:line="240" w:lineRule="auto"/>
              <w:rPr>
                <w:rFonts w:ascii="Arial" w:hAnsi="Arial" w:cs="Arial"/>
              </w:rPr>
            </w:pPr>
            <w:r>
              <w:rPr>
                <w:rFonts w:ascii="Arial" w:hAnsi="Arial" w:cs="Arial"/>
              </w:rPr>
              <w:t>Vic.</w:t>
            </w:r>
          </w:p>
        </w:tc>
        <w:tc>
          <w:tcPr>
            <w:tcW w:w="6960" w:type="dxa"/>
            <w:tcBorders>
              <w:top w:val="single" w:sz="8" w:space="0" w:color="C0C0C0"/>
              <w:left w:val="single" w:sz="8" w:space="0" w:color="C0C0C0"/>
              <w:bottom w:val="single" w:sz="8" w:space="0" w:color="C0C0C0"/>
              <w:right w:val="single" w:sz="4" w:space="0" w:color="auto"/>
            </w:tcBorders>
          </w:tcPr>
          <w:p w14:paraId="59A7A30D"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Victoria</w:t>
                </w:r>
              </w:smartTag>
            </w:smartTag>
          </w:p>
        </w:tc>
      </w:tr>
      <w:tr w:rsidR="009D3DC8" w14:paraId="306F6AA6" w14:textId="77777777">
        <w:trPr>
          <w:cantSplit/>
          <w:tblHeader/>
        </w:trPr>
        <w:tc>
          <w:tcPr>
            <w:tcW w:w="2111" w:type="dxa"/>
            <w:tcBorders>
              <w:top w:val="single" w:sz="8" w:space="0" w:color="C0C0C0"/>
              <w:left w:val="single" w:sz="4" w:space="0" w:color="auto"/>
              <w:bottom w:val="single" w:sz="8" w:space="0" w:color="C0C0C0"/>
              <w:right w:val="single" w:sz="8" w:space="0" w:color="C0C0C0"/>
            </w:tcBorders>
          </w:tcPr>
          <w:p w14:paraId="6A2495ED" w14:textId="77777777" w:rsidR="009D3DC8" w:rsidRDefault="009D3DC8">
            <w:pPr>
              <w:pStyle w:val="TableText1"/>
              <w:spacing w:line="240" w:lineRule="auto"/>
              <w:rPr>
                <w:rFonts w:ascii="Arial" w:hAnsi="Arial" w:cs="Arial"/>
              </w:rPr>
            </w:pPr>
            <w:r>
              <w:rPr>
                <w:rFonts w:ascii="Arial" w:hAnsi="Arial" w:cs="Arial"/>
              </w:rPr>
              <w:t>WA</w:t>
            </w:r>
          </w:p>
        </w:tc>
        <w:tc>
          <w:tcPr>
            <w:tcW w:w="6960" w:type="dxa"/>
            <w:tcBorders>
              <w:top w:val="single" w:sz="8" w:space="0" w:color="C0C0C0"/>
              <w:left w:val="single" w:sz="8" w:space="0" w:color="C0C0C0"/>
              <w:bottom w:val="single" w:sz="8" w:space="0" w:color="C0C0C0"/>
              <w:right w:val="single" w:sz="4" w:space="0" w:color="auto"/>
            </w:tcBorders>
          </w:tcPr>
          <w:p w14:paraId="189893EB" w14:textId="77777777" w:rsidR="009D3DC8" w:rsidRDefault="009D3DC8">
            <w:pPr>
              <w:pStyle w:val="TableText1"/>
              <w:spacing w:line="240" w:lineRule="auto"/>
              <w:rPr>
                <w:rFonts w:ascii="Arial" w:hAnsi="Arial" w:cs="Arial"/>
              </w:rPr>
            </w:pPr>
            <w:smartTag w:uri="urn:schemas-microsoft-com:office:smarttags" w:element="State">
              <w:smartTag w:uri="urn:schemas-microsoft-com:office:smarttags" w:element="place">
                <w:r>
                  <w:rPr>
                    <w:rFonts w:ascii="Arial" w:hAnsi="Arial" w:cs="Arial"/>
                  </w:rPr>
                  <w:t>Western Australia</w:t>
                </w:r>
              </w:smartTag>
            </w:smartTag>
          </w:p>
        </w:tc>
      </w:tr>
      <w:tr w:rsidR="009D3DC8" w14:paraId="25D20FF5" w14:textId="77777777">
        <w:trPr>
          <w:cantSplit/>
          <w:tblHeader/>
        </w:trPr>
        <w:tc>
          <w:tcPr>
            <w:tcW w:w="2111" w:type="dxa"/>
            <w:tcBorders>
              <w:top w:val="single" w:sz="8" w:space="0" w:color="C0C0C0"/>
              <w:left w:val="single" w:sz="4" w:space="0" w:color="auto"/>
              <w:bottom w:val="single" w:sz="4" w:space="0" w:color="000000"/>
              <w:right w:val="single" w:sz="8" w:space="0" w:color="C0C0C0"/>
            </w:tcBorders>
          </w:tcPr>
          <w:p w14:paraId="3D5B38B3" w14:textId="77777777" w:rsidR="009D3DC8" w:rsidRDefault="009D3DC8">
            <w:pPr>
              <w:pStyle w:val="TableText1"/>
              <w:spacing w:line="240" w:lineRule="auto"/>
              <w:rPr>
                <w:rFonts w:ascii="Arial" w:hAnsi="Arial" w:cs="Arial"/>
              </w:rPr>
            </w:pPr>
            <w:r>
              <w:rPr>
                <w:rFonts w:ascii="Arial" w:hAnsi="Arial" w:cs="Arial"/>
              </w:rPr>
              <w:t>WTO</w:t>
            </w:r>
          </w:p>
        </w:tc>
        <w:tc>
          <w:tcPr>
            <w:tcW w:w="6960" w:type="dxa"/>
            <w:tcBorders>
              <w:top w:val="single" w:sz="8" w:space="0" w:color="C0C0C0"/>
              <w:left w:val="single" w:sz="8" w:space="0" w:color="C0C0C0"/>
              <w:bottom w:val="single" w:sz="4" w:space="0" w:color="000000"/>
              <w:right w:val="single" w:sz="4" w:space="0" w:color="auto"/>
            </w:tcBorders>
          </w:tcPr>
          <w:p w14:paraId="6F9AEF0F" w14:textId="77777777" w:rsidR="009D3DC8" w:rsidRDefault="009D3DC8">
            <w:pPr>
              <w:pStyle w:val="TableText1"/>
              <w:spacing w:line="240" w:lineRule="auto"/>
              <w:rPr>
                <w:rFonts w:ascii="Arial" w:hAnsi="Arial" w:cs="Arial"/>
              </w:rPr>
            </w:pPr>
            <w:r>
              <w:rPr>
                <w:rFonts w:ascii="Arial" w:hAnsi="Arial" w:cs="Arial"/>
              </w:rPr>
              <w:t>World Trade Organization</w:t>
            </w:r>
          </w:p>
        </w:tc>
      </w:tr>
    </w:tbl>
    <w:p w14:paraId="06BAE713" w14:textId="77777777" w:rsidR="009D3DC8" w:rsidRDefault="009D3DC8">
      <w:pPr>
        <w:pStyle w:val="Body"/>
        <w:sectPr w:rsidR="009D3DC8">
          <w:headerReference w:type="default" r:id="rId27"/>
          <w:pgSz w:w="11906" w:h="16838" w:code="9"/>
          <w:pgMar w:top="1440" w:right="1440" w:bottom="1418" w:left="1440" w:header="709" w:footer="709" w:gutter="0"/>
          <w:pgNumType w:fmt="lowerRoman"/>
          <w:cols w:space="708"/>
          <w:docGrid w:linePitch="360"/>
        </w:sectPr>
      </w:pPr>
      <w:bookmarkStart w:id="20" w:name="_Toc285095342"/>
    </w:p>
    <w:p w14:paraId="4B3F78CD" w14:textId="77777777" w:rsidR="009D3DC8" w:rsidRDefault="009D3DC8">
      <w:pPr>
        <w:pStyle w:val="Heading1"/>
        <w:numPr>
          <w:ilvl w:val="0"/>
          <w:numId w:val="0"/>
        </w:numPr>
        <w:spacing w:before="120" w:after="360" w:line="340" w:lineRule="atLeast"/>
        <w:ind w:left="720" w:hanging="720"/>
      </w:pPr>
      <w:bookmarkStart w:id="21" w:name="_Toc325618424"/>
      <w:r>
        <w:lastRenderedPageBreak/>
        <w:t>Abbreviations of units</w:t>
      </w:r>
      <w:bookmarkEnd w:id="20"/>
      <w:bookmarkEnd w:id="21"/>
    </w:p>
    <w:tbl>
      <w:tblPr>
        <w:tblW w:w="4901" w:type="pct"/>
        <w:tblInd w:w="115"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CellMar>
          <w:left w:w="115" w:type="dxa"/>
          <w:right w:w="115" w:type="dxa"/>
        </w:tblCellMar>
        <w:tblLook w:val="01E0" w:firstRow="1" w:lastRow="1" w:firstColumn="1" w:lastColumn="1" w:noHBand="0" w:noVBand="0"/>
      </w:tblPr>
      <w:tblGrid>
        <w:gridCol w:w="2286"/>
        <w:gridCol w:w="6949"/>
      </w:tblGrid>
      <w:tr w:rsidR="009D3DC8" w14:paraId="134B4C5A" w14:textId="77777777">
        <w:trPr>
          <w:cantSplit/>
        </w:trPr>
        <w:tc>
          <w:tcPr>
            <w:tcW w:w="2246" w:type="dxa"/>
            <w:tcBorders>
              <w:top w:val="single" w:sz="4" w:space="0" w:color="auto"/>
              <w:bottom w:val="single" w:sz="4" w:space="0" w:color="999999"/>
              <w:right w:val="single" w:sz="4" w:space="0" w:color="808080"/>
            </w:tcBorders>
            <w:shd w:val="clear" w:color="auto" w:fill="D9D9D9"/>
          </w:tcPr>
          <w:p w14:paraId="5D0A3374" w14:textId="77777777" w:rsidR="009D3DC8" w:rsidRDefault="009D3DC8">
            <w:pPr>
              <w:pStyle w:val="TableText1"/>
              <w:spacing w:line="240" w:lineRule="auto"/>
              <w:rPr>
                <w:rFonts w:ascii="Arial" w:hAnsi="Arial" w:cs="Arial"/>
                <w:b/>
              </w:rPr>
            </w:pPr>
            <w:r>
              <w:rPr>
                <w:rFonts w:ascii="Arial" w:hAnsi="Arial" w:cs="Arial"/>
                <w:b/>
              </w:rPr>
              <w:t>Term or abbreviation</w:t>
            </w:r>
          </w:p>
        </w:tc>
        <w:tc>
          <w:tcPr>
            <w:tcW w:w="6827" w:type="dxa"/>
            <w:tcBorders>
              <w:top w:val="single" w:sz="4" w:space="0" w:color="auto"/>
              <w:left w:val="single" w:sz="4" w:space="0" w:color="808080"/>
              <w:bottom w:val="single" w:sz="4" w:space="0" w:color="999999"/>
            </w:tcBorders>
            <w:shd w:val="clear" w:color="auto" w:fill="D9D9D9"/>
          </w:tcPr>
          <w:p w14:paraId="6B64C0F4" w14:textId="77777777" w:rsidR="009D3DC8" w:rsidRDefault="009D3DC8">
            <w:pPr>
              <w:pStyle w:val="TableText1"/>
              <w:spacing w:line="240" w:lineRule="auto"/>
              <w:rPr>
                <w:rFonts w:ascii="Arial" w:hAnsi="Arial" w:cs="Arial"/>
                <w:b/>
              </w:rPr>
            </w:pPr>
            <w:r>
              <w:rPr>
                <w:rFonts w:ascii="Arial" w:hAnsi="Arial" w:cs="Arial"/>
                <w:b/>
              </w:rPr>
              <w:t>Definition</w:t>
            </w:r>
          </w:p>
        </w:tc>
      </w:tr>
      <w:tr w:rsidR="009D3DC8" w14:paraId="783A2D8A" w14:textId="77777777">
        <w:trPr>
          <w:cantSplit/>
        </w:trPr>
        <w:tc>
          <w:tcPr>
            <w:tcW w:w="2246" w:type="dxa"/>
            <w:tcBorders>
              <w:top w:val="single" w:sz="4" w:space="0" w:color="999999"/>
              <w:bottom w:val="single" w:sz="4" w:space="0" w:color="999999"/>
              <w:right w:val="single" w:sz="4" w:space="0" w:color="999999"/>
            </w:tcBorders>
          </w:tcPr>
          <w:p w14:paraId="4ABCC7FA" w14:textId="77777777" w:rsidR="009D3DC8" w:rsidRDefault="009D3DC8">
            <w:pPr>
              <w:pStyle w:val="TableText1"/>
              <w:spacing w:line="240" w:lineRule="auto"/>
              <w:rPr>
                <w:rFonts w:ascii="Arial" w:hAnsi="Arial" w:cs="Arial"/>
              </w:rPr>
            </w:pPr>
            <w:r>
              <w:rPr>
                <w:rFonts w:ascii="Arial" w:hAnsi="Arial" w:cs="Arial"/>
              </w:rPr>
              <w:t>ºC</w:t>
            </w:r>
          </w:p>
        </w:tc>
        <w:tc>
          <w:tcPr>
            <w:tcW w:w="6827" w:type="dxa"/>
            <w:tcBorders>
              <w:top w:val="single" w:sz="4" w:space="0" w:color="999999"/>
              <w:left w:val="single" w:sz="4" w:space="0" w:color="999999"/>
              <w:bottom w:val="single" w:sz="4" w:space="0" w:color="999999"/>
            </w:tcBorders>
          </w:tcPr>
          <w:p w14:paraId="47508CE6" w14:textId="77777777" w:rsidR="009D3DC8" w:rsidRDefault="009D3DC8">
            <w:pPr>
              <w:pStyle w:val="TableText1"/>
              <w:spacing w:line="240" w:lineRule="auto"/>
              <w:rPr>
                <w:rFonts w:ascii="Arial" w:hAnsi="Arial" w:cs="Arial"/>
              </w:rPr>
            </w:pPr>
            <w:r>
              <w:rPr>
                <w:rFonts w:ascii="Arial" w:hAnsi="Arial" w:cs="Arial"/>
              </w:rPr>
              <w:t>Degree Celsius</w:t>
            </w:r>
          </w:p>
        </w:tc>
      </w:tr>
      <w:tr w:rsidR="009D3DC8" w14:paraId="4F9EA70D" w14:textId="77777777">
        <w:trPr>
          <w:cantSplit/>
        </w:trPr>
        <w:tc>
          <w:tcPr>
            <w:tcW w:w="2246" w:type="dxa"/>
            <w:tcBorders>
              <w:top w:val="single" w:sz="4" w:space="0" w:color="999999"/>
              <w:bottom w:val="single" w:sz="4" w:space="0" w:color="999999"/>
              <w:right w:val="single" w:sz="4" w:space="0" w:color="999999"/>
            </w:tcBorders>
          </w:tcPr>
          <w:p w14:paraId="6AF20D1A" w14:textId="77777777" w:rsidR="009D3DC8" w:rsidRDefault="009D3DC8">
            <w:pPr>
              <w:pStyle w:val="TableText1"/>
              <w:spacing w:line="240" w:lineRule="auto"/>
              <w:rPr>
                <w:rFonts w:ascii="Arial" w:hAnsi="Arial" w:cs="Arial"/>
              </w:rPr>
            </w:pPr>
            <w:r>
              <w:rPr>
                <w:rFonts w:ascii="Arial" w:hAnsi="Arial" w:cs="Arial"/>
              </w:rPr>
              <w:t>º</w:t>
            </w:r>
            <w:r>
              <w:rPr>
                <w:rFonts w:ascii="Arial" w:hAnsi="Arial" w:cs="Arial"/>
                <w:szCs w:val="16"/>
              </w:rPr>
              <w:t>Bx</w:t>
            </w:r>
          </w:p>
        </w:tc>
        <w:tc>
          <w:tcPr>
            <w:tcW w:w="6827" w:type="dxa"/>
            <w:tcBorders>
              <w:top w:val="single" w:sz="4" w:space="0" w:color="999999"/>
              <w:left w:val="single" w:sz="4" w:space="0" w:color="999999"/>
              <w:bottom w:val="single" w:sz="4" w:space="0" w:color="999999"/>
            </w:tcBorders>
          </w:tcPr>
          <w:p w14:paraId="62ED95F4" w14:textId="77777777" w:rsidR="009D3DC8" w:rsidRDefault="009D3DC8">
            <w:pPr>
              <w:pStyle w:val="TableText1"/>
              <w:spacing w:line="240" w:lineRule="auto"/>
              <w:rPr>
                <w:rFonts w:ascii="Arial" w:hAnsi="Arial" w:cs="Arial"/>
              </w:rPr>
            </w:pPr>
            <w:r>
              <w:rPr>
                <w:rFonts w:ascii="Arial" w:hAnsi="Arial" w:cs="Arial"/>
              </w:rPr>
              <w:t>Degree Brix</w:t>
            </w:r>
          </w:p>
        </w:tc>
      </w:tr>
      <w:tr w:rsidR="009D3DC8" w14:paraId="3952579F" w14:textId="77777777">
        <w:trPr>
          <w:cantSplit/>
        </w:trPr>
        <w:tc>
          <w:tcPr>
            <w:tcW w:w="2246" w:type="dxa"/>
            <w:tcBorders>
              <w:top w:val="single" w:sz="4" w:space="0" w:color="999999"/>
              <w:bottom w:val="single" w:sz="4" w:space="0" w:color="999999"/>
              <w:right w:val="single" w:sz="4" w:space="0" w:color="999999"/>
            </w:tcBorders>
          </w:tcPr>
          <w:p w14:paraId="147B8FC4" w14:textId="77777777" w:rsidR="009D3DC8" w:rsidRDefault="009D3DC8">
            <w:pPr>
              <w:pStyle w:val="TableText1"/>
              <w:spacing w:line="240" w:lineRule="auto"/>
              <w:rPr>
                <w:rFonts w:ascii="Arial" w:hAnsi="Arial" w:cs="Arial"/>
              </w:rPr>
            </w:pPr>
            <w:r>
              <w:rPr>
                <w:rFonts w:ascii="Arial" w:hAnsi="Arial" w:cs="Arial"/>
              </w:rPr>
              <w:t>cm</w:t>
            </w:r>
          </w:p>
        </w:tc>
        <w:tc>
          <w:tcPr>
            <w:tcW w:w="6827" w:type="dxa"/>
            <w:tcBorders>
              <w:top w:val="single" w:sz="4" w:space="0" w:color="999999"/>
              <w:left w:val="single" w:sz="4" w:space="0" w:color="999999"/>
              <w:bottom w:val="single" w:sz="4" w:space="0" w:color="999999"/>
            </w:tcBorders>
          </w:tcPr>
          <w:p w14:paraId="63471736" w14:textId="77777777" w:rsidR="009D3DC8" w:rsidRDefault="009D3DC8">
            <w:pPr>
              <w:pStyle w:val="TableText1"/>
              <w:spacing w:line="240" w:lineRule="auto"/>
              <w:rPr>
                <w:rFonts w:ascii="Arial" w:hAnsi="Arial" w:cs="Arial"/>
              </w:rPr>
            </w:pPr>
            <w:r>
              <w:rPr>
                <w:rFonts w:ascii="Arial" w:hAnsi="Arial" w:cs="Arial"/>
              </w:rPr>
              <w:t>Centimetre</w:t>
            </w:r>
          </w:p>
        </w:tc>
      </w:tr>
      <w:tr w:rsidR="009D3DC8" w14:paraId="2C5DD019" w14:textId="77777777">
        <w:trPr>
          <w:cantSplit/>
        </w:trPr>
        <w:tc>
          <w:tcPr>
            <w:tcW w:w="2246" w:type="dxa"/>
            <w:tcBorders>
              <w:top w:val="single" w:sz="4" w:space="0" w:color="999999"/>
              <w:bottom w:val="single" w:sz="4" w:space="0" w:color="999999"/>
              <w:right w:val="single" w:sz="4" w:space="0" w:color="999999"/>
            </w:tcBorders>
          </w:tcPr>
          <w:p w14:paraId="26F842E8" w14:textId="77777777" w:rsidR="009D3DC8" w:rsidRDefault="009D3DC8">
            <w:pPr>
              <w:pStyle w:val="TableText1"/>
              <w:spacing w:line="240" w:lineRule="auto"/>
              <w:rPr>
                <w:rFonts w:ascii="Arial" w:hAnsi="Arial" w:cs="Arial"/>
              </w:rPr>
            </w:pPr>
            <w:r>
              <w:rPr>
                <w:rFonts w:ascii="Arial" w:hAnsi="Arial" w:cs="Arial"/>
              </w:rPr>
              <w:t>g</w:t>
            </w:r>
          </w:p>
        </w:tc>
        <w:tc>
          <w:tcPr>
            <w:tcW w:w="6827" w:type="dxa"/>
            <w:tcBorders>
              <w:top w:val="single" w:sz="4" w:space="0" w:color="999999"/>
              <w:left w:val="single" w:sz="4" w:space="0" w:color="999999"/>
              <w:bottom w:val="single" w:sz="4" w:space="0" w:color="999999"/>
            </w:tcBorders>
          </w:tcPr>
          <w:p w14:paraId="1D2B9773" w14:textId="77777777" w:rsidR="009D3DC8" w:rsidRDefault="009D3DC8">
            <w:pPr>
              <w:pStyle w:val="TableText1"/>
              <w:spacing w:line="240" w:lineRule="auto"/>
              <w:rPr>
                <w:rFonts w:ascii="Arial" w:hAnsi="Arial" w:cs="Arial"/>
              </w:rPr>
            </w:pPr>
            <w:r>
              <w:rPr>
                <w:rFonts w:ascii="Arial" w:hAnsi="Arial" w:cs="Arial"/>
              </w:rPr>
              <w:t>Gram</w:t>
            </w:r>
          </w:p>
        </w:tc>
      </w:tr>
      <w:tr w:rsidR="009D3DC8" w14:paraId="3AD866B0" w14:textId="77777777">
        <w:trPr>
          <w:cantSplit/>
        </w:trPr>
        <w:tc>
          <w:tcPr>
            <w:tcW w:w="2246" w:type="dxa"/>
            <w:tcBorders>
              <w:top w:val="single" w:sz="4" w:space="0" w:color="999999"/>
              <w:bottom w:val="single" w:sz="4" w:space="0" w:color="999999"/>
              <w:right w:val="single" w:sz="4" w:space="0" w:color="999999"/>
            </w:tcBorders>
          </w:tcPr>
          <w:p w14:paraId="26052733" w14:textId="77777777" w:rsidR="009D3DC8" w:rsidRDefault="009D3DC8">
            <w:pPr>
              <w:pStyle w:val="TableText1"/>
              <w:spacing w:line="240" w:lineRule="auto"/>
              <w:rPr>
                <w:rFonts w:ascii="Arial" w:hAnsi="Arial" w:cs="Arial"/>
              </w:rPr>
            </w:pPr>
            <w:r>
              <w:rPr>
                <w:rFonts w:ascii="Arial" w:hAnsi="Arial" w:cs="Arial"/>
              </w:rPr>
              <w:t>kg</w:t>
            </w:r>
          </w:p>
        </w:tc>
        <w:tc>
          <w:tcPr>
            <w:tcW w:w="6827" w:type="dxa"/>
            <w:tcBorders>
              <w:top w:val="single" w:sz="4" w:space="0" w:color="999999"/>
              <w:left w:val="single" w:sz="4" w:space="0" w:color="999999"/>
              <w:bottom w:val="single" w:sz="4" w:space="0" w:color="999999"/>
            </w:tcBorders>
          </w:tcPr>
          <w:p w14:paraId="2EBD9A62" w14:textId="77777777" w:rsidR="009D3DC8" w:rsidRDefault="009D3DC8">
            <w:pPr>
              <w:pStyle w:val="TableText1"/>
              <w:spacing w:line="240" w:lineRule="auto"/>
              <w:rPr>
                <w:rFonts w:ascii="Arial" w:hAnsi="Arial" w:cs="Arial"/>
              </w:rPr>
            </w:pPr>
            <w:r>
              <w:rPr>
                <w:rFonts w:ascii="Arial" w:hAnsi="Arial" w:cs="Arial"/>
              </w:rPr>
              <w:t>Kilogram</w:t>
            </w:r>
          </w:p>
        </w:tc>
      </w:tr>
      <w:tr w:rsidR="009D3DC8" w14:paraId="156824A5" w14:textId="77777777">
        <w:trPr>
          <w:cantSplit/>
        </w:trPr>
        <w:tc>
          <w:tcPr>
            <w:tcW w:w="2246" w:type="dxa"/>
            <w:tcBorders>
              <w:top w:val="single" w:sz="4" w:space="0" w:color="999999"/>
              <w:bottom w:val="single" w:sz="4" w:space="0" w:color="999999"/>
              <w:right w:val="single" w:sz="4" w:space="0" w:color="999999"/>
            </w:tcBorders>
          </w:tcPr>
          <w:p w14:paraId="1AE8338C" w14:textId="77777777" w:rsidR="009D3DC8" w:rsidRDefault="009D3DC8">
            <w:pPr>
              <w:pStyle w:val="TableText1"/>
              <w:spacing w:line="240" w:lineRule="auto"/>
              <w:rPr>
                <w:rFonts w:ascii="Arial" w:hAnsi="Arial" w:cs="Arial"/>
              </w:rPr>
            </w:pPr>
            <w:r>
              <w:rPr>
                <w:rFonts w:ascii="Arial" w:hAnsi="Arial" w:cs="Arial"/>
              </w:rPr>
              <w:t>km</w:t>
            </w:r>
          </w:p>
        </w:tc>
        <w:tc>
          <w:tcPr>
            <w:tcW w:w="6827" w:type="dxa"/>
            <w:tcBorders>
              <w:top w:val="single" w:sz="4" w:space="0" w:color="999999"/>
              <w:left w:val="single" w:sz="4" w:space="0" w:color="999999"/>
              <w:bottom w:val="single" w:sz="4" w:space="0" w:color="999999"/>
            </w:tcBorders>
          </w:tcPr>
          <w:p w14:paraId="590E51E2" w14:textId="77777777" w:rsidR="009D3DC8" w:rsidRDefault="009D3DC8">
            <w:pPr>
              <w:pStyle w:val="TableText1"/>
              <w:spacing w:line="240" w:lineRule="auto"/>
              <w:rPr>
                <w:rFonts w:ascii="Arial" w:hAnsi="Arial" w:cs="Arial"/>
              </w:rPr>
            </w:pPr>
            <w:r>
              <w:rPr>
                <w:rFonts w:ascii="Arial" w:hAnsi="Arial" w:cs="Arial"/>
              </w:rPr>
              <w:t>Kilometre</w:t>
            </w:r>
          </w:p>
        </w:tc>
      </w:tr>
      <w:tr w:rsidR="009D3DC8" w14:paraId="4F83FB7F" w14:textId="77777777">
        <w:trPr>
          <w:cantSplit/>
        </w:trPr>
        <w:tc>
          <w:tcPr>
            <w:tcW w:w="2246" w:type="dxa"/>
            <w:tcBorders>
              <w:top w:val="single" w:sz="4" w:space="0" w:color="999999"/>
              <w:bottom w:val="single" w:sz="4" w:space="0" w:color="999999"/>
              <w:right w:val="single" w:sz="4" w:space="0" w:color="999999"/>
            </w:tcBorders>
          </w:tcPr>
          <w:p w14:paraId="575283BD" w14:textId="77777777" w:rsidR="009D3DC8" w:rsidRDefault="009D3DC8">
            <w:pPr>
              <w:pStyle w:val="TableText1"/>
              <w:spacing w:line="240" w:lineRule="auto"/>
              <w:rPr>
                <w:rFonts w:ascii="Arial" w:hAnsi="Arial" w:cs="Arial"/>
              </w:rPr>
            </w:pPr>
            <w:r>
              <w:rPr>
                <w:rFonts w:ascii="Arial" w:hAnsi="Arial" w:cs="Arial"/>
              </w:rPr>
              <w:t>m</w:t>
            </w:r>
          </w:p>
        </w:tc>
        <w:tc>
          <w:tcPr>
            <w:tcW w:w="6827" w:type="dxa"/>
            <w:tcBorders>
              <w:top w:val="single" w:sz="4" w:space="0" w:color="999999"/>
              <w:left w:val="single" w:sz="4" w:space="0" w:color="999999"/>
              <w:bottom w:val="single" w:sz="4" w:space="0" w:color="999999"/>
            </w:tcBorders>
          </w:tcPr>
          <w:p w14:paraId="1394D389" w14:textId="77777777" w:rsidR="009D3DC8" w:rsidRDefault="009D3DC8">
            <w:pPr>
              <w:pStyle w:val="TableText1"/>
              <w:spacing w:line="240" w:lineRule="auto"/>
              <w:rPr>
                <w:rFonts w:ascii="Arial" w:hAnsi="Arial" w:cs="Arial"/>
              </w:rPr>
            </w:pPr>
            <w:r>
              <w:rPr>
                <w:rFonts w:ascii="Arial" w:hAnsi="Arial" w:cs="Arial"/>
              </w:rPr>
              <w:t>Metre</w:t>
            </w:r>
          </w:p>
        </w:tc>
      </w:tr>
      <w:tr w:rsidR="009D3DC8" w14:paraId="31E4732A" w14:textId="77777777">
        <w:trPr>
          <w:cantSplit/>
        </w:trPr>
        <w:tc>
          <w:tcPr>
            <w:tcW w:w="2246" w:type="dxa"/>
            <w:tcBorders>
              <w:top w:val="single" w:sz="4" w:space="0" w:color="999999"/>
              <w:bottom w:val="single" w:sz="4" w:space="0" w:color="999999"/>
              <w:right w:val="single" w:sz="4" w:space="0" w:color="999999"/>
            </w:tcBorders>
          </w:tcPr>
          <w:p w14:paraId="155410FB" w14:textId="77777777" w:rsidR="009D3DC8" w:rsidRDefault="009D3DC8">
            <w:pPr>
              <w:pStyle w:val="TableText1"/>
              <w:spacing w:line="240" w:lineRule="auto"/>
              <w:rPr>
                <w:rFonts w:ascii="Arial" w:hAnsi="Arial" w:cs="Arial"/>
              </w:rPr>
            </w:pPr>
            <w:r>
              <w:rPr>
                <w:rFonts w:ascii="Arial" w:hAnsi="Arial" w:cs="Arial"/>
              </w:rPr>
              <w:t>mm</w:t>
            </w:r>
          </w:p>
        </w:tc>
        <w:tc>
          <w:tcPr>
            <w:tcW w:w="6827" w:type="dxa"/>
            <w:tcBorders>
              <w:top w:val="single" w:sz="4" w:space="0" w:color="999999"/>
              <w:left w:val="single" w:sz="4" w:space="0" w:color="999999"/>
              <w:bottom w:val="single" w:sz="4" w:space="0" w:color="999999"/>
            </w:tcBorders>
          </w:tcPr>
          <w:p w14:paraId="551C187E" w14:textId="77777777" w:rsidR="009D3DC8" w:rsidRDefault="009D3DC8">
            <w:pPr>
              <w:pStyle w:val="TableText1"/>
              <w:spacing w:line="240" w:lineRule="auto"/>
              <w:rPr>
                <w:rFonts w:ascii="Arial" w:hAnsi="Arial" w:cs="Arial"/>
              </w:rPr>
            </w:pPr>
            <w:r>
              <w:rPr>
                <w:rFonts w:ascii="Arial" w:hAnsi="Arial" w:cs="Arial"/>
              </w:rPr>
              <w:t>Millimetre</w:t>
            </w:r>
          </w:p>
        </w:tc>
      </w:tr>
      <w:tr w:rsidR="009D3DC8" w14:paraId="5C934473" w14:textId="77777777">
        <w:trPr>
          <w:cantSplit/>
        </w:trPr>
        <w:tc>
          <w:tcPr>
            <w:tcW w:w="2246" w:type="dxa"/>
            <w:tcBorders>
              <w:top w:val="single" w:sz="4" w:space="0" w:color="999999"/>
              <w:bottom w:val="single" w:sz="4" w:space="0" w:color="auto"/>
              <w:right w:val="single" w:sz="4" w:space="0" w:color="999999"/>
            </w:tcBorders>
          </w:tcPr>
          <w:p w14:paraId="2422E07C" w14:textId="77777777" w:rsidR="009D3DC8" w:rsidRDefault="009D3DC8">
            <w:pPr>
              <w:pStyle w:val="TableText1"/>
              <w:spacing w:line="240" w:lineRule="auto"/>
              <w:rPr>
                <w:rFonts w:ascii="Arial" w:hAnsi="Arial" w:cs="Arial"/>
              </w:rPr>
            </w:pPr>
            <w:r>
              <w:rPr>
                <w:rFonts w:ascii="Arial" w:hAnsi="Arial" w:cs="Arial"/>
              </w:rPr>
              <w:t>s</w:t>
            </w:r>
          </w:p>
        </w:tc>
        <w:tc>
          <w:tcPr>
            <w:tcW w:w="6827" w:type="dxa"/>
            <w:tcBorders>
              <w:top w:val="single" w:sz="4" w:space="0" w:color="999999"/>
              <w:left w:val="single" w:sz="4" w:space="0" w:color="999999"/>
              <w:bottom w:val="single" w:sz="4" w:space="0" w:color="auto"/>
            </w:tcBorders>
          </w:tcPr>
          <w:p w14:paraId="690AC0CC" w14:textId="77777777" w:rsidR="009D3DC8" w:rsidRDefault="009D3DC8">
            <w:pPr>
              <w:pStyle w:val="TableText1"/>
              <w:spacing w:line="240" w:lineRule="auto"/>
              <w:rPr>
                <w:rFonts w:ascii="Arial" w:hAnsi="Arial" w:cs="Arial"/>
              </w:rPr>
            </w:pPr>
            <w:r>
              <w:rPr>
                <w:rFonts w:ascii="Arial" w:hAnsi="Arial" w:cs="Arial"/>
              </w:rPr>
              <w:t>Second</w:t>
            </w:r>
          </w:p>
        </w:tc>
      </w:tr>
    </w:tbl>
    <w:p w14:paraId="18B5D0AA" w14:textId="77777777" w:rsidR="009D3DC8" w:rsidRDefault="009D3DC8">
      <w:pPr>
        <w:pStyle w:val="Heading1"/>
        <w:numPr>
          <w:ilvl w:val="0"/>
          <w:numId w:val="0"/>
        </w:numPr>
        <w:spacing w:before="120" w:line="340" w:lineRule="atLeast"/>
        <w:ind w:left="720" w:hanging="720"/>
        <w:sectPr w:rsidR="009D3DC8">
          <w:headerReference w:type="default" r:id="rId28"/>
          <w:footerReference w:type="default" r:id="rId29"/>
          <w:pgSz w:w="11906" w:h="16838"/>
          <w:pgMar w:top="1440" w:right="1274" w:bottom="1440" w:left="1440" w:header="708" w:footer="708" w:gutter="0"/>
          <w:pgNumType w:fmt="lowerRoman"/>
          <w:cols w:space="708"/>
          <w:docGrid w:linePitch="360"/>
        </w:sectPr>
      </w:pPr>
      <w:bookmarkStart w:id="22" w:name="_Toc285095343"/>
    </w:p>
    <w:p w14:paraId="1212B7EB" w14:textId="77777777" w:rsidR="009D3DC8" w:rsidRDefault="009D3DC8">
      <w:pPr>
        <w:pStyle w:val="Heading1"/>
        <w:numPr>
          <w:ilvl w:val="0"/>
          <w:numId w:val="0"/>
        </w:numPr>
        <w:spacing w:before="120" w:line="340" w:lineRule="atLeast"/>
        <w:ind w:left="720" w:hanging="720"/>
      </w:pPr>
      <w:bookmarkStart w:id="23" w:name="_Toc325618425"/>
      <w:r>
        <w:lastRenderedPageBreak/>
        <w:t>Summary</w:t>
      </w:r>
      <w:bookmarkEnd w:id="22"/>
      <w:bookmarkEnd w:id="23"/>
    </w:p>
    <w:p w14:paraId="732661A6" w14:textId="77777777" w:rsidR="009D3DC8" w:rsidRDefault="009D3DC8">
      <w:pPr>
        <w:spacing w:before="180" w:line="280" w:lineRule="atLeast"/>
        <w:rPr>
          <w:rFonts w:ascii="Times New Roman" w:hAnsi="Times New Roman"/>
          <w:sz w:val="24"/>
        </w:rPr>
      </w:pPr>
      <w:bookmarkStart w:id="24" w:name="_Toc285095344"/>
      <w:r>
        <w:rPr>
          <w:rFonts w:ascii="Times New Roman" w:hAnsi="Times New Roman"/>
          <w:sz w:val="24"/>
        </w:rPr>
        <w:t>This final report for a non-regulated analysis of existing policy assesses a proposal from Indonesia for market access to Australia for fresh mangosteen fruit.</w:t>
      </w:r>
    </w:p>
    <w:p w14:paraId="227D0EC0" w14:textId="77777777" w:rsidR="009D3DC8" w:rsidRDefault="009D3DC8">
      <w:pPr>
        <w:spacing w:before="180" w:line="280" w:lineRule="atLeast"/>
        <w:rPr>
          <w:rFonts w:ascii="Times New Roman" w:hAnsi="Times New Roman"/>
          <w:sz w:val="24"/>
        </w:rPr>
      </w:pPr>
      <w:r>
        <w:rPr>
          <w:rFonts w:ascii="Times New Roman" w:hAnsi="Times New Roman"/>
          <w:sz w:val="24"/>
        </w:rPr>
        <w:t>This final report recommends that the importation of fresh mangosteen fruit to Australia from all commercial production areas of Indonesia be permitted, subject to a range of quarantine conditions.</w:t>
      </w:r>
    </w:p>
    <w:p w14:paraId="32AB8F87" w14:textId="77777777" w:rsidR="009D3DC8" w:rsidRDefault="009D3DC8">
      <w:pPr>
        <w:spacing w:before="180" w:line="280" w:lineRule="atLeast"/>
        <w:rPr>
          <w:rFonts w:ascii="Times New Roman" w:hAnsi="Times New Roman"/>
          <w:sz w:val="24"/>
        </w:rPr>
      </w:pPr>
      <w:r>
        <w:rPr>
          <w:rFonts w:ascii="Times New Roman" w:hAnsi="Times New Roman"/>
          <w:sz w:val="24"/>
        </w:rPr>
        <w:t>Australia permits the importation of mangosteens from Thailand for human consumption provided they meet Australian quarantine requirements.</w:t>
      </w:r>
    </w:p>
    <w:p w14:paraId="7AADF539" w14:textId="77777777" w:rsidR="009D3DC8" w:rsidRDefault="009D3DC8">
      <w:pPr>
        <w:spacing w:before="180" w:line="280" w:lineRule="atLeast"/>
        <w:rPr>
          <w:rFonts w:ascii="Times New Roman" w:hAnsi="Times New Roman"/>
          <w:sz w:val="24"/>
        </w:rPr>
      </w:pPr>
      <w:r>
        <w:rPr>
          <w:rFonts w:ascii="Times New Roman" w:hAnsi="Times New Roman"/>
          <w:sz w:val="24"/>
        </w:rPr>
        <w:t>This report identifies pests that require quarantine measures to manage risks to a very low level in order to achieve Australia’s appropriate level of protection (ALOP). The pests requiring measures are species of spider mites, mealybugs and ants. While fruit flies are pests of concern, mangosteen fruit are considered conditional non-hosts when undamaged and at specific maturity levels.</w:t>
      </w:r>
    </w:p>
    <w:p w14:paraId="7EA57AF9" w14:textId="77777777" w:rsidR="009D3DC8" w:rsidRDefault="009D3DC8">
      <w:pPr>
        <w:spacing w:before="180" w:line="280" w:lineRule="atLeast"/>
        <w:rPr>
          <w:rFonts w:ascii="Times New Roman" w:hAnsi="Times New Roman"/>
          <w:sz w:val="24"/>
        </w:rPr>
      </w:pPr>
      <w:r>
        <w:rPr>
          <w:rFonts w:ascii="Times New Roman" w:hAnsi="Times New Roman"/>
          <w:sz w:val="24"/>
        </w:rPr>
        <w:t>The recommended quarantine measures take account of regional differences. Only one pest requiring risk mitigation, a mealybug species, has been identified as a regional quarantine pest for Western Australia.</w:t>
      </w:r>
    </w:p>
    <w:p w14:paraId="2D6B989F" w14:textId="77777777" w:rsidR="009D3DC8" w:rsidRDefault="009D3DC8">
      <w:pPr>
        <w:spacing w:before="180" w:line="280" w:lineRule="atLeast"/>
        <w:rPr>
          <w:rFonts w:ascii="Times New Roman" w:hAnsi="Times New Roman"/>
          <w:sz w:val="24"/>
        </w:rPr>
      </w:pPr>
      <w:r>
        <w:rPr>
          <w:rFonts w:ascii="Times New Roman" w:hAnsi="Times New Roman"/>
          <w:sz w:val="24"/>
        </w:rPr>
        <w:t>This report recommends a combination of risk management measures and operational systems that will reduce the risk associated with the importation of mangosteen fruit from Indonesia into Australia to achieve Australia’s ALOP, specifically:</w:t>
      </w:r>
    </w:p>
    <w:p w14:paraId="13CAD079" w14:textId="77777777" w:rsidR="009D3DC8" w:rsidRDefault="009D3DC8">
      <w:pPr>
        <w:pStyle w:val="Bullets"/>
        <w:numPr>
          <w:ilvl w:val="0"/>
          <w:numId w:val="9"/>
        </w:numPr>
        <w:spacing w:before="120"/>
        <w:jc w:val="left"/>
      </w:pPr>
      <w:r>
        <w:t>packing of undamaged fruit of maturity index of 2–3 (fruit with reddish spots or reddish skin) because such fruit does not host fruit flies.</w:t>
      </w:r>
    </w:p>
    <w:p w14:paraId="66AC7B16" w14:textId="77777777" w:rsidR="009D3DC8" w:rsidRDefault="009D3DC8">
      <w:pPr>
        <w:pStyle w:val="Bullets"/>
        <w:numPr>
          <w:ilvl w:val="0"/>
          <w:numId w:val="9"/>
        </w:numPr>
        <w:spacing w:before="120"/>
        <w:jc w:val="left"/>
      </w:pPr>
      <w:r>
        <w:t>a systems approach (cleaning of the fruit, including under the calyx, using pressurised air blasting and brushing, fumigation with methyl bromide, and regulatory visual inspection and remedial action) for spider mites, mealybugs and ants.</w:t>
      </w:r>
    </w:p>
    <w:p w14:paraId="01FADFA0" w14:textId="77777777" w:rsidR="009D3DC8" w:rsidRDefault="009D3DC8">
      <w:pPr>
        <w:pStyle w:val="Bullets"/>
        <w:numPr>
          <w:ilvl w:val="0"/>
          <w:numId w:val="9"/>
        </w:numPr>
        <w:spacing w:before="120"/>
        <w:jc w:val="left"/>
      </w:pPr>
      <w:r>
        <w:t>a supporting operational system to maintain and verify the phytosanitary status of consignments. DAFF Biosecurity will verify that the proposed phytosanitary measures have been applied.</w:t>
      </w:r>
    </w:p>
    <w:p w14:paraId="1061AE6E" w14:textId="77777777" w:rsidR="009D3DC8" w:rsidRDefault="009D3DC8">
      <w:pPr>
        <w:pStyle w:val="Bullets"/>
        <w:numPr>
          <w:ilvl w:val="0"/>
          <w:numId w:val="9"/>
        </w:numPr>
        <w:spacing w:before="120"/>
        <w:jc w:val="left"/>
      </w:pPr>
      <w:r>
        <w:t>pre-export phytosanitary inspection and certification by the Indonesian Agricultural Quarantine Agency (IAQA) and on-arrival phytosanitary inspection, remedial action if required, and clearance by DAFF Biosecurity.</w:t>
      </w:r>
    </w:p>
    <w:p w14:paraId="0E6D7960" w14:textId="77777777" w:rsidR="009D3DC8" w:rsidRDefault="009D3DC8">
      <w:pPr>
        <w:spacing w:before="180" w:line="280" w:lineRule="atLeast"/>
        <w:rPr>
          <w:rFonts w:ascii="Times New Roman" w:hAnsi="Times New Roman"/>
          <w:sz w:val="24"/>
        </w:rPr>
      </w:pPr>
      <w:r>
        <w:rPr>
          <w:rFonts w:ascii="Times New Roman" w:hAnsi="Times New Roman"/>
          <w:sz w:val="24"/>
        </w:rPr>
        <w:t>This report contains details of the risk assessments for the quarantine pests and the recommended quarantine measures.</w:t>
      </w:r>
    </w:p>
    <w:p w14:paraId="18D5FFF7"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DAFF Biosecurity has carefully considered all stakeholder comments on the draft report. The report has been amended to take account of all scientifically relevant comments and information. </w:t>
      </w:r>
    </w:p>
    <w:p w14:paraId="64C96106" w14:textId="77777777" w:rsidR="009D3DC8" w:rsidRDefault="009D3DC8">
      <w:pPr>
        <w:spacing w:before="180" w:line="280" w:lineRule="atLeast"/>
        <w:sectPr w:rsidR="009D3DC8">
          <w:headerReference w:type="default" r:id="rId30"/>
          <w:footerReference w:type="default" r:id="rId31"/>
          <w:pgSz w:w="11906" w:h="16838"/>
          <w:pgMar w:top="1440" w:right="1274" w:bottom="1440" w:left="1440" w:header="708" w:footer="708" w:gutter="0"/>
          <w:pgNumType w:start="1"/>
          <w:cols w:space="708"/>
          <w:docGrid w:linePitch="360"/>
        </w:sectPr>
      </w:pPr>
    </w:p>
    <w:p w14:paraId="1C9C0929" w14:textId="77777777" w:rsidR="009D3DC8" w:rsidRDefault="009D3DC8">
      <w:pPr>
        <w:pStyle w:val="Heading1"/>
        <w:numPr>
          <w:ilvl w:val="0"/>
          <w:numId w:val="8"/>
        </w:numPr>
        <w:spacing w:before="120" w:line="240" w:lineRule="auto"/>
      </w:pPr>
      <w:bookmarkStart w:id="25" w:name="_Toc325618426"/>
      <w:r>
        <w:lastRenderedPageBreak/>
        <w:t>Introduction</w:t>
      </w:r>
      <w:bookmarkEnd w:id="24"/>
      <w:bookmarkEnd w:id="25"/>
    </w:p>
    <w:p w14:paraId="2918258A" w14:textId="77777777" w:rsidR="009D3DC8" w:rsidRDefault="009D3DC8">
      <w:pPr>
        <w:pStyle w:val="Heading2"/>
        <w:numPr>
          <w:ilvl w:val="1"/>
          <w:numId w:val="8"/>
        </w:numPr>
        <w:spacing w:line="240" w:lineRule="auto"/>
      </w:pPr>
      <w:bookmarkStart w:id="26" w:name="_Toc285095345"/>
      <w:bookmarkStart w:id="27" w:name="_Toc325618427"/>
      <w:r>
        <w:t>Australia’s biosecurity policy framework</w:t>
      </w:r>
      <w:bookmarkEnd w:id="26"/>
      <w:bookmarkEnd w:id="27"/>
    </w:p>
    <w:p w14:paraId="1E64E917" w14:textId="77777777" w:rsidR="009D3DC8" w:rsidRDefault="009D3DC8">
      <w:pPr>
        <w:spacing w:before="180" w:line="280" w:lineRule="atLeast"/>
        <w:rPr>
          <w:rFonts w:ascii="Times New Roman" w:hAnsi="Times New Roman"/>
          <w:sz w:val="24"/>
        </w:rPr>
      </w:pPr>
      <w:r>
        <w:rPr>
          <w:rFonts w:ascii="Times New Roman" w:hAnsi="Times New Roman"/>
          <w:sz w:val="24"/>
        </w:rPr>
        <w:t>Australia's biosecurity policies aim to protect Australia against the risks that may arise from exotic pests</w:t>
      </w:r>
      <w:r>
        <w:rPr>
          <w:rFonts w:ascii="Times New Roman" w:hAnsi="Times New Roman"/>
          <w:sz w:val="24"/>
          <w:vertAlign w:val="superscript"/>
        </w:rPr>
        <w:footnoteReference w:id="1"/>
      </w:r>
      <w:r>
        <w:rPr>
          <w:rFonts w:ascii="Times New Roman" w:hAnsi="Times New Roman"/>
          <w:sz w:val="24"/>
          <w:vertAlign w:val="superscript"/>
        </w:rPr>
        <w:t xml:space="preserve"> </w:t>
      </w:r>
      <w:r>
        <w:rPr>
          <w:rFonts w:ascii="Times New Roman" w:hAnsi="Times New Roman"/>
          <w:sz w:val="24"/>
        </w:rPr>
        <w:t>entering, establishing and spreading in Australia, thereby threatening Australia's unique flora and fauna, as well as those agricultural industries that are relatively free from serious pests.</w:t>
      </w:r>
    </w:p>
    <w:p w14:paraId="204ED58C" w14:textId="77777777" w:rsidR="009D3DC8" w:rsidRDefault="009D3DC8">
      <w:pPr>
        <w:spacing w:before="180" w:line="280" w:lineRule="atLeast"/>
        <w:rPr>
          <w:rFonts w:ascii="Times New Roman" w:hAnsi="Times New Roman"/>
          <w:sz w:val="24"/>
        </w:rPr>
      </w:pPr>
      <w:r>
        <w:rPr>
          <w:rFonts w:ascii="Times New Roman" w:hAnsi="Times New Roman"/>
          <w:sz w:val="24"/>
        </w:rPr>
        <w:t>The import risk analysis (IRA) process is an important part of Australia's biosecurity policies. It enables the Australian Government to formally consider the risks that could be associated with proposals to import new products into Australia. If the risks are found to exceed Australia’s appropriate level of protection (ALOP), risk management measures are proposed to reduce the risks to an acceptable level. But, if it is not possible to reduce the risks to an acceptable level, then no trade will be allowed.</w:t>
      </w:r>
    </w:p>
    <w:p w14:paraId="0B632C90" w14:textId="77777777" w:rsidR="009D3DC8" w:rsidRDefault="009D3DC8">
      <w:pPr>
        <w:spacing w:before="180" w:line="280" w:lineRule="atLeast"/>
        <w:rPr>
          <w:rFonts w:ascii="Times New Roman" w:hAnsi="Times New Roman"/>
          <w:sz w:val="24"/>
        </w:rPr>
      </w:pPr>
      <w:r>
        <w:rPr>
          <w:rFonts w:ascii="Times New Roman" w:hAnsi="Times New Roman"/>
          <w:sz w:val="24"/>
        </w:rPr>
        <w:t>Successive Australian Governments have maintained a conservative, but not a zero</w:t>
      </w:r>
      <w:r>
        <w:rPr>
          <w:rFonts w:ascii="Times New Roman" w:hAnsi="Times New Roman"/>
          <w:sz w:val="24"/>
        </w:rPr>
        <w:noBreakHyphen/>
        <w:t>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14:paraId="76B1357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Australia’s IRAs are undertaken by DAFF Biosecurity using technical and scientific experts in relevant fields, and involves consultation with stakeholders at various stages during the process. DAFF Biosecurity provides recommendations for animal and plant quarantine policy to Australia’s Director of Animal and Plant Quarantine (the Secretary of the Department of Agriculture, Fisheries and Forestry, DAFF). The Director, or delegate, is responsible for determining whether or not an importation can be permitted under the </w:t>
      </w:r>
      <w:r>
        <w:rPr>
          <w:rFonts w:ascii="Times New Roman" w:hAnsi="Times New Roman"/>
          <w:i/>
          <w:sz w:val="24"/>
        </w:rPr>
        <w:t>Quarantine Act 1908</w:t>
      </w:r>
      <w:r>
        <w:rPr>
          <w:rFonts w:ascii="Times New Roman" w:hAnsi="Times New Roman"/>
          <w:sz w:val="24"/>
        </w:rPr>
        <w:t>, and if so, under what conditions. DAFF Biosecurity is responsible for implementing appropriate risk management measures.</w:t>
      </w:r>
    </w:p>
    <w:p w14:paraId="075D66C2"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More information about Australia’s biosecurity framework is provided in Appendix D of this report and in the </w:t>
      </w:r>
      <w:r>
        <w:rPr>
          <w:rFonts w:ascii="Times New Roman" w:hAnsi="Times New Roman"/>
          <w:i/>
          <w:sz w:val="24"/>
        </w:rPr>
        <w:t>Import Risk Analysis Handbook 2011</w:t>
      </w:r>
      <w:r>
        <w:rPr>
          <w:rFonts w:ascii="Times New Roman" w:hAnsi="Times New Roman"/>
          <w:sz w:val="24"/>
        </w:rPr>
        <w:t xml:space="preserve"> located on the DAFF website www.daff.gov.au</w:t>
      </w:r>
      <w:bookmarkStart w:id="28" w:name="_Toc285095346"/>
      <w:r>
        <w:rPr>
          <w:rFonts w:ascii="Times New Roman" w:hAnsi="Times New Roman"/>
          <w:sz w:val="24"/>
        </w:rPr>
        <w:t>.</w:t>
      </w:r>
    </w:p>
    <w:p w14:paraId="253BE770" w14:textId="77777777" w:rsidR="009D3DC8" w:rsidRDefault="009D3DC8">
      <w:pPr>
        <w:pStyle w:val="Heading2"/>
        <w:numPr>
          <w:ilvl w:val="1"/>
          <w:numId w:val="8"/>
        </w:numPr>
        <w:spacing w:line="240" w:lineRule="auto"/>
      </w:pPr>
      <w:bookmarkStart w:id="29" w:name="_Toc325618428"/>
      <w:r>
        <w:t>This import risk analysis</w:t>
      </w:r>
      <w:bookmarkEnd w:id="28"/>
      <w:bookmarkEnd w:id="29"/>
    </w:p>
    <w:p w14:paraId="062A67B1" w14:textId="77777777" w:rsidR="009D3DC8" w:rsidRDefault="009D3DC8">
      <w:pPr>
        <w:pStyle w:val="Heading3"/>
        <w:numPr>
          <w:ilvl w:val="2"/>
          <w:numId w:val="8"/>
        </w:numPr>
        <w:spacing w:line="240" w:lineRule="auto"/>
      </w:pPr>
      <w:r>
        <w:t>Background</w:t>
      </w:r>
    </w:p>
    <w:p w14:paraId="23D8A707" w14:textId="77777777" w:rsidR="009D3DC8" w:rsidRDefault="009D3DC8">
      <w:pPr>
        <w:spacing w:before="180" w:line="280" w:lineRule="atLeast"/>
        <w:rPr>
          <w:rFonts w:ascii="Times New Roman" w:hAnsi="Times New Roman"/>
          <w:sz w:val="24"/>
        </w:rPr>
      </w:pPr>
      <w:r>
        <w:rPr>
          <w:rFonts w:ascii="Times New Roman" w:hAnsi="Times New Roman"/>
          <w:sz w:val="24"/>
        </w:rPr>
        <w:t>The Indonesian Agricultural Quarantine Agency (IAQA) formally requested market access for fresh mangosteen fruit to Australia in a submission received in February 2008. This submission included information on the pests associated with mangosteen crops in Indonesia, including the plant part affected, and the standard commercial production practices for fresh mangosteen fruit in Indonesia (IAQA 2008). Additional information on a number of pests was provided in 2009.</w:t>
      </w:r>
    </w:p>
    <w:p w14:paraId="498C7416"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On 4 June 2010, Biosecurity Australia (now DAFF Biosecurity) formally announced the commencement of this risk analysis, advising that it would be progressed as a non-regulated analysis of existing policy.</w:t>
      </w:r>
    </w:p>
    <w:p w14:paraId="2C4E40D7" w14:textId="77777777" w:rsidR="009D3DC8" w:rsidRDefault="009D3DC8">
      <w:pPr>
        <w:pStyle w:val="Heading3"/>
        <w:numPr>
          <w:ilvl w:val="2"/>
          <w:numId w:val="8"/>
        </w:numPr>
        <w:spacing w:line="240" w:lineRule="auto"/>
      </w:pPr>
      <w:r>
        <w:t>Scope</w:t>
      </w:r>
    </w:p>
    <w:p w14:paraId="511A5192" w14:textId="77777777" w:rsidR="009D3DC8" w:rsidRDefault="009D3DC8">
      <w:pPr>
        <w:spacing w:before="180" w:line="280" w:lineRule="atLeast"/>
        <w:rPr>
          <w:rFonts w:ascii="Times New Roman" w:hAnsi="Times New Roman"/>
          <w:sz w:val="24"/>
        </w:rPr>
      </w:pPr>
      <w:r>
        <w:rPr>
          <w:rFonts w:ascii="Times New Roman" w:hAnsi="Times New Roman"/>
          <w:sz w:val="24"/>
        </w:rPr>
        <w:t>The scope of this non-regulated analysis is to consider the quarantine risk that may be associated with the importation of commercially produced fresh mangosteen fruit (</w:t>
      </w:r>
      <w:r>
        <w:rPr>
          <w:rFonts w:ascii="Times New Roman" w:hAnsi="Times New Roman"/>
          <w:i/>
          <w:sz w:val="24"/>
        </w:rPr>
        <w:t>Garcinia mangostana </w:t>
      </w:r>
      <w:r>
        <w:rPr>
          <w:rFonts w:ascii="Times New Roman" w:hAnsi="Times New Roman"/>
          <w:sz w:val="24"/>
        </w:rPr>
        <w:t>L.), free from trash, from Indonesia, for human consumption in Australia.</w:t>
      </w:r>
    </w:p>
    <w:p w14:paraId="79B8233B" w14:textId="77777777" w:rsidR="009D3DC8" w:rsidRDefault="009D3DC8">
      <w:pPr>
        <w:spacing w:before="180" w:line="280" w:lineRule="atLeast"/>
        <w:rPr>
          <w:rFonts w:ascii="Times New Roman" w:hAnsi="Times New Roman"/>
          <w:sz w:val="24"/>
          <w:highlight w:val="yellow"/>
        </w:rPr>
      </w:pPr>
      <w:r>
        <w:rPr>
          <w:rFonts w:ascii="Times New Roman" w:hAnsi="Times New Roman"/>
          <w:sz w:val="24"/>
        </w:rPr>
        <w:t>In this analysis, mangosteens are defined as fruit with the fruit stalk and calyx attached but not other plant parts (Figure 4). This analysis covers all commercially produced mangosteen fruit and the regions of Indonesia in which they are grown for export.</w:t>
      </w:r>
    </w:p>
    <w:p w14:paraId="282C7C6E" w14:textId="77777777" w:rsidR="009D3DC8" w:rsidRDefault="009D3DC8">
      <w:pPr>
        <w:pStyle w:val="Heading3"/>
        <w:numPr>
          <w:ilvl w:val="2"/>
          <w:numId w:val="8"/>
        </w:numPr>
        <w:spacing w:line="240" w:lineRule="auto"/>
      </w:pPr>
      <w:r>
        <w:t>Existing policy</w:t>
      </w:r>
    </w:p>
    <w:p w14:paraId="4DAE5450" w14:textId="77777777" w:rsidR="009D3DC8" w:rsidRDefault="009D3DC8">
      <w:pPr>
        <w:pStyle w:val="AQISText"/>
        <w:keepNext/>
        <w:tabs>
          <w:tab w:val="left" w:pos="357"/>
        </w:tabs>
        <w:spacing w:before="180"/>
        <w:jc w:val="both"/>
        <w:rPr>
          <w:b/>
          <w:sz w:val="24"/>
          <w:szCs w:val="24"/>
        </w:rPr>
      </w:pPr>
      <w:r>
        <w:rPr>
          <w:rFonts w:cs="Arial"/>
          <w:b/>
          <w:bCs/>
          <w:color w:val="000000"/>
          <w:sz w:val="24"/>
          <w:szCs w:val="28"/>
        </w:rPr>
        <w:t>International policy</w:t>
      </w:r>
    </w:p>
    <w:p w14:paraId="33E55E6D" w14:textId="77777777" w:rsidR="009D3DC8" w:rsidRDefault="009D3DC8">
      <w:pPr>
        <w:spacing w:before="180" w:line="280" w:lineRule="atLeast"/>
        <w:rPr>
          <w:rFonts w:ascii="Times New Roman" w:hAnsi="Times New Roman"/>
          <w:sz w:val="24"/>
        </w:rPr>
      </w:pPr>
      <w:r>
        <w:rPr>
          <w:rFonts w:ascii="Times New Roman" w:hAnsi="Times New Roman"/>
          <w:sz w:val="24"/>
        </w:rPr>
        <w:t>Import policy exists for fresh mangosteen fruit from Thailand (DAFF 2004b), and mangosteens have been imported from Thailand since 2004.</w:t>
      </w:r>
    </w:p>
    <w:p w14:paraId="01643B84" w14:textId="77777777" w:rsidR="009D3DC8" w:rsidRDefault="009D3DC8">
      <w:pPr>
        <w:spacing w:before="180" w:line="280" w:lineRule="atLeast"/>
        <w:rPr>
          <w:rFonts w:ascii="Times New Roman" w:hAnsi="Times New Roman"/>
          <w:sz w:val="24"/>
        </w:rPr>
      </w:pPr>
      <w:r>
        <w:rPr>
          <w:rFonts w:ascii="Times New Roman" w:hAnsi="Times New Roman"/>
          <w:sz w:val="24"/>
        </w:rPr>
        <w:t>The import requirements for fresh mangosteen fruit from Thailand can be accessed at the AQIS Import Conditions database http://www.aqis.gov.au/icon.</w:t>
      </w:r>
    </w:p>
    <w:p w14:paraId="7D4BE81A"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DAFF Biosecurity has considered all pests previously identified in the </w:t>
      </w:r>
      <w:r>
        <w:rPr>
          <w:rFonts w:ascii="Times New Roman" w:hAnsi="Times New Roman"/>
          <w:i/>
          <w:sz w:val="24"/>
        </w:rPr>
        <w:t>Mangosteen fruit from Thailand final import risk analysis report</w:t>
      </w:r>
      <w:r>
        <w:rPr>
          <w:rFonts w:ascii="Times New Roman" w:hAnsi="Times New Roman"/>
          <w:sz w:val="24"/>
        </w:rPr>
        <w:t xml:space="preserve"> (DAFF 2004b) and where relevant, taken this into account in the present assessment for mangosteen fruit from Indonesia.</w:t>
      </w:r>
    </w:p>
    <w:p w14:paraId="641433A4" w14:textId="77777777" w:rsidR="009D3DC8" w:rsidRDefault="009D3DC8">
      <w:pPr>
        <w:pStyle w:val="AQISText"/>
        <w:keepNext/>
        <w:tabs>
          <w:tab w:val="left" w:pos="357"/>
        </w:tabs>
        <w:spacing w:before="180"/>
        <w:jc w:val="both"/>
        <w:rPr>
          <w:rFonts w:cs="Arial"/>
          <w:b/>
          <w:bCs/>
          <w:color w:val="000000"/>
          <w:sz w:val="24"/>
          <w:szCs w:val="28"/>
        </w:rPr>
      </w:pPr>
      <w:r>
        <w:rPr>
          <w:rFonts w:cs="Arial"/>
          <w:b/>
          <w:bCs/>
          <w:color w:val="000000"/>
          <w:sz w:val="24"/>
          <w:szCs w:val="28"/>
        </w:rPr>
        <w:t>Domestic arrangements</w:t>
      </w:r>
    </w:p>
    <w:p w14:paraId="760E0C3E" w14:textId="77777777" w:rsidR="009D3DC8" w:rsidRDefault="009D3DC8">
      <w:pPr>
        <w:spacing w:before="180" w:line="280" w:lineRule="atLeast"/>
        <w:rPr>
          <w:rFonts w:ascii="Times New Roman" w:hAnsi="Times New Roman"/>
          <w:sz w:val="24"/>
        </w:rPr>
      </w:pPr>
      <w:r>
        <w:rPr>
          <w:rFonts w:ascii="Times New Roman" w:hAnsi="Times New Roman"/>
          <w:sz w:val="24"/>
        </w:rPr>
        <w:t>The Australian Government is responsible for regulating the movement of plants and plant products into and out of Australia. However, the state and territory governments are responsible for plant health controls within Australia. Legislation relating to resource management or plant health may be used by state and territory government agencies to control interstate movement of plants and their products.</w:t>
      </w:r>
    </w:p>
    <w:p w14:paraId="13F8956C" w14:textId="77777777" w:rsidR="009D3DC8" w:rsidRDefault="009D3DC8">
      <w:pPr>
        <w:pStyle w:val="Heading3"/>
        <w:numPr>
          <w:ilvl w:val="2"/>
          <w:numId w:val="8"/>
        </w:numPr>
        <w:spacing w:line="240" w:lineRule="auto"/>
      </w:pPr>
      <w:r>
        <w:t>Contaminating pests</w:t>
      </w:r>
    </w:p>
    <w:p w14:paraId="4288FD1E" w14:textId="77777777" w:rsidR="009D3DC8" w:rsidRDefault="009D3DC8">
      <w:pPr>
        <w:spacing w:before="180" w:line="280" w:lineRule="atLeast"/>
        <w:rPr>
          <w:rFonts w:ascii="Times New Roman" w:hAnsi="Times New Roman"/>
          <w:sz w:val="24"/>
        </w:rPr>
      </w:pPr>
      <w:r>
        <w:rPr>
          <w:rFonts w:ascii="Times New Roman" w:hAnsi="Times New Roman"/>
          <w:sz w:val="24"/>
        </w:rPr>
        <w:t>In addition to the pests of mangosteen fruit from Indonesia that are assessed in this non-regulated analysis, there are other organisms that may arrive with the imported commodity. These organisms could include pests of other crops or predators and parasitoids of other arthropods. DAFF Biosecurity considers these organisms to be contaminating pests that could pose sanitary and phytosanitary risks. These risks are addressed by existing operational procedures that require a 600 unit inspection of all consignments and investigation of any pest that may be of quarantine concern to Australia.</w:t>
      </w:r>
    </w:p>
    <w:p w14:paraId="1C633A2C" w14:textId="77777777" w:rsidR="009D3DC8" w:rsidRDefault="009D3DC8">
      <w:pPr>
        <w:spacing w:before="180" w:line="280" w:lineRule="atLeast"/>
        <w:rPr>
          <w:rFonts w:ascii="Times New Roman" w:hAnsi="Times New Roman"/>
          <w:sz w:val="24"/>
        </w:rPr>
      </w:pPr>
      <w:r>
        <w:rPr>
          <w:rFonts w:ascii="Times New Roman" w:hAnsi="Times New Roman"/>
          <w:sz w:val="24"/>
        </w:rPr>
        <w:t>The risk of contaminating weed seeds is also addressed by the procedures detailed in section 5.3.</w:t>
      </w:r>
    </w:p>
    <w:p w14:paraId="25BB6E65" w14:textId="77777777" w:rsidR="009D3DC8" w:rsidRDefault="009D3DC8">
      <w:pPr>
        <w:pStyle w:val="Heading3"/>
        <w:numPr>
          <w:ilvl w:val="2"/>
          <w:numId w:val="8"/>
        </w:numPr>
        <w:spacing w:line="240" w:lineRule="auto"/>
      </w:pPr>
      <w:r>
        <w:lastRenderedPageBreak/>
        <w:t>Consultation</w:t>
      </w:r>
    </w:p>
    <w:p w14:paraId="2286EC50" w14:textId="77777777" w:rsidR="009D3DC8" w:rsidRDefault="009D3DC8">
      <w:pPr>
        <w:spacing w:before="180" w:line="280" w:lineRule="atLeast"/>
        <w:rPr>
          <w:rFonts w:ascii="Times New Roman" w:hAnsi="Times New Roman"/>
          <w:sz w:val="24"/>
        </w:rPr>
      </w:pPr>
      <w:r>
        <w:rPr>
          <w:rFonts w:ascii="Times New Roman" w:hAnsi="Times New Roman"/>
          <w:sz w:val="24"/>
        </w:rPr>
        <w:t>On 4 June 2010, Biosecurity Australia notified stakeholders in Biosecurity Australia Advice (BAA) 2010/17 of the formal commencement of a non-regulated analysis of existing policy to consider a proposal to import fresh mangosteen fruit from Indonesia.</w:t>
      </w:r>
    </w:p>
    <w:p w14:paraId="2D2487D0" w14:textId="77777777" w:rsidR="009D3DC8" w:rsidRDefault="009D3DC8">
      <w:pPr>
        <w:spacing w:before="180" w:line="280" w:lineRule="atLeast"/>
        <w:rPr>
          <w:rFonts w:ascii="Times New Roman" w:hAnsi="Times New Roman"/>
          <w:sz w:val="24"/>
        </w:rPr>
      </w:pPr>
      <w:r>
        <w:rPr>
          <w:rFonts w:ascii="Times New Roman" w:hAnsi="Times New Roman"/>
          <w:sz w:val="24"/>
        </w:rPr>
        <w:t>On 24 November 2011, DAFF Biosecurity provided a draft pest categorisation table for mangosteen fruit from Indonesia to the relevant state and territory government departments for their advance consideration, prior to the formal release of the draft report for the non-regulated analysis of existing policy.</w:t>
      </w:r>
    </w:p>
    <w:p w14:paraId="6D7B0CBA" w14:textId="77777777" w:rsidR="009D3DC8" w:rsidRDefault="009D3DC8">
      <w:pPr>
        <w:spacing w:after="180" w:line="240" w:lineRule="auto"/>
        <w:rPr>
          <w:sz w:val="24"/>
          <w:highlight w:val="yellow"/>
        </w:rPr>
      </w:pPr>
      <w:r>
        <w:rPr>
          <w:rFonts w:ascii="Times New Roman" w:hAnsi="Times New Roman"/>
          <w:sz w:val="24"/>
        </w:rPr>
        <w:t>The draft report was released on 9 March 2012 (BA 2012/05) for a period of 60 days for comment and consultation with stakeholders. The comment period ended on 8 May 2012. Two written submissions were received from stakeholders that are placed on the public file and the DAFF Biosecurity website. Both submissions were considered and material matters raised have been included in the present report.</w:t>
      </w:r>
    </w:p>
    <w:p w14:paraId="24A4376E" w14:textId="77777777" w:rsidR="009D3DC8" w:rsidRDefault="009D3DC8">
      <w:pPr>
        <w:spacing w:after="180"/>
        <w:rPr>
          <w:sz w:val="24"/>
          <w:highlight w:val="yellow"/>
        </w:rPr>
      </w:pPr>
    </w:p>
    <w:p w14:paraId="4AEF342D" w14:textId="77777777" w:rsidR="009D3DC8" w:rsidRDefault="009D3DC8">
      <w:pPr>
        <w:rPr>
          <w:sz w:val="24"/>
          <w:highlight w:val="yellow"/>
        </w:rPr>
      </w:pPr>
    </w:p>
    <w:p w14:paraId="55B18B8C" w14:textId="77777777" w:rsidR="009D3DC8" w:rsidRDefault="009D3DC8">
      <w:pPr>
        <w:rPr>
          <w:sz w:val="24"/>
          <w:highlight w:val="yellow"/>
        </w:rPr>
      </w:pPr>
    </w:p>
    <w:p w14:paraId="1743549A" w14:textId="77777777" w:rsidR="009D3DC8" w:rsidRDefault="009D3DC8">
      <w:pPr>
        <w:rPr>
          <w:sz w:val="24"/>
          <w:highlight w:val="yellow"/>
        </w:rPr>
      </w:pPr>
    </w:p>
    <w:p w14:paraId="0D114A27" w14:textId="77777777" w:rsidR="009D3DC8" w:rsidRDefault="009D3DC8">
      <w:pPr>
        <w:jc w:val="center"/>
        <w:rPr>
          <w:sz w:val="24"/>
          <w:highlight w:val="yellow"/>
        </w:rPr>
      </w:pPr>
    </w:p>
    <w:p w14:paraId="6B56621A" w14:textId="77777777" w:rsidR="009D3DC8" w:rsidRDefault="009D3DC8">
      <w:pPr>
        <w:rPr>
          <w:sz w:val="24"/>
          <w:highlight w:val="yellow"/>
        </w:rPr>
      </w:pPr>
    </w:p>
    <w:p w14:paraId="6BFE7887" w14:textId="77777777" w:rsidR="009D3DC8" w:rsidRDefault="009D3DC8">
      <w:pPr>
        <w:rPr>
          <w:sz w:val="24"/>
          <w:highlight w:val="yellow"/>
        </w:rPr>
        <w:sectPr w:rsidR="009D3DC8">
          <w:headerReference w:type="default" r:id="rId32"/>
          <w:type w:val="oddPage"/>
          <w:pgSz w:w="11906" w:h="16838"/>
          <w:pgMar w:top="1440" w:right="1274" w:bottom="1440" w:left="1440" w:header="708" w:footer="708" w:gutter="0"/>
          <w:cols w:space="708"/>
          <w:docGrid w:linePitch="360"/>
        </w:sectPr>
      </w:pPr>
    </w:p>
    <w:p w14:paraId="1C62C144" w14:textId="77777777" w:rsidR="009D3DC8" w:rsidRDefault="009D3DC8">
      <w:pPr>
        <w:pStyle w:val="Heading1"/>
        <w:numPr>
          <w:ilvl w:val="0"/>
          <w:numId w:val="8"/>
        </w:numPr>
        <w:spacing w:before="120" w:line="240" w:lineRule="auto"/>
      </w:pPr>
      <w:bookmarkStart w:id="30" w:name="_Toc325618429"/>
      <w:r>
        <w:lastRenderedPageBreak/>
        <w:t>Method for pest risk analysis</w:t>
      </w:r>
      <w:bookmarkEnd w:id="30"/>
    </w:p>
    <w:p w14:paraId="139D08AD" w14:textId="77777777" w:rsidR="009D3DC8" w:rsidRDefault="009D3DC8">
      <w:pPr>
        <w:pStyle w:val="Body"/>
        <w:spacing w:before="180"/>
        <w:jc w:val="left"/>
        <w:rPr>
          <w:rFonts w:ascii="Times New Roman" w:hAnsi="Times New Roman"/>
        </w:rPr>
      </w:pPr>
      <w:r>
        <w:rPr>
          <w:rFonts w:ascii="Times New Roman" w:hAnsi="Times New Roman"/>
        </w:rPr>
        <w:t xml:space="preserve">This section sets out the method used for the pest risk analysis (PRA) in this report. DAFF Biosecurity has conducted this PRA in accordance with the International Standards for Phytosanitary Measures (ISPMs), including ISPM 2: </w:t>
      </w:r>
      <w:r>
        <w:rPr>
          <w:rFonts w:ascii="Times New Roman" w:hAnsi="Times New Roman"/>
          <w:i/>
        </w:rPr>
        <w:t xml:space="preserve">Framework for pest risk analysis </w:t>
      </w:r>
      <w:r>
        <w:rPr>
          <w:rFonts w:ascii="Times New Roman" w:hAnsi="Times New Roman"/>
        </w:rPr>
        <w:t>(FAO 2007b) and ISPM 11:</w:t>
      </w:r>
      <w:r>
        <w:rPr>
          <w:rFonts w:ascii="Times New Roman" w:hAnsi="Times New Roman"/>
          <w:i/>
        </w:rPr>
        <w:t xml:space="preserve"> Pest risk analysis for quarantine pests, including analysis of environmental risks and living modified organisms</w:t>
      </w:r>
      <w:r>
        <w:rPr>
          <w:rFonts w:ascii="Times New Roman" w:hAnsi="Times New Roman"/>
        </w:rPr>
        <w:t xml:space="preserve"> (FAO 2004) that have been developed under the SPS Agreement (WTO 1995).</w:t>
      </w:r>
    </w:p>
    <w:p w14:paraId="0A628674" w14:textId="77777777" w:rsidR="009D3DC8" w:rsidRDefault="009D3DC8">
      <w:pPr>
        <w:pStyle w:val="Body"/>
        <w:spacing w:before="180"/>
        <w:jc w:val="left"/>
        <w:rPr>
          <w:rFonts w:ascii="Times New Roman" w:hAnsi="Times New Roman"/>
        </w:rPr>
      </w:pPr>
      <w:r>
        <w:rPr>
          <w:rFonts w:ascii="Times New Roman" w:hAnsi="Times New Roman"/>
        </w:rPr>
        <w:t>A PRA is ‘the process of evaluating biological or other scientific and economic evidence to determine whether a pest should be regulated and the strength of any phytosanitary measures to be taken against it’ (FAO 2009). A pest is ‘any species, strain or biotype of plant, animal, or pathogenic agent injurious to plants or plant products’ (FAO 2009).</w:t>
      </w:r>
    </w:p>
    <w:p w14:paraId="00CCCD10" w14:textId="77777777" w:rsidR="009D3DC8" w:rsidRDefault="009D3DC8">
      <w:pPr>
        <w:pStyle w:val="Body"/>
        <w:spacing w:before="180"/>
        <w:jc w:val="left"/>
        <w:rPr>
          <w:rFonts w:ascii="Times New Roman" w:hAnsi="Times New Roman"/>
        </w:rPr>
      </w:pPr>
      <w:r>
        <w:rPr>
          <w:rFonts w:ascii="Times New Roman" w:hAnsi="Times New Roman"/>
        </w:rPr>
        <w:t>Quarantine risk consists of two major components: the probability of a pest entering, establishing and spreading in Australia from imports; and the consequences should this happen. These two components are combined to give an overall estimate of the risk.</w:t>
      </w:r>
    </w:p>
    <w:p w14:paraId="4BE385C6" w14:textId="77777777" w:rsidR="009D3DC8" w:rsidRDefault="009D3DC8">
      <w:pPr>
        <w:pStyle w:val="Body"/>
        <w:spacing w:before="180"/>
        <w:jc w:val="left"/>
        <w:rPr>
          <w:rFonts w:ascii="Times New Roman" w:hAnsi="Times New Roman"/>
        </w:rPr>
      </w:pPr>
      <w:r>
        <w:rPr>
          <w:rFonts w:ascii="Times New Roman" w:hAnsi="Times New Roman"/>
        </w:rPr>
        <w:t>Unrestricted risk is estimated taking into account the existing commercial production practices of the exporting country and that, on arrival in Australia, DAFF Biosecurity will verify that the consignment received is as described on the commercial documents and its integrity has been maintained.</w:t>
      </w:r>
    </w:p>
    <w:p w14:paraId="728FE827" w14:textId="77777777" w:rsidR="009D3DC8" w:rsidRDefault="009D3DC8">
      <w:pPr>
        <w:pStyle w:val="Body"/>
        <w:spacing w:before="180"/>
        <w:jc w:val="left"/>
        <w:rPr>
          <w:rFonts w:ascii="Times New Roman" w:hAnsi="Times New Roman"/>
        </w:rPr>
      </w:pPr>
      <w:r>
        <w:rPr>
          <w:rFonts w:ascii="Times New Roman" w:hAnsi="Times New Roman"/>
        </w:rPr>
        <w:t>Restricted risk is estimated with phytosanitary measure(s) applied. A phytosanitary measure is ‘any legislation, regulation or official procedure having the purpose to prevent the introduction and spread of quarantine pests, or to limit the economic impact of regulated non-quarantine pests’ (FAO 2009).</w:t>
      </w:r>
    </w:p>
    <w:p w14:paraId="15CA02B4" w14:textId="77777777" w:rsidR="009D3DC8" w:rsidRDefault="009D3DC8">
      <w:pPr>
        <w:pStyle w:val="Body"/>
        <w:spacing w:before="180"/>
        <w:jc w:val="left"/>
        <w:rPr>
          <w:rFonts w:ascii="Times New Roman" w:hAnsi="Times New Roman"/>
        </w:rPr>
      </w:pPr>
      <w:r>
        <w:rPr>
          <w:rFonts w:ascii="Times New Roman" w:hAnsi="Times New Roman"/>
        </w:rPr>
        <w:t>A glossary of the terms used is provided at the back of this report.</w:t>
      </w:r>
    </w:p>
    <w:p w14:paraId="01D6617A" w14:textId="77777777" w:rsidR="009D3DC8" w:rsidRDefault="009D3DC8">
      <w:pPr>
        <w:pStyle w:val="Body"/>
        <w:spacing w:before="180"/>
        <w:jc w:val="left"/>
        <w:rPr>
          <w:rFonts w:ascii="Times New Roman" w:hAnsi="Times New Roman"/>
        </w:rPr>
      </w:pPr>
      <w:r>
        <w:rPr>
          <w:rFonts w:ascii="Times New Roman" w:hAnsi="Times New Roman"/>
        </w:rPr>
        <w:t>The PRA was conducted in the following three consecutive stages: initiation, pest risk assessment and pest risk management.</w:t>
      </w:r>
    </w:p>
    <w:p w14:paraId="18662DA2" w14:textId="77777777" w:rsidR="009D3DC8" w:rsidRDefault="009D3DC8">
      <w:pPr>
        <w:pStyle w:val="Heading2"/>
        <w:numPr>
          <w:ilvl w:val="1"/>
          <w:numId w:val="8"/>
        </w:numPr>
        <w:spacing w:line="240" w:lineRule="auto"/>
      </w:pPr>
      <w:bookmarkStart w:id="31" w:name="_Toc325618430"/>
      <w:r>
        <w:t>Stage 1: Initiation</w:t>
      </w:r>
      <w:bookmarkEnd w:id="31"/>
    </w:p>
    <w:p w14:paraId="22F16F0E" w14:textId="77777777" w:rsidR="009D3DC8" w:rsidRDefault="009D3DC8">
      <w:pPr>
        <w:pStyle w:val="Body"/>
        <w:spacing w:before="180"/>
        <w:jc w:val="left"/>
        <w:rPr>
          <w:rFonts w:ascii="Times New Roman" w:hAnsi="Times New Roman"/>
        </w:rPr>
      </w:pPr>
      <w:r>
        <w:rPr>
          <w:rFonts w:ascii="Times New Roman" w:hAnsi="Times New Roman"/>
        </w:rPr>
        <w:t>Initiation identifies the pest(s) and pathway(s) that are of quarantine concern and should be considered for risk analysis in relation to the identified PRA area.</w:t>
      </w:r>
    </w:p>
    <w:p w14:paraId="233E3658" w14:textId="77777777" w:rsidR="009D3DC8" w:rsidRDefault="009D3DC8">
      <w:pPr>
        <w:pStyle w:val="Body"/>
        <w:spacing w:before="180"/>
        <w:jc w:val="left"/>
        <w:rPr>
          <w:rFonts w:ascii="Times New Roman" w:hAnsi="Times New Roman"/>
        </w:rPr>
      </w:pPr>
      <w:r>
        <w:rPr>
          <w:rFonts w:ascii="Times New Roman" w:hAnsi="Times New Roman"/>
        </w:rPr>
        <w:t>Appendix A of this report lists the pests and diseases with the potential to be associated with exported mangosteen fruit produced using commercial production and packing procedures. The pests associated with the crop and the exported commodity was tabulated from information provided by Indonesia’s National Plant Protection Organisation (NPPO) and literature and database searches.</w:t>
      </w:r>
    </w:p>
    <w:p w14:paraId="24B781AC" w14:textId="77777777" w:rsidR="009D3DC8" w:rsidRDefault="009D3DC8">
      <w:pPr>
        <w:pStyle w:val="Body"/>
        <w:spacing w:before="180"/>
        <w:jc w:val="left"/>
        <w:rPr>
          <w:rFonts w:ascii="Times New Roman" w:hAnsi="Times New Roman"/>
        </w:rPr>
      </w:pPr>
      <w:r>
        <w:rPr>
          <w:rFonts w:ascii="Times New Roman" w:hAnsi="Times New Roman"/>
        </w:rPr>
        <w:t>For this PRA,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2EF663B3" w14:textId="77777777" w:rsidR="009D3DC8" w:rsidRDefault="009D3DC8">
      <w:pPr>
        <w:pStyle w:val="Body"/>
        <w:spacing w:before="180"/>
        <w:jc w:val="left"/>
        <w:rPr>
          <w:rFonts w:ascii="Times New Roman" w:hAnsi="Times New Roman"/>
        </w:rPr>
      </w:pPr>
      <w:r>
        <w:rPr>
          <w:rFonts w:ascii="Times New Roman" w:hAnsi="Times New Roman"/>
        </w:rPr>
        <w:t xml:space="preserve">For pests that had been considered by DAFF Biosecurity in other risk assessments and for which import policies already exist, a judgement based on the specific circumstances was made on the likelihood of entry of pests on the commodity and whether existing policy is adequate to </w:t>
      </w:r>
      <w:r>
        <w:rPr>
          <w:rFonts w:ascii="Times New Roman" w:hAnsi="Times New Roman"/>
        </w:rPr>
        <w:lastRenderedPageBreak/>
        <w:t>manage the risks associated with its import. Where appropriate, the previous risk assessment was taken into consideration when developing the new policy.</w:t>
      </w:r>
    </w:p>
    <w:p w14:paraId="3D5B970E" w14:textId="77777777" w:rsidR="009D3DC8" w:rsidRDefault="009D3DC8">
      <w:pPr>
        <w:pStyle w:val="Heading2"/>
        <w:numPr>
          <w:ilvl w:val="1"/>
          <w:numId w:val="8"/>
        </w:numPr>
        <w:spacing w:line="240" w:lineRule="auto"/>
      </w:pPr>
      <w:bookmarkStart w:id="32" w:name="_Toc325618431"/>
      <w:r>
        <w:t>Stage 2: Pest risk assessment</w:t>
      </w:r>
      <w:bookmarkEnd w:id="32"/>
    </w:p>
    <w:p w14:paraId="7DBEC36E" w14:textId="77777777" w:rsidR="009D3DC8" w:rsidRDefault="009D3DC8">
      <w:pPr>
        <w:pStyle w:val="Body"/>
        <w:spacing w:before="180"/>
        <w:jc w:val="left"/>
        <w:rPr>
          <w:rFonts w:ascii="Times New Roman" w:hAnsi="Times New Roman"/>
        </w:rPr>
      </w:pPr>
      <w:r>
        <w:rPr>
          <w:rFonts w:ascii="Times New Roman" w:hAnsi="Times New Roman"/>
        </w:rPr>
        <w:t>A pest risk assessment (for quarantine pests) is: ‘the evaluation of the probability of the introduction and spread of a pest and of the likelihood of associated potential economic consequences’ (FAO 2009).</w:t>
      </w:r>
    </w:p>
    <w:p w14:paraId="1A5C60E1" w14:textId="77777777" w:rsidR="009D3DC8" w:rsidRDefault="009D3DC8">
      <w:pPr>
        <w:pStyle w:val="Body"/>
        <w:spacing w:before="180"/>
        <w:jc w:val="left"/>
        <w:rPr>
          <w:rFonts w:ascii="Times New Roman" w:hAnsi="Times New Roman"/>
        </w:rPr>
      </w:pPr>
      <w:r>
        <w:rPr>
          <w:rFonts w:ascii="Times New Roman" w:hAnsi="Times New Roman"/>
        </w:rPr>
        <w:t>In this PRA, pest risk assessment was divided into the following interrelated processes:</w:t>
      </w:r>
    </w:p>
    <w:p w14:paraId="64FD4C69" w14:textId="77777777" w:rsidR="009D3DC8" w:rsidRDefault="009D3DC8">
      <w:pPr>
        <w:pStyle w:val="Heading3"/>
        <w:numPr>
          <w:ilvl w:val="2"/>
          <w:numId w:val="8"/>
        </w:numPr>
        <w:spacing w:line="240" w:lineRule="auto"/>
      </w:pPr>
      <w:r>
        <w:t>Pest categorisation</w:t>
      </w:r>
    </w:p>
    <w:p w14:paraId="64694C95" w14:textId="77777777" w:rsidR="009D3DC8" w:rsidRDefault="009D3DC8">
      <w:pPr>
        <w:pStyle w:val="Default"/>
        <w:spacing w:before="180" w:line="280" w:lineRule="atLeast"/>
        <w:rPr>
          <w:lang w:eastAsia="en-US"/>
        </w:rPr>
      </w:pPr>
      <w:r>
        <w:rPr>
          <w:lang w:eastAsia="en-US"/>
        </w:rP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as defined in ISPM 5: </w:t>
      </w:r>
      <w:r>
        <w:rPr>
          <w:i/>
          <w:lang w:eastAsia="en-US"/>
        </w:rPr>
        <w:t>Glossary of phytosanitary terms</w:t>
      </w:r>
      <w:r>
        <w:rPr>
          <w:lang w:eastAsia="en-US"/>
        </w:rPr>
        <w:t xml:space="preserve"> (FAO 2009).</w:t>
      </w:r>
    </w:p>
    <w:p w14:paraId="36ABD44F" w14:textId="77777777" w:rsidR="009D3DC8" w:rsidRDefault="009D3DC8">
      <w:pPr>
        <w:pStyle w:val="Default"/>
        <w:spacing w:before="180" w:line="280" w:lineRule="atLeast"/>
        <w:rPr>
          <w:lang w:eastAsia="en-US"/>
        </w:rPr>
      </w:pPr>
      <w:r>
        <w:rPr>
          <w:lang w:eastAsia="en-US"/>
        </w:rPr>
        <w:t>The pests identified in Stage 1 were categorised using the following primary elements to identify the quarantine pests for the commodity being assessed:</w:t>
      </w:r>
    </w:p>
    <w:p w14:paraId="78FCAEEA" w14:textId="77777777" w:rsidR="009D3DC8" w:rsidRDefault="009D3DC8">
      <w:pPr>
        <w:pStyle w:val="Bullets"/>
        <w:numPr>
          <w:ilvl w:val="0"/>
          <w:numId w:val="9"/>
        </w:numPr>
        <w:spacing w:before="120"/>
        <w:jc w:val="left"/>
      </w:pPr>
      <w:r>
        <w:t>identity of the pest</w:t>
      </w:r>
    </w:p>
    <w:p w14:paraId="10CF4D82" w14:textId="77777777" w:rsidR="009D3DC8" w:rsidRDefault="009D3DC8">
      <w:pPr>
        <w:pStyle w:val="Bullets"/>
        <w:numPr>
          <w:ilvl w:val="0"/>
          <w:numId w:val="9"/>
        </w:numPr>
        <w:spacing w:before="120"/>
        <w:jc w:val="left"/>
      </w:pPr>
      <w:r>
        <w:t xml:space="preserve">presence or absence in the PRA area </w:t>
      </w:r>
    </w:p>
    <w:p w14:paraId="7BDD297F" w14:textId="77777777" w:rsidR="009D3DC8" w:rsidRDefault="009D3DC8">
      <w:pPr>
        <w:pStyle w:val="Bullets"/>
        <w:numPr>
          <w:ilvl w:val="0"/>
          <w:numId w:val="9"/>
        </w:numPr>
        <w:spacing w:before="120"/>
        <w:jc w:val="left"/>
      </w:pPr>
      <w:r>
        <w:t xml:space="preserve">regulatory status </w:t>
      </w:r>
    </w:p>
    <w:p w14:paraId="6E8DF2F5" w14:textId="77777777" w:rsidR="009D3DC8" w:rsidRDefault="009D3DC8">
      <w:pPr>
        <w:pStyle w:val="Bullets"/>
        <w:numPr>
          <w:ilvl w:val="0"/>
          <w:numId w:val="9"/>
        </w:numPr>
        <w:spacing w:before="120"/>
        <w:jc w:val="left"/>
      </w:pPr>
      <w:r>
        <w:t xml:space="preserve">potential for establishment and spread in the PRA area </w:t>
      </w:r>
    </w:p>
    <w:p w14:paraId="56AE8ABA" w14:textId="77777777" w:rsidR="009D3DC8" w:rsidRDefault="009D3DC8">
      <w:pPr>
        <w:pStyle w:val="Bullets"/>
        <w:numPr>
          <w:ilvl w:val="0"/>
          <w:numId w:val="9"/>
        </w:numPr>
        <w:spacing w:before="120"/>
        <w:jc w:val="left"/>
      </w:pPr>
      <w:r>
        <w:t>potential for economic consequences (including environmental consequences) in the PRA area.</w:t>
      </w:r>
    </w:p>
    <w:p w14:paraId="010CE6CD" w14:textId="77777777" w:rsidR="009D3DC8" w:rsidRDefault="009D3DC8">
      <w:pPr>
        <w:pStyle w:val="Default"/>
        <w:spacing w:before="180" w:line="280" w:lineRule="atLeast"/>
        <w:rPr>
          <w:lang w:eastAsia="en-US"/>
        </w:rPr>
      </w:pPr>
      <w:r>
        <w:rPr>
          <w:lang w:eastAsia="en-US"/>
        </w:rPr>
        <w:t>The results of pest categorisation for the pests considered in this PRA are set out in columns 4</w:t>
      </w:r>
      <w:r>
        <w:rPr>
          <w:b/>
          <w:lang w:eastAsia="en-US"/>
        </w:rPr>
        <w:noBreakHyphen/>
      </w:r>
      <w:r>
        <w:rPr>
          <w:lang w:eastAsia="en-US"/>
        </w:rPr>
        <w:t>7 in Appendix A. The steps in the categorisation process are considered sequentially, with the assessment terminating with a ‘Yes’ in column 4 or the first ‘No’ in columns 5 or 6. The quarantine pests identified during pest categorisation were carried forward for pest risk assessment and are listed in Table 4.1.</w:t>
      </w:r>
    </w:p>
    <w:p w14:paraId="66FF0928" w14:textId="77777777" w:rsidR="009D3DC8" w:rsidRDefault="009D3DC8">
      <w:pPr>
        <w:pStyle w:val="Heading3"/>
        <w:numPr>
          <w:ilvl w:val="2"/>
          <w:numId w:val="8"/>
        </w:numPr>
        <w:spacing w:line="240" w:lineRule="auto"/>
      </w:pPr>
      <w:r>
        <w:t>Assessment of the probability of entry, establishment and spread</w:t>
      </w:r>
    </w:p>
    <w:p w14:paraId="610F36B2" w14:textId="77777777" w:rsidR="009D3DC8" w:rsidRDefault="009D3DC8">
      <w:pPr>
        <w:pStyle w:val="Body"/>
        <w:spacing w:before="180"/>
        <w:jc w:val="left"/>
        <w:rPr>
          <w:rFonts w:ascii="Times New Roman" w:hAnsi="Times New Roman"/>
        </w:rPr>
      </w:pPr>
      <w:r>
        <w:rPr>
          <w:rFonts w:ascii="Times New Roman" w:hAnsi="Times New Roman"/>
        </w:rPr>
        <w:t>Details of how to assess the ‘probability of entry’, ‘probability of establishment’ and ‘probability of spread’ of a pest are given in ISPM 11 (FAO 2004). A summary of this process is given below, followed by a description of the qualitative methodology used in this risk analysis.</w:t>
      </w:r>
    </w:p>
    <w:p w14:paraId="1FB236F0" w14:textId="77777777" w:rsidR="009D3DC8" w:rsidRDefault="009D3DC8">
      <w:pPr>
        <w:pStyle w:val="AQISText"/>
        <w:keepNext/>
        <w:tabs>
          <w:tab w:val="left" w:pos="357"/>
        </w:tabs>
        <w:spacing w:before="180"/>
        <w:jc w:val="both"/>
        <w:rPr>
          <w:rFonts w:cs="Arial"/>
          <w:b/>
          <w:bCs/>
          <w:color w:val="000000"/>
          <w:sz w:val="24"/>
          <w:szCs w:val="28"/>
        </w:rPr>
      </w:pPr>
      <w:r>
        <w:rPr>
          <w:rFonts w:cs="Arial"/>
          <w:b/>
          <w:bCs/>
          <w:color w:val="000000"/>
          <w:sz w:val="24"/>
          <w:szCs w:val="28"/>
        </w:rPr>
        <w:t>Probability of entry</w:t>
      </w:r>
    </w:p>
    <w:p w14:paraId="12F25AB9" w14:textId="77777777" w:rsidR="009D3DC8" w:rsidRDefault="009D3DC8">
      <w:pPr>
        <w:pStyle w:val="Body"/>
        <w:spacing w:before="180"/>
        <w:jc w:val="left"/>
        <w:rPr>
          <w:rFonts w:ascii="Times New Roman" w:hAnsi="Times New Roman"/>
        </w:rPr>
      </w:pPr>
      <w:r>
        <w:rPr>
          <w:rFonts w:ascii="Times New Roman" w:hAnsi="Times New Roman"/>
        </w:rPr>
        <w:t>The probability of entry describes the probability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768F3442" w14:textId="77777777" w:rsidR="009D3DC8" w:rsidRDefault="009D3DC8">
      <w:pPr>
        <w:pStyle w:val="Body"/>
        <w:spacing w:before="180"/>
        <w:jc w:val="left"/>
        <w:rPr>
          <w:rFonts w:ascii="Times New Roman" w:hAnsi="Times New Roman"/>
        </w:rPr>
      </w:pPr>
      <w:r>
        <w:rPr>
          <w:rFonts w:ascii="Times New Roman" w:hAnsi="Times New Roman"/>
        </w:rPr>
        <w:lastRenderedPageBreak/>
        <w:t>The probability of entry estimates for the quarantine pests for a commodity are based on the use of the existing commercial production, packaging and shipping practices of the exporting country. Details of the existing commercial production practices for the commodity are set out in Section 3. These practices are taken into consideration by DAFF Biosecurity when estimating the probability of entry.</w:t>
      </w:r>
    </w:p>
    <w:p w14:paraId="6ED4CBFF" w14:textId="77777777" w:rsidR="009D3DC8" w:rsidRDefault="009D3DC8">
      <w:pPr>
        <w:pStyle w:val="Body"/>
        <w:spacing w:before="180"/>
        <w:jc w:val="left"/>
        <w:rPr>
          <w:rFonts w:ascii="Times New Roman" w:hAnsi="Times New Roman"/>
        </w:rPr>
      </w:pPr>
      <w:r>
        <w:rPr>
          <w:rFonts w:ascii="Times New Roman" w:hAnsi="Times New Roman"/>
        </w:rPr>
        <w:t>For the purpose of considering the probability of entry, DAFF Biosecurity divides this step into two components:</w:t>
      </w:r>
    </w:p>
    <w:p w14:paraId="74A2F7EF" w14:textId="77777777" w:rsidR="009D3DC8" w:rsidRDefault="009D3DC8">
      <w:pPr>
        <w:pStyle w:val="Bullets"/>
        <w:numPr>
          <w:ilvl w:val="0"/>
          <w:numId w:val="9"/>
        </w:numPr>
        <w:spacing w:before="120"/>
        <w:jc w:val="left"/>
      </w:pPr>
      <w:r>
        <w:rPr>
          <w:b/>
        </w:rPr>
        <w:t>Probability of importation</w:t>
      </w:r>
      <w:r>
        <w:t>: the probability that a pest will arrive in Australia when a given commodity is imported.</w:t>
      </w:r>
    </w:p>
    <w:p w14:paraId="2B0E873C" w14:textId="77777777" w:rsidR="009D3DC8" w:rsidRDefault="009D3DC8">
      <w:pPr>
        <w:pStyle w:val="Bullets"/>
        <w:numPr>
          <w:ilvl w:val="0"/>
          <w:numId w:val="9"/>
        </w:numPr>
        <w:spacing w:before="120"/>
        <w:jc w:val="left"/>
      </w:pPr>
      <w:r>
        <w:rPr>
          <w:b/>
        </w:rPr>
        <w:t>Probability of distribution</w:t>
      </w:r>
      <w:r>
        <w:t>: the probability that the pest will be distributed, as a result of the processing, sale or disposal of the commodity, in the PRA area and subsequently transfer to a susceptible part of a host.</w:t>
      </w:r>
    </w:p>
    <w:p w14:paraId="6766C291" w14:textId="77777777" w:rsidR="009D3DC8" w:rsidRDefault="009D3DC8">
      <w:pPr>
        <w:pStyle w:val="Body"/>
        <w:spacing w:before="180"/>
        <w:jc w:val="left"/>
        <w:rPr>
          <w:rFonts w:ascii="Times New Roman" w:hAnsi="Times New Roman"/>
        </w:rPr>
      </w:pPr>
      <w:r>
        <w:rPr>
          <w:rFonts w:ascii="Times New Roman" w:hAnsi="Times New Roman"/>
        </w:rPr>
        <w:t>Factors considered in the probability of importation include:</w:t>
      </w:r>
    </w:p>
    <w:p w14:paraId="6C43103C" w14:textId="77777777" w:rsidR="009D3DC8" w:rsidRDefault="009D3DC8">
      <w:pPr>
        <w:pStyle w:val="Bullets"/>
        <w:numPr>
          <w:ilvl w:val="0"/>
          <w:numId w:val="9"/>
        </w:numPr>
        <w:spacing w:before="120"/>
        <w:jc w:val="left"/>
      </w:pPr>
      <w:r>
        <w:t>distribution and incidence of the pest in the source area</w:t>
      </w:r>
    </w:p>
    <w:p w14:paraId="63D2CCA6" w14:textId="77777777" w:rsidR="009D3DC8" w:rsidRDefault="009D3DC8">
      <w:pPr>
        <w:pStyle w:val="Bullets"/>
        <w:numPr>
          <w:ilvl w:val="0"/>
          <w:numId w:val="9"/>
        </w:numPr>
        <w:spacing w:before="120"/>
        <w:jc w:val="left"/>
      </w:pPr>
      <w:r>
        <w:t>occurrence of the pest in a life-stage that would be associated with the commodity</w:t>
      </w:r>
    </w:p>
    <w:p w14:paraId="2901EA14" w14:textId="77777777" w:rsidR="009D3DC8" w:rsidRDefault="009D3DC8">
      <w:pPr>
        <w:pStyle w:val="Bullets"/>
        <w:numPr>
          <w:ilvl w:val="0"/>
          <w:numId w:val="9"/>
        </w:numPr>
        <w:spacing w:before="120"/>
        <w:jc w:val="left"/>
      </w:pPr>
      <w:r>
        <w:t>mode of trade (e.g. bulk, packed)</w:t>
      </w:r>
    </w:p>
    <w:p w14:paraId="497DB8B6" w14:textId="77777777" w:rsidR="009D3DC8" w:rsidRDefault="009D3DC8">
      <w:pPr>
        <w:pStyle w:val="Bullets"/>
        <w:numPr>
          <w:ilvl w:val="0"/>
          <w:numId w:val="9"/>
        </w:numPr>
        <w:spacing w:before="120"/>
        <w:jc w:val="left"/>
      </w:pPr>
      <w:r>
        <w:t>volume and frequency of movement of the commodity along each pathway</w:t>
      </w:r>
    </w:p>
    <w:p w14:paraId="772407D7" w14:textId="77777777" w:rsidR="009D3DC8" w:rsidRDefault="009D3DC8">
      <w:pPr>
        <w:pStyle w:val="Bullets"/>
        <w:numPr>
          <w:ilvl w:val="0"/>
          <w:numId w:val="9"/>
        </w:numPr>
        <w:spacing w:before="120"/>
        <w:jc w:val="left"/>
      </w:pPr>
      <w:r>
        <w:t>seasonal timing of imports</w:t>
      </w:r>
    </w:p>
    <w:p w14:paraId="3C4DA842" w14:textId="77777777" w:rsidR="009D3DC8" w:rsidRDefault="009D3DC8">
      <w:pPr>
        <w:pStyle w:val="Bullets"/>
        <w:numPr>
          <w:ilvl w:val="0"/>
          <w:numId w:val="9"/>
        </w:numPr>
        <w:spacing w:before="120"/>
        <w:jc w:val="left"/>
      </w:pPr>
      <w:r>
        <w:t>pest management, cultural and commercial procedures applied at the place of origin</w:t>
      </w:r>
    </w:p>
    <w:p w14:paraId="0A3CCE36" w14:textId="77777777" w:rsidR="009D3DC8" w:rsidRDefault="009D3DC8">
      <w:pPr>
        <w:pStyle w:val="Bullets"/>
        <w:numPr>
          <w:ilvl w:val="0"/>
          <w:numId w:val="9"/>
        </w:numPr>
        <w:spacing w:before="120"/>
        <w:jc w:val="left"/>
      </w:pPr>
      <w:r>
        <w:t>speed of transport and conditions of storage compared with the duration of the lifecycle of the pest</w:t>
      </w:r>
    </w:p>
    <w:p w14:paraId="59BFA61D" w14:textId="77777777" w:rsidR="009D3DC8" w:rsidRDefault="009D3DC8">
      <w:pPr>
        <w:pStyle w:val="Bullets"/>
        <w:numPr>
          <w:ilvl w:val="0"/>
          <w:numId w:val="9"/>
        </w:numPr>
        <w:spacing w:before="120"/>
        <w:jc w:val="left"/>
      </w:pPr>
      <w:r>
        <w:t>vulnerability of the life-stages of the pest during transport or storage</w:t>
      </w:r>
    </w:p>
    <w:p w14:paraId="28547EBA" w14:textId="77777777" w:rsidR="009D3DC8" w:rsidRDefault="009D3DC8">
      <w:pPr>
        <w:pStyle w:val="Bullets"/>
        <w:numPr>
          <w:ilvl w:val="0"/>
          <w:numId w:val="9"/>
        </w:numPr>
        <w:spacing w:before="120"/>
        <w:jc w:val="left"/>
      </w:pPr>
      <w:r>
        <w:t>incidence of the pest likely to be associated with a consignment</w:t>
      </w:r>
    </w:p>
    <w:p w14:paraId="4C8E7764" w14:textId="77777777" w:rsidR="009D3DC8" w:rsidRDefault="009D3DC8">
      <w:pPr>
        <w:pStyle w:val="Bullets"/>
        <w:numPr>
          <w:ilvl w:val="0"/>
          <w:numId w:val="9"/>
        </w:numPr>
        <w:spacing w:before="120"/>
        <w:jc w:val="left"/>
      </w:pPr>
      <w:r>
        <w:t>commercial procedures (e.g. refrigeration) applied to consignments during transport and storage in the country of origin, and during transport to Australia.</w:t>
      </w:r>
    </w:p>
    <w:p w14:paraId="10871EA8" w14:textId="77777777" w:rsidR="009D3DC8" w:rsidRDefault="009D3DC8">
      <w:pPr>
        <w:pStyle w:val="Body"/>
        <w:spacing w:before="180"/>
        <w:jc w:val="left"/>
        <w:rPr>
          <w:rFonts w:ascii="Times New Roman" w:hAnsi="Times New Roman"/>
        </w:rPr>
      </w:pPr>
      <w:r>
        <w:rPr>
          <w:rFonts w:ascii="Times New Roman" w:hAnsi="Times New Roman"/>
        </w:rPr>
        <w:t>Factors considered in the probability of distribution include:</w:t>
      </w:r>
    </w:p>
    <w:p w14:paraId="2AAFD904" w14:textId="77777777" w:rsidR="009D3DC8" w:rsidRDefault="009D3DC8">
      <w:pPr>
        <w:pStyle w:val="Bullets"/>
        <w:numPr>
          <w:ilvl w:val="0"/>
          <w:numId w:val="9"/>
        </w:numPr>
        <w:spacing w:before="120"/>
        <w:jc w:val="left"/>
      </w:pPr>
      <w:r>
        <w:t xml:space="preserve">commercial procedures (e.g. refrigeration) applied to consignments during distribution in </w:t>
      </w:r>
      <w:smartTag w:uri="urn:schemas-microsoft-com:office:smarttags" w:element="country-region">
        <w:smartTag w:uri="urn:schemas-microsoft-com:office:smarttags" w:element="place">
          <w:r>
            <w:t>Australia</w:t>
          </w:r>
        </w:smartTag>
      </w:smartTag>
    </w:p>
    <w:p w14:paraId="37253AF5" w14:textId="77777777" w:rsidR="009D3DC8" w:rsidRDefault="009D3DC8">
      <w:pPr>
        <w:pStyle w:val="Bullets"/>
        <w:numPr>
          <w:ilvl w:val="0"/>
          <w:numId w:val="9"/>
        </w:numPr>
        <w:spacing w:before="120"/>
        <w:jc w:val="left"/>
      </w:pPr>
      <w:r>
        <w:t>dispersal mechanisms of the pest, including vectors, to allow movement from the pathway to a host</w:t>
      </w:r>
    </w:p>
    <w:p w14:paraId="2A538DF1" w14:textId="77777777" w:rsidR="009D3DC8" w:rsidRDefault="009D3DC8">
      <w:pPr>
        <w:pStyle w:val="Bullets"/>
        <w:numPr>
          <w:ilvl w:val="0"/>
          <w:numId w:val="9"/>
        </w:numPr>
        <w:spacing w:before="120"/>
        <w:jc w:val="left"/>
      </w:pPr>
      <w:r>
        <w:t>whether the imported commodity is to be sent to a few or many destination points in the PRA area</w:t>
      </w:r>
    </w:p>
    <w:p w14:paraId="62790E39" w14:textId="77777777" w:rsidR="009D3DC8" w:rsidRDefault="009D3DC8">
      <w:pPr>
        <w:pStyle w:val="Bullets"/>
        <w:numPr>
          <w:ilvl w:val="0"/>
          <w:numId w:val="9"/>
        </w:numPr>
        <w:spacing w:before="120"/>
        <w:jc w:val="left"/>
      </w:pPr>
      <w:r>
        <w:t>proximity of entry, transit and destination points to hosts</w:t>
      </w:r>
    </w:p>
    <w:p w14:paraId="592378F9" w14:textId="77777777" w:rsidR="009D3DC8" w:rsidRDefault="009D3DC8">
      <w:pPr>
        <w:pStyle w:val="Bullets"/>
        <w:numPr>
          <w:ilvl w:val="0"/>
          <w:numId w:val="9"/>
        </w:numPr>
        <w:spacing w:before="120"/>
        <w:jc w:val="left"/>
      </w:pPr>
      <w:r>
        <w:t>time of year at which import takes place</w:t>
      </w:r>
    </w:p>
    <w:p w14:paraId="40E4C13F" w14:textId="77777777" w:rsidR="009D3DC8" w:rsidRDefault="009D3DC8">
      <w:pPr>
        <w:pStyle w:val="Bullets"/>
        <w:numPr>
          <w:ilvl w:val="0"/>
          <w:numId w:val="9"/>
        </w:numPr>
        <w:spacing w:before="120"/>
        <w:jc w:val="left"/>
      </w:pPr>
      <w:r>
        <w:t>intended use of the commodity (e.g. for planting, processing or consumption)</w:t>
      </w:r>
    </w:p>
    <w:p w14:paraId="22D67118" w14:textId="77777777" w:rsidR="009D3DC8" w:rsidRDefault="009D3DC8">
      <w:pPr>
        <w:pStyle w:val="Bullets"/>
        <w:numPr>
          <w:ilvl w:val="0"/>
          <w:numId w:val="9"/>
        </w:numPr>
        <w:spacing w:before="120"/>
        <w:jc w:val="left"/>
      </w:pPr>
      <w:r>
        <w:t>risks from by-products and waste.</w:t>
      </w:r>
    </w:p>
    <w:p w14:paraId="17BD6C14" w14:textId="77777777" w:rsidR="009D3DC8" w:rsidRDefault="009D3DC8">
      <w:pPr>
        <w:rPr>
          <w:rFonts w:cs="Arial"/>
          <w:b/>
          <w:bCs/>
          <w:color w:val="000000"/>
          <w:sz w:val="24"/>
          <w:szCs w:val="28"/>
        </w:rPr>
      </w:pPr>
      <w:r>
        <w:rPr>
          <w:b/>
        </w:rPr>
        <w:br w:type="page"/>
      </w:r>
      <w:r>
        <w:rPr>
          <w:rFonts w:cs="Arial"/>
          <w:b/>
          <w:bCs/>
          <w:color w:val="000000"/>
          <w:sz w:val="24"/>
          <w:szCs w:val="28"/>
        </w:rPr>
        <w:lastRenderedPageBreak/>
        <w:t>Probability of establishment</w:t>
      </w:r>
    </w:p>
    <w:p w14:paraId="58E8043F" w14:textId="77777777" w:rsidR="009D3DC8" w:rsidRDefault="009D3DC8">
      <w:pPr>
        <w:pStyle w:val="Body"/>
        <w:spacing w:before="180"/>
        <w:jc w:val="left"/>
        <w:rPr>
          <w:rFonts w:ascii="Times New Roman" w:hAnsi="Times New Roman"/>
        </w:rPr>
      </w:pPr>
      <w:r>
        <w:rPr>
          <w:rFonts w:ascii="Times New Roman" w:hAnsi="Times New Roman"/>
        </w:rPr>
        <w:t>Establishment is defined as the ‘perpetuation for the foreseeable future, of a pest within an area after entry’ (FAO 2009). In order to estimate the probability of establishment of a pest, reliable biological information (lifecycle, host range, epidemiology, survival, etc.) is obtained from the areas where the pest currently occurs. The situation in the PRA area can then be compared with that in the areas where it currently occurs and expert judgement used to assess the probability of establishment.</w:t>
      </w:r>
    </w:p>
    <w:p w14:paraId="57F7BB94" w14:textId="77777777" w:rsidR="009D3DC8" w:rsidRDefault="009D3DC8">
      <w:pPr>
        <w:pStyle w:val="Body"/>
        <w:spacing w:before="180"/>
        <w:jc w:val="left"/>
        <w:rPr>
          <w:rFonts w:ascii="Times New Roman" w:hAnsi="Times New Roman"/>
        </w:rPr>
      </w:pPr>
      <w:r>
        <w:rPr>
          <w:rFonts w:ascii="Times New Roman" w:hAnsi="Times New Roman"/>
        </w:rPr>
        <w:t>Factors considered in the probability of establishment in the PRA area include:</w:t>
      </w:r>
    </w:p>
    <w:p w14:paraId="55E3FCAC" w14:textId="77777777" w:rsidR="009D3DC8" w:rsidRDefault="009D3DC8">
      <w:pPr>
        <w:pStyle w:val="Bullets"/>
        <w:numPr>
          <w:ilvl w:val="0"/>
          <w:numId w:val="9"/>
        </w:numPr>
        <w:spacing w:before="120"/>
        <w:jc w:val="left"/>
      </w:pPr>
      <w:r>
        <w:t>availability of hosts, alternative hosts and vectors</w:t>
      </w:r>
    </w:p>
    <w:p w14:paraId="26613F82" w14:textId="77777777" w:rsidR="009D3DC8" w:rsidRDefault="009D3DC8">
      <w:pPr>
        <w:pStyle w:val="Bullets"/>
        <w:numPr>
          <w:ilvl w:val="0"/>
          <w:numId w:val="9"/>
        </w:numPr>
        <w:spacing w:before="120"/>
        <w:jc w:val="left"/>
      </w:pPr>
      <w:r>
        <w:t>suitability of the environment</w:t>
      </w:r>
    </w:p>
    <w:p w14:paraId="7BCE1CB7" w14:textId="77777777" w:rsidR="009D3DC8" w:rsidRDefault="009D3DC8">
      <w:pPr>
        <w:pStyle w:val="Bullets"/>
        <w:numPr>
          <w:ilvl w:val="0"/>
          <w:numId w:val="9"/>
        </w:numPr>
        <w:spacing w:before="120"/>
        <w:jc w:val="left"/>
      </w:pPr>
      <w:r>
        <w:t>reproductive strategy and potential for adaptation</w:t>
      </w:r>
    </w:p>
    <w:p w14:paraId="2D30850E" w14:textId="77777777" w:rsidR="009D3DC8" w:rsidRDefault="009D3DC8">
      <w:pPr>
        <w:pStyle w:val="Bullets"/>
        <w:numPr>
          <w:ilvl w:val="0"/>
          <w:numId w:val="9"/>
        </w:numPr>
        <w:spacing w:before="120"/>
        <w:jc w:val="left"/>
      </w:pPr>
      <w:r>
        <w:t>minimum population needed for establishment</w:t>
      </w:r>
    </w:p>
    <w:p w14:paraId="396D2535" w14:textId="77777777" w:rsidR="009D3DC8" w:rsidRDefault="009D3DC8">
      <w:pPr>
        <w:pStyle w:val="Bullets"/>
        <w:numPr>
          <w:ilvl w:val="0"/>
          <w:numId w:val="9"/>
        </w:numPr>
        <w:spacing w:before="120"/>
        <w:jc w:val="left"/>
      </w:pPr>
      <w:r>
        <w:t>cultural practices and control measures.</w:t>
      </w:r>
    </w:p>
    <w:p w14:paraId="2B3921CB" w14:textId="77777777" w:rsidR="009D3DC8" w:rsidRDefault="009D3DC8">
      <w:pPr>
        <w:pStyle w:val="AQISText"/>
        <w:keepNext/>
        <w:tabs>
          <w:tab w:val="left" w:pos="357"/>
        </w:tabs>
        <w:spacing w:before="180"/>
        <w:jc w:val="both"/>
        <w:rPr>
          <w:rFonts w:cs="Arial"/>
          <w:b/>
          <w:bCs/>
          <w:color w:val="000000"/>
          <w:sz w:val="24"/>
          <w:szCs w:val="28"/>
        </w:rPr>
      </w:pPr>
      <w:r>
        <w:rPr>
          <w:rFonts w:cs="Arial"/>
          <w:b/>
          <w:bCs/>
          <w:color w:val="000000"/>
          <w:sz w:val="24"/>
          <w:szCs w:val="28"/>
        </w:rPr>
        <w:t>Probability of spread</w:t>
      </w:r>
    </w:p>
    <w:p w14:paraId="49D243C9" w14:textId="77777777" w:rsidR="009D3DC8" w:rsidRDefault="009D3DC8">
      <w:pPr>
        <w:pStyle w:val="Body"/>
        <w:spacing w:before="180"/>
        <w:jc w:val="left"/>
        <w:rPr>
          <w:rFonts w:ascii="Times New Roman" w:hAnsi="Times New Roman"/>
        </w:rPr>
      </w:pPr>
      <w:r>
        <w:rPr>
          <w:rFonts w:ascii="Times New Roman" w:hAnsi="Times New Roman"/>
        </w:rPr>
        <w:t>Spread is defined as ‘the expansion of the geographical distribution of a pest within an area’ (FAO 2009)</w:t>
      </w:r>
      <w:r>
        <w:rPr>
          <w:rFonts w:ascii="Times New Roman" w:hAnsi="Times New Roman"/>
        </w:rPr>
        <w:fldChar w:fldCharType="begin"/>
      </w:r>
      <w:r>
        <w:rPr>
          <w:rFonts w:ascii="Times New Roman" w:hAnsi="Times New Roman"/>
        </w:rPr>
        <w:instrText xml:space="preserve"> QUOTE "(FAO 2004)" </w:instrText>
      </w:r>
      <w:r>
        <w:rPr>
          <w:rFonts w:ascii="Times New Roman" w:hAnsi="Times New Roman"/>
        </w:rPr>
        <w:fldChar w:fldCharType="begin"/>
      </w:r>
      <w:r>
        <w:rPr>
          <w:rFonts w:ascii="Times New Roman" w:hAnsi="Times New Roman"/>
        </w:rPr>
        <w:instrText xml:space="preserve"> ADDIN PROCITE ÿ\11\05‘\19\02\00\00\00\0A(FAO 2004)\01\03\00\01\00\00\00\00\00\00µ8\01\01\00\00\00°†A\018\00\00\00\01\00\00\00\00\002\00Øã\12\008\00\00\00\04\00àà\00\00\00\05‘|ÿÿÿÿm\05‘|ÞÂÂw\00\00\01\00\07\00\00\00\18ä\12\008\00\00\00\05\00\00\00\00\00\00\00\00\00\00\002\00\00\00\00\00È\05‘|XdB\01ôã\12\00Q\05‘|8\00\01\00\04\00\00\00@J:\5CPlant\5CPublications\5CAmericas Team Publications\5CAmericasAll.pdt\0CFAO 2004 #50\01\02\00\03\00àà\00\00\00¿H\00</w:instrText>
      </w:r>
      <w:r>
        <w:instrText></w:instrText>
      </w:r>
      <w:r>
        <w:rPr>
          <w:rFonts w:ascii="Times New Roman" w:hAnsi="Times New Roman"/>
        </w:rPr>
        <w:instrText xml:space="preserve">&gt;\14\00\14\00\00\00\01\00\00\00\00\00\00\00\00\00\00\00\10\00\00\00\00\00\00\00\09\00\00\00\00\00\00ºI_È\1DÂ\00\01\00\00\00\01\00\00\00\00\00\00\00tò\12\000¬W\00ÿÿÿÿ </w:instrText>
      </w:r>
      <w:r>
        <w:rPr>
          <w:rFonts w:ascii="Times New Roman" w:hAnsi="Times New Roman"/>
        </w:rPr>
        <w:fldChar w:fldCharType="end"/>
      </w:r>
      <w:r>
        <w:rPr>
          <w:rFonts w:ascii="Times New Roman" w:hAnsi="Times New Roman"/>
        </w:rPr>
        <w:fldChar w:fldCharType="end"/>
      </w:r>
      <w:r>
        <w:rPr>
          <w:rFonts w:ascii="Times New Roman" w:hAnsi="Times New Roman"/>
        </w:rPr>
        <w:t>. The probability of spread considers the factors relevant to the movement of the pest, after establishment on a host plant or plants, to other susceptible host plants of the same or different species in other areas. In order to estimate the probability of spread of the pest, reliable biological information is obtained from areas where the pest currently occurs. The situation in the PRA area is then carefully compared with that in the areas where the pest currently occurs and expert judgement used to assess the probability of spread.</w:t>
      </w:r>
    </w:p>
    <w:p w14:paraId="227F4419" w14:textId="77777777" w:rsidR="009D3DC8" w:rsidRDefault="009D3DC8">
      <w:pPr>
        <w:pStyle w:val="Body"/>
        <w:spacing w:before="180"/>
        <w:jc w:val="left"/>
        <w:rPr>
          <w:rFonts w:ascii="Times New Roman" w:hAnsi="Times New Roman"/>
        </w:rPr>
      </w:pPr>
      <w:r>
        <w:rPr>
          <w:rFonts w:ascii="Times New Roman" w:hAnsi="Times New Roman"/>
        </w:rPr>
        <w:t xml:space="preserve">Factors considered in the probability of spread include: </w:t>
      </w:r>
    </w:p>
    <w:p w14:paraId="076430E7" w14:textId="77777777" w:rsidR="009D3DC8" w:rsidRDefault="009D3DC8">
      <w:pPr>
        <w:pStyle w:val="Bullets"/>
        <w:numPr>
          <w:ilvl w:val="0"/>
          <w:numId w:val="9"/>
        </w:numPr>
        <w:spacing w:before="120"/>
        <w:jc w:val="left"/>
      </w:pPr>
      <w:r>
        <w:t>suitability of the natural and/or managed environment for natural spread of the pest</w:t>
      </w:r>
    </w:p>
    <w:p w14:paraId="29B4BBC7" w14:textId="77777777" w:rsidR="009D3DC8" w:rsidRDefault="009D3DC8">
      <w:pPr>
        <w:pStyle w:val="Bullets"/>
        <w:numPr>
          <w:ilvl w:val="0"/>
          <w:numId w:val="9"/>
        </w:numPr>
        <w:spacing w:before="120"/>
        <w:jc w:val="left"/>
      </w:pPr>
      <w:r>
        <w:t>presence of natural barriers</w:t>
      </w:r>
    </w:p>
    <w:p w14:paraId="15947B11" w14:textId="77777777" w:rsidR="009D3DC8" w:rsidRDefault="009D3DC8">
      <w:pPr>
        <w:pStyle w:val="Bullets"/>
        <w:numPr>
          <w:ilvl w:val="0"/>
          <w:numId w:val="9"/>
        </w:numPr>
        <w:spacing w:before="120"/>
        <w:jc w:val="left"/>
      </w:pPr>
      <w:r>
        <w:t>potential for movement with commodities, conveyances or by vectors</w:t>
      </w:r>
    </w:p>
    <w:p w14:paraId="7C41F05F" w14:textId="77777777" w:rsidR="009D3DC8" w:rsidRDefault="009D3DC8">
      <w:pPr>
        <w:pStyle w:val="Bullets"/>
        <w:numPr>
          <w:ilvl w:val="0"/>
          <w:numId w:val="9"/>
        </w:numPr>
        <w:spacing w:before="120"/>
        <w:jc w:val="left"/>
      </w:pPr>
      <w:r>
        <w:t>intended use of the commodity</w:t>
      </w:r>
    </w:p>
    <w:p w14:paraId="08AF6B5E" w14:textId="77777777" w:rsidR="009D3DC8" w:rsidRDefault="009D3DC8">
      <w:pPr>
        <w:pStyle w:val="Bullets"/>
        <w:numPr>
          <w:ilvl w:val="0"/>
          <w:numId w:val="9"/>
        </w:numPr>
        <w:spacing w:before="120"/>
        <w:jc w:val="left"/>
      </w:pPr>
      <w:r>
        <w:t>potential vectors of the pest in the PRA area</w:t>
      </w:r>
    </w:p>
    <w:p w14:paraId="4CB6BC8E" w14:textId="77777777" w:rsidR="009D3DC8" w:rsidRDefault="009D3DC8">
      <w:pPr>
        <w:pStyle w:val="Bullets"/>
        <w:numPr>
          <w:ilvl w:val="0"/>
          <w:numId w:val="9"/>
        </w:numPr>
        <w:spacing w:before="120"/>
        <w:jc w:val="left"/>
      </w:pPr>
      <w:r>
        <w:t>potential natural enemies of the pest in the PRA area.</w:t>
      </w:r>
    </w:p>
    <w:p w14:paraId="196C7166" w14:textId="77777777" w:rsidR="009D3DC8" w:rsidRDefault="009D3DC8">
      <w:pPr>
        <w:pStyle w:val="Body"/>
        <w:spacing w:before="360" w:after="120"/>
        <w:rPr>
          <w:rFonts w:ascii="Times New Roman" w:hAnsi="Times New Roman"/>
          <w:i/>
        </w:rPr>
      </w:pPr>
      <w:r>
        <w:rPr>
          <w:rFonts w:ascii="Times New Roman" w:hAnsi="Times New Roman"/>
          <w:i/>
        </w:rPr>
        <w:t>Assigning qualitative likelihoods for the probability of entry, establishment and spread</w:t>
      </w:r>
    </w:p>
    <w:p w14:paraId="7047196A" w14:textId="77777777" w:rsidR="009D3DC8" w:rsidRDefault="009D3DC8">
      <w:pPr>
        <w:pStyle w:val="Body"/>
        <w:spacing w:before="180"/>
        <w:jc w:val="left"/>
        <w:rPr>
          <w:rFonts w:ascii="Times New Roman" w:hAnsi="Times New Roman"/>
        </w:rPr>
      </w:pPr>
      <w:r>
        <w:rPr>
          <w:rFonts w:ascii="Times New Roman" w:hAnsi="Times New Roman"/>
        </w:rPr>
        <w:t>In its qualitative PRAs, DAFF Biosecurity uses the term ‘likelihood’ for the descriptors it uses for its estimates of probability of entry, establishment and spread. Qualitative likelihoods are assigned to each step of entry, establishment and spread. Six descriptors are used: high; moderate; low; very low; extremely low; and negligible (Table 2.1). Descriptive definitions for these descriptors are given in Table 2.1. The standardised likelihood descriptors provide guidance to the risk analyst and promote consistency between different risk analyses.</w:t>
      </w:r>
    </w:p>
    <w:p w14:paraId="72A6DCA9" w14:textId="77777777" w:rsidR="009D3DC8" w:rsidRDefault="009D3DC8">
      <w:pPr>
        <w:rPr>
          <w:rFonts w:ascii="Arial" w:hAnsi="Arial" w:cs="Arial"/>
          <w:b/>
          <w:sz w:val="20"/>
          <w:szCs w:val="20"/>
        </w:rPr>
      </w:pPr>
      <w:bookmarkStart w:id="33" w:name="_Toc261004348"/>
      <w:r>
        <w:br w:type="page"/>
      </w:r>
    </w:p>
    <w:p w14:paraId="066C21A1" w14:textId="77777777" w:rsidR="009D3DC8" w:rsidRDefault="009D3DC8">
      <w:pPr>
        <w:pStyle w:val="Table"/>
        <w:ind w:left="1440" w:hanging="1440"/>
      </w:pPr>
      <w:bookmarkStart w:id="34" w:name="_Toc325625792"/>
      <w:r>
        <w:t>Table 2.1</w:t>
      </w:r>
      <w:r>
        <w:tab/>
        <w:t>Nomenclature for qualitative likelihoods</w:t>
      </w:r>
      <w:bookmarkEnd w:id="33"/>
      <w:bookmarkEnd w:id="34"/>
    </w:p>
    <w:tbl>
      <w:tblPr>
        <w:tblW w:w="4800" w:type="pct"/>
        <w:tblInd w:w="108" w:type="dxa"/>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Layout w:type="fixed"/>
        <w:tblLook w:val="002F" w:firstRow="1" w:lastRow="0" w:firstColumn="0" w:lastColumn="0" w:noHBand="0" w:noVBand="0"/>
      </w:tblPr>
      <w:tblGrid>
        <w:gridCol w:w="2284"/>
        <w:gridCol w:w="6748"/>
      </w:tblGrid>
      <w:tr w:rsidR="009D3DC8" w14:paraId="661E1A85" w14:textId="77777777">
        <w:trPr>
          <w:cantSplit/>
          <w:trHeight w:val="314"/>
          <w:tblHeader/>
        </w:trPr>
        <w:tc>
          <w:tcPr>
            <w:tcW w:w="2244" w:type="dxa"/>
            <w:shd w:val="clear" w:color="auto" w:fill="D9D9D9"/>
            <w:vAlign w:val="center"/>
          </w:tcPr>
          <w:p w14:paraId="7D52D60E" w14:textId="77777777" w:rsidR="009D3DC8" w:rsidRDefault="009D3DC8">
            <w:pPr>
              <w:pStyle w:val="TableText1"/>
              <w:rPr>
                <w:rFonts w:ascii="Arial" w:hAnsi="Arial" w:cs="Arial"/>
                <w:b/>
                <w:bCs/>
              </w:rPr>
            </w:pPr>
            <w:r>
              <w:rPr>
                <w:rFonts w:ascii="Arial" w:hAnsi="Arial" w:cs="Arial"/>
                <w:b/>
                <w:bCs/>
              </w:rPr>
              <w:t>Likelihood</w:t>
            </w:r>
          </w:p>
        </w:tc>
        <w:tc>
          <w:tcPr>
            <w:tcW w:w="6628" w:type="dxa"/>
            <w:shd w:val="clear" w:color="auto" w:fill="D9D9D9"/>
            <w:vAlign w:val="center"/>
          </w:tcPr>
          <w:p w14:paraId="6DEADC9B" w14:textId="77777777" w:rsidR="009D3DC8" w:rsidRDefault="009D3DC8">
            <w:pPr>
              <w:pStyle w:val="TableText1"/>
              <w:rPr>
                <w:rFonts w:ascii="Arial" w:hAnsi="Arial" w:cs="Arial"/>
                <w:b/>
                <w:bCs/>
              </w:rPr>
            </w:pPr>
            <w:r>
              <w:rPr>
                <w:rFonts w:ascii="Arial" w:hAnsi="Arial" w:cs="Arial"/>
                <w:b/>
                <w:bCs/>
              </w:rPr>
              <w:t>Descriptive definition</w:t>
            </w:r>
          </w:p>
        </w:tc>
      </w:tr>
      <w:tr w:rsidR="009D3DC8" w14:paraId="23679D9C" w14:textId="77777777">
        <w:trPr>
          <w:cantSplit/>
          <w:trHeight w:val="314"/>
        </w:trPr>
        <w:tc>
          <w:tcPr>
            <w:tcW w:w="2244" w:type="dxa"/>
          </w:tcPr>
          <w:p w14:paraId="2BEC5608" w14:textId="77777777" w:rsidR="009D3DC8" w:rsidRDefault="009D3DC8">
            <w:pPr>
              <w:pStyle w:val="TableText1"/>
              <w:rPr>
                <w:rFonts w:ascii="Arial" w:hAnsi="Arial" w:cs="Arial"/>
                <w:b/>
                <w:bCs/>
              </w:rPr>
            </w:pPr>
            <w:r>
              <w:rPr>
                <w:rFonts w:ascii="Arial" w:hAnsi="Arial" w:cs="Arial"/>
                <w:b/>
                <w:bCs/>
              </w:rPr>
              <w:t>High</w:t>
            </w:r>
          </w:p>
        </w:tc>
        <w:tc>
          <w:tcPr>
            <w:tcW w:w="6628" w:type="dxa"/>
          </w:tcPr>
          <w:p w14:paraId="24AD3219" w14:textId="77777777" w:rsidR="009D3DC8" w:rsidRDefault="009D3DC8">
            <w:pPr>
              <w:pStyle w:val="TableText1"/>
              <w:rPr>
                <w:rFonts w:ascii="Arial" w:hAnsi="Arial" w:cs="Arial"/>
              </w:rPr>
            </w:pPr>
            <w:r>
              <w:rPr>
                <w:rFonts w:ascii="Arial" w:hAnsi="Arial" w:cs="Arial"/>
              </w:rPr>
              <w:t>The event would be very likely to occur</w:t>
            </w:r>
          </w:p>
        </w:tc>
      </w:tr>
      <w:tr w:rsidR="009D3DC8" w14:paraId="658C653B" w14:textId="77777777">
        <w:trPr>
          <w:cantSplit/>
          <w:trHeight w:val="314"/>
        </w:trPr>
        <w:tc>
          <w:tcPr>
            <w:tcW w:w="2244" w:type="dxa"/>
          </w:tcPr>
          <w:p w14:paraId="591629CF" w14:textId="77777777" w:rsidR="009D3DC8" w:rsidRDefault="009D3DC8">
            <w:pPr>
              <w:pStyle w:val="TableText1"/>
              <w:rPr>
                <w:rFonts w:ascii="Arial" w:hAnsi="Arial" w:cs="Arial"/>
                <w:b/>
                <w:bCs/>
              </w:rPr>
            </w:pPr>
            <w:r>
              <w:rPr>
                <w:rFonts w:ascii="Arial" w:hAnsi="Arial" w:cs="Arial"/>
                <w:b/>
                <w:bCs/>
              </w:rPr>
              <w:t>Moderate</w:t>
            </w:r>
          </w:p>
        </w:tc>
        <w:tc>
          <w:tcPr>
            <w:tcW w:w="6628" w:type="dxa"/>
          </w:tcPr>
          <w:p w14:paraId="424ED69F" w14:textId="77777777" w:rsidR="009D3DC8" w:rsidRDefault="009D3DC8">
            <w:pPr>
              <w:pStyle w:val="TableText1"/>
              <w:rPr>
                <w:rFonts w:ascii="Arial" w:hAnsi="Arial" w:cs="Arial"/>
              </w:rPr>
            </w:pPr>
            <w:r>
              <w:rPr>
                <w:rFonts w:ascii="Arial" w:hAnsi="Arial" w:cs="Arial"/>
              </w:rPr>
              <w:t>The event would occur with an even probability</w:t>
            </w:r>
          </w:p>
        </w:tc>
      </w:tr>
      <w:tr w:rsidR="009D3DC8" w14:paraId="5593045F" w14:textId="77777777">
        <w:trPr>
          <w:cantSplit/>
          <w:trHeight w:val="314"/>
        </w:trPr>
        <w:tc>
          <w:tcPr>
            <w:tcW w:w="2244" w:type="dxa"/>
          </w:tcPr>
          <w:p w14:paraId="56146F9C" w14:textId="77777777" w:rsidR="009D3DC8" w:rsidRDefault="009D3DC8">
            <w:pPr>
              <w:pStyle w:val="TableText1"/>
              <w:rPr>
                <w:rFonts w:ascii="Arial" w:hAnsi="Arial" w:cs="Arial"/>
                <w:b/>
                <w:bCs/>
              </w:rPr>
            </w:pPr>
            <w:r>
              <w:rPr>
                <w:rFonts w:ascii="Arial" w:hAnsi="Arial" w:cs="Arial"/>
                <w:b/>
                <w:bCs/>
              </w:rPr>
              <w:t>Low</w:t>
            </w:r>
          </w:p>
        </w:tc>
        <w:tc>
          <w:tcPr>
            <w:tcW w:w="6628" w:type="dxa"/>
          </w:tcPr>
          <w:p w14:paraId="690A9214" w14:textId="77777777" w:rsidR="009D3DC8" w:rsidRDefault="009D3DC8">
            <w:pPr>
              <w:pStyle w:val="TableText1"/>
              <w:rPr>
                <w:rFonts w:ascii="Arial" w:hAnsi="Arial" w:cs="Arial"/>
              </w:rPr>
            </w:pPr>
            <w:r>
              <w:rPr>
                <w:rFonts w:ascii="Arial" w:hAnsi="Arial" w:cs="Arial"/>
              </w:rPr>
              <w:t>The event would be unlikely to occur</w:t>
            </w:r>
          </w:p>
        </w:tc>
      </w:tr>
      <w:tr w:rsidR="009D3DC8" w14:paraId="6F14DD27" w14:textId="77777777">
        <w:trPr>
          <w:cantSplit/>
          <w:trHeight w:val="314"/>
        </w:trPr>
        <w:tc>
          <w:tcPr>
            <w:tcW w:w="2244" w:type="dxa"/>
          </w:tcPr>
          <w:p w14:paraId="041B9B10" w14:textId="77777777" w:rsidR="009D3DC8" w:rsidRDefault="009D3DC8">
            <w:pPr>
              <w:pStyle w:val="TableText1"/>
              <w:rPr>
                <w:rFonts w:ascii="Arial" w:hAnsi="Arial" w:cs="Arial"/>
                <w:b/>
                <w:bCs/>
              </w:rPr>
            </w:pPr>
            <w:r>
              <w:rPr>
                <w:rFonts w:ascii="Arial" w:hAnsi="Arial" w:cs="Arial"/>
                <w:b/>
                <w:bCs/>
              </w:rPr>
              <w:t>Very low</w:t>
            </w:r>
          </w:p>
        </w:tc>
        <w:tc>
          <w:tcPr>
            <w:tcW w:w="6628" w:type="dxa"/>
          </w:tcPr>
          <w:p w14:paraId="32187387" w14:textId="77777777" w:rsidR="009D3DC8" w:rsidRDefault="009D3DC8">
            <w:pPr>
              <w:pStyle w:val="TableText1"/>
              <w:rPr>
                <w:rFonts w:ascii="Arial" w:hAnsi="Arial" w:cs="Arial"/>
              </w:rPr>
            </w:pPr>
            <w:r>
              <w:rPr>
                <w:rFonts w:ascii="Arial" w:hAnsi="Arial" w:cs="Arial"/>
              </w:rPr>
              <w:t>The event would be very unlikely to occur</w:t>
            </w:r>
          </w:p>
        </w:tc>
      </w:tr>
      <w:tr w:rsidR="009D3DC8" w14:paraId="58B84A55" w14:textId="77777777">
        <w:trPr>
          <w:cantSplit/>
          <w:trHeight w:val="314"/>
        </w:trPr>
        <w:tc>
          <w:tcPr>
            <w:tcW w:w="2244" w:type="dxa"/>
          </w:tcPr>
          <w:p w14:paraId="0E751C94" w14:textId="77777777" w:rsidR="009D3DC8" w:rsidRDefault="009D3DC8">
            <w:pPr>
              <w:pStyle w:val="TableText1"/>
              <w:rPr>
                <w:rFonts w:ascii="Arial" w:hAnsi="Arial" w:cs="Arial"/>
                <w:b/>
                <w:bCs/>
              </w:rPr>
            </w:pPr>
            <w:r>
              <w:rPr>
                <w:rFonts w:ascii="Arial" w:hAnsi="Arial" w:cs="Arial"/>
                <w:b/>
                <w:bCs/>
              </w:rPr>
              <w:t>Extremely low</w:t>
            </w:r>
          </w:p>
        </w:tc>
        <w:tc>
          <w:tcPr>
            <w:tcW w:w="6628" w:type="dxa"/>
          </w:tcPr>
          <w:p w14:paraId="3DD61389" w14:textId="77777777" w:rsidR="009D3DC8" w:rsidRDefault="009D3DC8">
            <w:pPr>
              <w:pStyle w:val="TableText1"/>
              <w:rPr>
                <w:rFonts w:ascii="Arial" w:hAnsi="Arial" w:cs="Arial"/>
              </w:rPr>
            </w:pPr>
            <w:r>
              <w:rPr>
                <w:rFonts w:ascii="Arial" w:hAnsi="Arial" w:cs="Arial"/>
              </w:rPr>
              <w:t>The event would be extremely unlikely to occur</w:t>
            </w:r>
          </w:p>
        </w:tc>
      </w:tr>
      <w:tr w:rsidR="009D3DC8" w14:paraId="7EEFBB4F" w14:textId="77777777">
        <w:trPr>
          <w:cantSplit/>
          <w:trHeight w:val="327"/>
        </w:trPr>
        <w:tc>
          <w:tcPr>
            <w:tcW w:w="2244" w:type="dxa"/>
          </w:tcPr>
          <w:p w14:paraId="3108775F" w14:textId="77777777" w:rsidR="009D3DC8" w:rsidRDefault="009D3DC8">
            <w:pPr>
              <w:pStyle w:val="TableText1"/>
              <w:rPr>
                <w:rFonts w:ascii="Arial" w:hAnsi="Arial" w:cs="Arial"/>
                <w:b/>
                <w:bCs/>
              </w:rPr>
            </w:pPr>
            <w:r>
              <w:rPr>
                <w:rFonts w:ascii="Arial" w:hAnsi="Arial" w:cs="Arial"/>
                <w:b/>
                <w:bCs/>
              </w:rPr>
              <w:t>Negligible</w:t>
            </w:r>
          </w:p>
        </w:tc>
        <w:tc>
          <w:tcPr>
            <w:tcW w:w="6628" w:type="dxa"/>
          </w:tcPr>
          <w:p w14:paraId="2CD83ED8" w14:textId="77777777" w:rsidR="009D3DC8" w:rsidRDefault="009D3DC8">
            <w:pPr>
              <w:pStyle w:val="TableText1"/>
              <w:rPr>
                <w:rFonts w:ascii="Arial" w:hAnsi="Arial" w:cs="Arial"/>
              </w:rPr>
            </w:pPr>
            <w:r>
              <w:rPr>
                <w:rFonts w:ascii="Arial" w:hAnsi="Arial" w:cs="Arial"/>
              </w:rPr>
              <w:t>The event would almost certainly not occur</w:t>
            </w:r>
          </w:p>
        </w:tc>
      </w:tr>
    </w:tbl>
    <w:p w14:paraId="4DF1B38B" w14:textId="77777777" w:rsidR="009D3DC8" w:rsidRDefault="009D3DC8">
      <w:pPr>
        <w:pStyle w:val="Body"/>
        <w:spacing w:before="180"/>
        <w:jc w:val="left"/>
        <w:rPr>
          <w:rFonts w:ascii="Times New Roman" w:hAnsi="Times New Roman"/>
        </w:rPr>
      </w:pPr>
      <w:r>
        <w:rPr>
          <w:rFonts w:ascii="Times New Roman" w:hAnsi="Times New Roman"/>
        </w:rPr>
        <w:t>The likelihood of entry is determined by combining the likelihood that the pest will be imported into the PRA area and the likelihood that the pest will be distributed within the PRA area, using a matrix of rules (Table 2.2).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4C81C06D" w14:textId="77777777" w:rsidR="009D3DC8" w:rsidRDefault="009D3DC8">
      <w:pPr>
        <w:pStyle w:val="Body"/>
        <w:spacing w:before="180"/>
        <w:jc w:val="left"/>
        <w:rPr>
          <w:rFonts w:ascii="Times New Roman" w:hAnsi="Times New Roman"/>
        </w:rPr>
      </w:pPr>
      <w:r>
        <w:rPr>
          <w:rFonts w:ascii="Times New Roman" w:hAnsi="Times New Roman"/>
        </w:rPr>
        <w:t>For example, if the probability of importation is assigned a likelihood of ‘low’ and the probability of distribution is assigned a likelihood of ‘moderate’, then they are combined to give a likelihood of ‘low’ for the probability of entry. The likelihood for the probability of entry is then combined with the likelihood assigned to the probability of establishment (e.g. ‘high’) to give a likelihood for the probability of entry and establishment of ‘low’. The likelihood for the probability of entry and establishment is then combined with the likelihood assigned to the probability of spread (e.g. ‘very low’) to give the overall likelihood for the probability of entry, establishment and spread of ‘very low’. A working example is provided below;</w:t>
      </w:r>
    </w:p>
    <w:p w14:paraId="28BFE2C7" w14:textId="77777777" w:rsidR="009D3DC8" w:rsidRDefault="009D3DC8">
      <w:pPr>
        <w:spacing w:before="180" w:line="280" w:lineRule="atLeast"/>
        <w:ind w:firstLine="601"/>
        <w:rPr>
          <w:rFonts w:ascii="Times New Roman" w:hAnsi="Times New Roman"/>
          <w:sz w:val="24"/>
        </w:rPr>
      </w:pPr>
      <w:r>
        <w:rPr>
          <w:rFonts w:ascii="Times New Roman" w:hAnsi="Times New Roman"/>
          <w:i/>
          <w:iCs/>
          <w:sz w:val="24"/>
        </w:rPr>
        <w:t xml:space="preserve">P </w:t>
      </w:r>
      <w:r>
        <w:rPr>
          <w:rFonts w:ascii="Times New Roman" w:hAnsi="Times New Roman"/>
          <w:sz w:val="24"/>
        </w:rPr>
        <w:t xml:space="preserve">[importation] x </w:t>
      </w:r>
      <w:r>
        <w:rPr>
          <w:rFonts w:ascii="Times New Roman" w:hAnsi="Times New Roman"/>
          <w:i/>
          <w:iCs/>
          <w:sz w:val="24"/>
        </w:rPr>
        <w:t xml:space="preserve">P </w:t>
      </w:r>
      <w:r>
        <w:rPr>
          <w:rFonts w:ascii="Times New Roman" w:hAnsi="Times New Roman"/>
          <w:sz w:val="24"/>
        </w:rPr>
        <w:t xml:space="preserve">[distribution] = </w:t>
      </w:r>
      <w:r>
        <w:rPr>
          <w:rFonts w:ascii="Times New Roman" w:hAnsi="Times New Roman"/>
          <w:i/>
          <w:iCs/>
          <w:sz w:val="24"/>
        </w:rPr>
        <w:t>P</w:t>
      </w:r>
      <w:r>
        <w:rPr>
          <w:rFonts w:ascii="Times New Roman" w:hAnsi="Times New Roman"/>
          <w:sz w:val="24"/>
        </w:rPr>
        <w:t xml:space="preserve"> [</w:t>
      </w:r>
      <w:r>
        <w:rPr>
          <w:rFonts w:ascii="Times New Roman" w:hAnsi="Times New Roman"/>
          <w:b/>
          <w:bCs/>
          <w:sz w:val="24"/>
        </w:rPr>
        <w:t>entry</w:t>
      </w:r>
      <w:r>
        <w:rPr>
          <w:rFonts w:ascii="Times New Roman" w:hAnsi="Times New Roman"/>
          <w:sz w:val="24"/>
        </w:rPr>
        <w:t xml:space="preserve">] </w:t>
      </w:r>
      <w:r>
        <w:rPr>
          <w:rFonts w:ascii="Times New Roman" w:hAnsi="Times New Roman"/>
          <w:sz w:val="24"/>
        </w:rPr>
        <w:tab/>
      </w:r>
      <w:r>
        <w:rPr>
          <w:rFonts w:ascii="Times New Roman" w:hAnsi="Times New Roman"/>
          <w:sz w:val="24"/>
        </w:rPr>
        <w:tab/>
        <w:t xml:space="preserve">e.g. </w:t>
      </w:r>
      <w:r>
        <w:rPr>
          <w:rFonts w:ascii="Times New Roman" w:hAnsi="Times New Roman"/>
          <w:b/>
          <w:bCs/>
          <w:sz w:val="24"/>
        </w:rPr>
        <w:t>low x moderate = low</w:t>
      </w:r>
    </w:p>
    <w:p w14:paraId="646BA337" w14:textId="77777777" w:rsidR="009D3DC8" w:rsidRDefault="009D3DC8">
      <w:pPr>
        <w:spacing w:before="180" w:line="280" w:lineRule="atLeast"/>
        <w:ind w:firstLine="601"/>
        <w:rPr>
          <w:rFonts w:ascii="Times New Roman" w:hAnsi="Times New Roman"/>
          <w:b/>
          <w:bCs/>
          <w:sz w:val="24"/>
        </w:rPr>
      </w:pPr>
      <w:r>
        <w:rPr>
          <w:rFonts w:ascii="Times New Roman" w:hAnsi="Times New Roman"/>
          <w:i/>
          <w:iCs/>
          <w:sz w:val="24"/>
        </w:rPr>
        <w:t xml:space="preserve">P </w:t>
      </w:r>
      <w:r>
        <w:rPr>
          <w:rFonts w:ascii="Times New Roman" w:hAnsi="Times New Roman"/>
          <w:sz w:val="24"/>
        </w:rPr>
        <w:t>[</w:t>
      </w:r>
      <w:r>
        <w:rPr>
          <w:rFonts w:ascii="Times New Roman" w:hAnsi="Times New Roman"/>
          <w:bCs/>
          <w:sz w:val="24"/>
        </w:rPr>
        <w:t>entry</w:t>
      </w:r>
      <w:r>
        <w:rPr>
          <w:rFonts w:ascii="Times New Roman" w:hAnsi="Times New Roman"/>
          <w:sz w:val="24"/>
        </w:rPr>
        <w:t xml:space="preserve">] x </w:t>
      </w:r>
      <w:r>
        <w:rPr>
          <w:rFonts w:ascii="Times New Roman" w:hAnsi="Times New Roman"/>
          <w:i/>
          <w:iCs/>
          <w:sz w:val="24"/>
        </w:rPr>
        <w:t xml:space="preserve">P </w:t>
      </w:r>
      <w:r>
        <w:rPr>
          <w:rFonts w:ascii="Times New Roman" w:hAnsi="Times New Roman"/>
          <w:sz w:val="24"/>
        </w:rPr>
        <w:t xml:space="preserve">[establishment] = </w:t>
      </w:r>
      <w:r>
        <w:rPr>
          <w:rFonts w:ascii="Times New Roman" w:hAnsi="Times New Roman"/>
          <w:i/>
          <w:iCs/>
          <w:sz w:val="24"/>
        </w:rPr>
        <w:t>P</w:t>
      </w:r>
      <w:r>
        <w:rPr>
          <w:rFonts w:ascii="Times New Roman" w:hAnsi="Times New Roman"/>
          <w:sz w:val="24"/>
        </w:rPr>
        <w:t xml:space="preserve"> [</w:t>
      </w:r>
      <w:r>
        <w:rPr>
          <w:rFonts w:ascii="Times New Roman" w:hAnsi="Times New Roman"/>
          <w:b/>
          <w:bCs/>
          <w:sz w:val="24"/>
        </w:rPr>
        <w:t>EE</w:t>
      </w:r>
      <w:r>
        <w:rPr>
          <w:rFonts w:ascii="Times New Roman" w:hAnsi="Times New Roman"/>
          <w:sz w:val="24"/>
        </w:rPr>
        <w:t xml:space="preserve">] </w:t>
      </w:r>
      <w:r>
        <w:rPr>
          <w:rFonts w:ascii="Times New Roman" w:hAnsi="Times New Roman"/>
          <w:sz w:val="24"/>
        </w:rPr>
        <w:tab/>
      </w:r>
      <w:r>
        <w:rPr>
          <w:rFonts w:ascii="Times New Roman" w:hAnsi="Times New Roman"/>
          <w:sz w:val="24"/>
        </w:rPr>
        <w:tab/>
        <w:t xml:space="preserve">e.g. </w:t>
      </w:r>
      <w:r>
        <w:rPr>
          <w:rFonts w:ascii="Times New Roman" w:hAnsi="Times New Roman"/>
          <w:b/>
          <w:bCs/>
          <w:sz w:val="24"/>
        </w:rPr>
        <w:t>low x high = low</w:t>
      </w:r>
    </w:p>
    <w:p w14:paraId="1061544B" w14:textId="77777777" w:rsidR="009D3DC8" w:rsidRDefault="009D3DC8">
      <w:pPr>
        <w:spacing w:before="180" w:after="120" w:line="280" w:lineRule="atLeast"/>
        <w:ind w:firstLine="601"/>
        <w:rPr>
          <w:rFonts w:ascii="Times New Roman" w:hAnsi="Times New Roman"/>
          <w:b/>
          <w:bCs/>
          <w:sz w:val="24"/>
        </w:rPr>
      </w:pPr>
      <w:r>
        <w:rPr>
          <w:rFonts w:ascii="Times New Roman" w:hAnsi="Times New Roman"/>
          <w:i/>
          <w:iCs/>
          <w:sz w:val="24"/>
        </w:rPr>
        <w:t>P</w:t>
      </w:r>
      <w:r>
        <w:rPr>
          <w:rFonts w:ascii="Times New Roman" w:hAnsi="Times New Roman"/>
          <w:sz w:val="24"/>
        </w:rPr>
        <w:t xml:space="preserve"> [</w:t>
      </w:r>
      <w:r>
        <w:rPr>
          <w:rFonts w:ascii="Times New Roman" w:hAnsi="Times New Roman"/>
          <w:b/>
          <w:bCs/>
          <w:sz w:val="24"/>
        </w:rPr>
        <w:t>EE</w:t>
      </w:r>
      <w:r>
        <w:rPr>
          <w:rFonts w:ascii="Times New Roman" w:hAnsi="Times New Roman"/>
          <w:sz w:val="24"/>
        </w:rPr>
        <w:t xml:space="preserve">] x [spread] = </w:t>
      </w:r>
      <w:r>
        <w:rPr>
          <w:rFonts w:ascii="Times New Roman" w:hAnsi="Times New Roman"/>
          <w:b/>
          <w:bCs/>
          <w:i/>
          <w:iCs/>
          <w:sz w:val="24"/>
        </w:rPr>
        <w:t>P</w:t>
      </w:r>
      <w:r>
        <w:rPr>
          <w:rFonts w:ascii="Times New Roman" w:hAnsi="Times New Roman"/>
          <w:b/>
          <w:bCs/>
          <w:sz w:val="24"/>
        </w:rPr>
        <w:t xml:space="preserve"> [EES]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e.g. </w:t>
      </w:r>
      <w:r>
        <w:rPr>
          <w:rFonts w:ascii="Times New Roman" w:hAnsi="Times New Roman"/>
          <w:b/>
          <w:bCs/>
          <w:sz w:val="24"/>
        </w:rPr>
        <w:t>low x very low = very low</w:t>
      </w:r>
    </w:p>
    <w:p w14:paraId="00EB7686" w14:textId="77777777" w:rsidR="009D3DC8" w:rsidRDefault="009D3DC8">
      <w:pPr>
        <w:spacing w:line="280" w:lineRule="atLeast"/>
        <w:ind w:firstLine="601"/>
        <w:rPr>
          <w:rFonts w:ascii="Times New Roman" w:hAnsi="Times New Roman"/>
          <w:b/>
          <w:bCs/>
          <w:sz w:val="24"/>
        </w:rPr>
      </w:pPr>
    </w:p>
    <w:p w14:paraId="642EABC6" w14:textId="77777777" w:rsidR="009D3DC8" w:rsidRDefault="009D3DC8">
      <w:pPr>
        <w:pStyle w:val="Table"/>
        <w:ind w:left="1440" w:hanging="1440"/>
      </w:pPr>
      <w:bookmarkStart w:id="35" w:name="_Toc261004349"/>
      <w:bookmarkStart w:id="36" w:name="_Toc325625793"/>
      <w:r>
        <w:t>Table 2.2</w:t>
      </w:r>
      <w:r>
        <w:tab/>
        <w:t>Matrix of rules for combining qualitative likelihoods</w:t>
      </w:r>
      <w:bookmarkEnd w:id="35"/>
      <w:bookmarkEnd w:id="36"/>
    </w:p>
    <w:tbl>
      <w:tblPr>
        <w:tblW w:w="4938" w:type="pct"/>
        <w:tblInd w:w="115" w:type="dxa"/>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Layout w:type="fixed"/>
        <w:tblCellMar>
          <w:left w:w="115" w:type="dxa"/>
          <w:right w:w="115" w:type="dxa"/>
        </w:tblCellMar>
        <w:tblLook w:val="002F" w:firstRow="1" w:lastRow="0" w:firstColumn="0" w:lastColumn="0" w:noHBand="0" w:noVBand="0"/>
      </w:tblPr>
      <w:tblGrid>
        <w:gridCol w:w="1226"/>
        <w:gridCol w:w="1345"/>
        <w:gridCol w:w="1347"/>
        <w:gridCol w:w="1346"/>
        <w:gridCol w:w="1347"/>
        <w:gridCol w:w="1347"/>
        <w:gridCol w:w="1347"/>
      </w:tblGrid>
      <w:tr w:rsidR="009D3DC8" w14:paraId="69204853" w14:textId="77777777">
        <w:trPr>
          <w:cantSplit/>
        </w:trPr>
        <w:tc>
          <w:tcPr>
            <w:tcW w:w="1205" w:type="dxa"/>
            <w:tcBorders>
              <w:top w:val="single" w:sz="8" w:space="0" w:color="auto"/>
              <w:left w:val="single" w:sz="8" w:space="0" w:color="auto"/>
              <w:bottom w:val="nil"/>
              <w:right w:val="nil"/>
              <w:tl2br w:val="single" w:sz="4" w:space="0" w:color="C0C0C0"/>
            </w:tcBorders>
            <w:shd w:val="clear" w:color="auto" w:fill="D9D9D9"/>
          </w:tcPr>
          <w:p w14:paraId="6D80B481" w14:textId="77777777" w:rsidR="009D3DC8" w:rsidRDefault="009D3DC8">
            <w:pPr>
              <w:pStyle w:val="TableText1"/>
              <w:rPr>
                <w:rFonts w:ascii="Arial" w:hAnsi="Arial" w:cs="Arial"/>
              </w:rPr>
            </w:pPr>
          </w:p>
        </w:tc>
        <w:tc>
          <w:tcPr>
            <w:tcW w:w="1322" w:type="dxa"/>
            <w:tcBorders>
              <w:top w:val="single" w:sz="8" w:space="0" w:color="auto"/>
              <w:left w:val="nil"/>
              <w:bottom w:val="single" w:sz="8" w:space="0" w:color="C0C0C0"/>
            </w:tcBorders>
            <w:shd w:val="clear" w:color="auto" w:fill="D9D9D9"/>
          </w:tcPr>
          <w:p w14:paraId="7D999B8A" w14:textId="77777777" w:rsidR="009D3DC8" w:rsidRDefault="009D3DC8">
            <w:pPr>
              <w:pStyle w:val="TableText1"/>
              <w:rPr>
                <w:rFonts w:ascii="Arial" w:hAnsi="Arial" w:cs="Arial"/>
                <w:b/>
                <w:bCs/>
              </w:rPr>
            </w:pPr>
            <w:r>
              <w:rPr>
                <w:rFonts w:ascii="Arial" w:hAnsi="Arial" w:cs="Arial"/>
                <w:b/>
                <w:bCs/>
              </w:rPr>
              <w:t>High</w:t>
            </w:r>
          </w:p>
        </w:tc>
        <w:tc>
          <w:tcPr>
            <w:tcW w:w="1323" w:type="dxa"/>
            <w:tcBorders>
              <w:top w:val="single" w:sz="8" w:space="0" w:color="auto"/>
              <w:bottom w:val="single" w:sz="8" w:space="0" w:color="C0C0C0"/>
            </w:tcBorders>
            <w:shd w:val="clear" w:color="auto" w:fill="D9D9D9"/>
          </w:tcPr>
          <w:p w14:paraId="08F105E1" w14:textId="77777777" w:rsidR="009D3DC8" w:rsidRDefault="009D3DC8">
            <w:pPr>
              <w:pStyle w:val="TableText1"/>
              <w:rPr>
                <w:rFonts w:ascii="Arial" w:hAnsi="Arial" w:cs="Arial"/>
                <w:b/>
                <w:bCs/>
              </w:rPr>
            </w:pPr>
            <w:r>
              <w:rPr>
                <w:rFonts w:ascii="Arial" w:hAnsi="Arial" w:cs="Arial"/>
                <w:b/>
                <w:bCs/>
              </w:rPr>
              <w:t>Moderate</w:t>
            </w:r>
          </w:p>
        </w:tc>
        <w:tc>
          <w:tcPr>
            <w:tcW w:w="1322" w:type="dxa"/>
            <w:tcBorders>
              <w:top w:val="single" w:sz="8" w:space="0" w:color="auto"/>
              <w:bottom w:val="single" w:sz="8" w:space="0" w:color="C0C0C0"/>
            </w:tcBorders>
            <w:shd w:val="clear" w:color="auto" w:fill="D9D9D9"/>
          </w:tcPr>
          <w:p w14:paraId="217B4F3F" w14:textId="77777777" w:rsidR="009D3DC8" w:rsidRDefault="009D3DC8">
            <w:pPr>
              <w:pStyle w:val="TableText1"/>
              <w:rPr>
                <w:rFonts w:ascii="Arial" w:hAnsi="Arial" w:cs="Arial"/>
                <w:b/>
                <w:bCs/>
              </w:rPr>
            </w:pPr>
            <w:r>
              <w:rPr>
                <w:rFonts w:ascii="Arial" w:hAnsi="Arial" w:cs="Arial"/>
                <w:b/>
                <w:bCs/>
              </w:rPr>
              <w:t>Low</w:t>
            </w:r>
          </w:p>
        </w:tc>
        <w:tc>
          <w:tcPr>
            <w:tcW w:w="1323" w:type="dxa"/>
            <w:tcBorders>
              <w:top w:val="single" w:sz="8" w:space="0" w:color="auto"/>
              <w:bottom w:val="single" w:sz="8" w:space="0" w:color="C0C0C0"/>
            </w:tcBorders>
            <w:shd w:val="clear" w:color="auto" w:fill="D9D9D9"/>
          </w:tcPr>
          <w:p w14:paraId="129BFACE" w14:textId="77777777" w:rsidR="009D3DC8" w:rsidRDefault="009D3DC8">
            <w:pPr>
              <w:pStyle w:val="TableText1"/>
              <w:rPr>
                <w:rFonts w:ascii="Arial" w:hAnsi="Arial" w:cs="Arial"/>
                <w:b/>
                <w:bCs/>
              </w:rPr>
            </w:pPr>
            <w:r>
              <w:rPr>
                <w:rFonts w:ascii="Arial" w:hAnsi="Arial" w:cs="Arial"/>
                <w:b/>
                <w:bCs/>
              </w:rPr>
              <w:t>Very low</w:t>
            </w:r>
          </w:p>
        </w:tc>
        <w:tc>
          <w:tcPr>
            <w:tcW w:w="1323" w:type="dxa"/>
            <w:tcBorders>
              <w:top w:val="single" w:sz="8" w:space="0" w:color="auto"/>
              <w:bottom w:val="single" w:sz="8" w:space="0" w:color="C0C0C0"/>
            </w:tcBorders>
            <w:shd w:val="clear" w:color="auto" w:fill="D9D9D9"/>
          </w:tcPr>
          <w:p w14:paraId="04F17F4A" w14:textId="77777777" w:rsidR="009D3DC8" w:rsidRDefault="009D3DC8">
            <w:pPr>
              <w:pStyle w:val="TableText1"/>
              <w:rPr>
                <w:rFonts w:ascii="Arial" w:hAnsi="Arial" w:cs="Arial"/>
                <w:b/>
                <w:bCs/>
              </w:rPr>
            </w:pPr>
            <w:r>
              <w:rPr>
                <w:rFonts w:ascii="Arial" w:hAnsi="Arial" w:cs="Arial"/>
                <w:b/>
                <w:bCs/>
              </w:rPr>
              <w:t>Extremely low</w:t>
            </w:r>
          </w:p>
        </w:tc>
        <w:tc>
          <w:tcPr>
            <w:tcW w:w="1323" w:type="dxa"/>
            <w:tcBorders>
              <w:top w:val="single" w:sz="8" w:space="0" w:color="auto"/>
              <w:bottom w:val="single" w:sz="8" w:space="0" w:color="C0C0C0"/>
              <w:right w:val="single" w:sz="8" w:space="0" w:color="auto"/>
            </w:tcBorders>
            <w:shd w:val="clear" w:color="auto" w:fill="D9D9D9"/>
          </w:tcPr>
          <w:p w14:paraId="3FACF42D" w14:textId="77777777" w:rsidR="009D3DC8" w:rsidRDefault="009D3DC8">
            <w:pPr>
              <w:pStyle w:val="TableText1"/>
              <w:rPr>
                <w:rFonts w:ascii="Arial" w:hAnsi="Arial" w:cs="Arial"/>
                <w:b/>
                <w:bCs/>
              </w:rPr>
            </w:pPr>
            <w:r>
              <w:rPr>
                <w:rFonts w:ascii="Arial" w:hAnsi="Arial" w:cs="Arial"/>
                <w:b/>
                <w:bCs/>
              </w:rPr>
              <w:t>Negligible</w:t>
            </w:r>
          </w:p>
        </w:tc>
      </w:tr>
      <w:tr w:rsidR="009D3DC8" w14:paraId="659289DC" w14:textId="77777777">
        <w:trPr>
          <w:cantSplit/>
        </w:trPr>
        <w:tc>
          <w:tcPr>
            <w:tcW w:w="1205" w:type="dxa"/>
            <w:tcBorders>
              <w:top w:val="nil"/>
              <w:left w:val="single" w:sz="8" w:space="0" w:color="auto"/>
              <w:bottom w:val="single" w:sz="8" w:space="0" w:color="C0C0C0"/>
            </w:tcBorders>
            <w:vAlign w:val="center"/>
          </w:tcPr>
          <w:p w14:paraId="16837A29" w14:textId="77777777" w:rsidR="009D3DC8" w:rsidRDefault="009D3DC8">
            <w:pPr>
              <w:pStyle w:val="TableText1"/>
              <w:rPr>
                <w:rFonts w:ascii="Arial" w:hAnsi="Arial" w:cs="Arial"/>
                <w:b/>
                <w:bCs/>
              </w:rPr>
            </w:pPr>
            <w:r>
              <w:rPr>
                <w:rFonts w:ascii="Arial" w:hAnsi="Arial" w:cs="Arial"/>
                <w:b/>
                <w:bCs/>
              </w:rPr>
              <w:t>High</w:t>
            </w:r>
          </w:p>
        </w:tc>
        <w:tc>
          <w:tcPr>
            <w:tcW w:w="1322" w:type="dxa"/>
            <w:tcBorders>
              <w:top w:val="single" w:sz="8" w:space="0" w:color="C0C0C0"/>
              <w:bottom w:val="single" w:sz="8" w:space="0" w:color="C0C0C0"/>
            </w:tcBorders>
            <w:shd w:val="clear" w:color="auto" w:fill="FF99CC"/>
            <w:vAlign w:val="center"/>
          </w:tcPr>
          <w:p w14:paraId="4CF240D9" w14:textId="77777777" w:rsidR="009D3DC8" w:rsidRDefault="009D3DC8">
            <w:pPr>
              <w:pStyle w:val="TableText1"/>
              <w:rPr>
                <w:rFonts w:ascii="Arial" w:hAnsi="Arial" w:cs="Arial"/>
                <w:snapToGrid w:val="0"/>
              </w:rPr>
            </w:pPr>
            <w:r>
              <w:rPr>
                <w:rFonts w:ascii="Arial" w:hAnsi="Arial" w:cs="Arial"/>
                <w:snapToGrid w:val="0"/>
              </w:rPr>
              <w:t>High</w:t>
            </w:r>
          </w:p>
        </w:tc>
        <w:tc>
          <w:tcPr>
            <w:tcW w:w="1323" w:type="dxa"/>
            <w:tcBorders>
              <w:top w:val="single" w:sz="8" w:space="0" w:color="C0C0C0"/>
            </w:tcBorders>
            <w:shd w:val="clear" w:color="auto" w:fill="FFCC99"/>
            <w:vAlign w:val="center"/>
          </w:tcPr>
          <w:p w14:paraId="04AEA964" w14:textId="77777777" w:rsidR="009D3DC8" w:rsidRDefault="009D3DC8">
            <w:pPr>
              <w:pStyle w:val="TableText1"/>
              <w:rPr>
                <w:rFonts w:ascii="Arial" w:hAnsi="Arial" w:cs="Arial"/>
                <w:snapToGrid w:val="0"/>
              </w:rPr>
            </w:pPr>
            <w:r>
              <w:rPr>
                <w:rFonts w:ascii="Arial" w:hAnsi="Arial" w:cs="Arial"/>
                <w:snapToGrid w:val="0"/>
              </w:rPr>
              <w:t>Moderate</w:t>
            </w:r>
          </w:p>
        </w:tc>
        <w:tc>
          <w:tcPr>
            <w:tcW w:w="1322" w:type="dxa"/>
            <w:tcBorders>
              <w:top w:val="single" w:sz="8" w:space="0" w:color="C0C0C0"/>
            </w:tcBorders>
            <w:shd w:val="clear" w:color="auto" w:fill="FFFF99"/>
            <w:vAlign w:val="center"/>
          </w:tcPr>
          <w:p w14:paraId="3BA50BAA" w14:textId="77777777" w:rsidR="009D3DC8" w:rsidRDefault="009D3DC8">
            <w:pPr>
              <w:pStyle w:val="TableText1"/>
              <w:rPr>
                <w:rFonts w:ascii="Arial" w:hAnsi="Arial" w:cs="Arial"/>
                <w:snapToGrid w:val="0"/>
              </w:rPr>
            </w:pPr>
            <w:r>
              <w:rPr>
                <w:rFonts w:ascii="Arial" w:hAnsi="Arial" w:cs="Arial"/>
                <w:snapToGrid w:val="0"/>
              </w:rPr>
              <w:t>Low</w:t>
            </w:r>
          </w:p>
        </w:tc>
        <w:tc>
          <w:tcPr>
            <w:tcW w:w="1323" w:type="dxa"/>
            <w:tcBorders>
              <w:top w:val="single" w:sz="8" w:space="0" w:color="C0C0C0"/>
            </w:tcBorders>
            <w:shd w:val="clear" w:color="auto" w:fill="CCFFCC"/>
            <w:vAlign w:val="center"/>
          </w:tcPr>
          <w:p w14:paraId="45BD4449" w14:textId="77777777" w:rsidR="009D3DC8" w:rsidRDefault="009D3DC8">
            <w:pPr>
              <w:pStyle w:val="TableText1"/>
              <w:rPr>
                <w:rFonts w:ascii="Arial" w:hAnsi="Arial" w:cs="Arial"/>
                <w:snapToGrid w:val="0"/>
              </w:rPr>
            </w:pPr>
            <w:r>
              <w:rPr>
                <w:rFonts w:ascii="Arial" w:hAnsi="Arial" w:cs="Arial"/>
                <w:snapToGrid w:val="0"/>
              </w:rPr>
              <w:t>Very low</w:t>
            </w:r>
          </w:p>
        </w:tc>
        <w:tc>
          <w:tcPr>
            <w:tcW w:w="1323" w:type="dxa"/>
            <w:tcBorders>
              <w:top w:val="single" w:sz="8" w:space="0" w:color="C0C0C0"/>
            </w:tcBorders>
            <w:shd w:val="clear" w:color="auto" w:fill="CCFFFF"/>
            <w:vAlign w:val="center"/>
          </w:tcPr>
          <w:p w14:paraId="08F181F5" w14:textId="77777777" w:rsidR="009D3DC8" w:rsidRDefault="009D3DC8">
            <w:pPr>
              <w:pStyle w:val="TableText1"/>
              <w:rPr>
                <w:rFonts w:ascii="Arial" w:hAnsi="Arial" w:cs="Arial"/>
                <w:snapToGrid w:val="0"/>
              </w:rPr>
            </w:pPr>
            <w:r>
              <w:rPr>
                <w:rFonts w:ascii="Arial" w:hAnsi="Arial" w:cs="Arial"/>
                <w:snapToGrid w:val="0"/>
              </w:rPr>
              <w:t>Extremely low</w:t>
            </w:r>
          </w:p>
        </w:tc>
        <w:tc>
          <w:tcPr>
            <w:tcW w:w="1323" w:type="dxa"/>
            <w:tcBorders>
              <w:top w:val="single" w:sz="8" w:space="0" w:color="C0C0C0"/>
              <w:right w:val="single" w:sz="8" w:space="0" w:color="auto"/>
            </w:tcBorders>
            <w:shd w:val="clear" w:color="auto" w:fill="CCCCFF"/>
            <w:vAlign w:val="center"/>
          </w:tcPr>
          <w:p w14:paraId="34135AE3" w14:textId="77777777" w:rsidR="009D3DC8" w:rsidRDefault="009D3DC8">
            <w:pPr>
              <w:pStyle w:val="TableText1"/>
              <w:rPr>
                <w:rFonts w:ascii="Arial" w:hAnsi="Arial" w:cs="Arial"/>
                <w:snapToGrid w:val="0"/>
              </w:rPr>
            </w:pPr>
            <w:r>
              <w:rPr>
                <w:rFonts w:ascii="Arial" w:hAnsi="Arial" w:cs="Arial"/>
                <w:snapToGrid w:val="0"/>
              </w:rPr>
              <w:t>Negligible</w:t>
            </w:r>
          </w:p>
        </w:tc>
      </w:tr>
      <w:tr w:rsidR="009D3DC8" w14:paraId="5DD29ED2" w14:textId="77777777">
        <w:trPr>
          <w:cantSplit/>
        </w:trPr>
        <w:tc>
          <w:tcPr>
            <w:tcW w:w="2527" w:type="dxa"/>
            <w:gridSpan w:val="2"/>
            <w:tcBorders>
              <w:top w:val="single" w:sz="8" w:space="0" w:color="C0C0C0"/>
              <w:left w:val="single" w:sz="8" w:space="0" w:color="auto"/>
              <w:bottom w:val="single" w:sz="8" w:space="0" w:color="C0C0C0"/>
            </w:tcBorders>
            <w:vAlign w:val="center"/>
          </w:tcPr>
          <w:p w14:paraId="41BF9D21" w14:textId="77777777" w:rsidR="009D3DC8" w:rsidRDefault="009D3DC8">
            <w:pPr>
              <w:pStyle w:val="TableText1"/>
              <w:rPr>
                <w:rFonts w:ascii="Arial" w:hAnsi="Arial" w:cs="Arial"/>
              </w:rPr>
            </w:pPr>
            <w:r>
              <w:rPr>
                <w:rFonts w:ascii="Arial" w:hAnsi="Arial" w:cs="Arial"/>
                <w:b/>
                <w:bCs/>
              </w:rPr>
              <w:t>Moderate</w:t>
            </w:r>
          </w:p>
        </w:tc>
        <w:tc>
          <w:tcPr>
            <w:tcW w:w="1323" w:type="dxa"/>
            <w:tcBorders>
              <w:bottom w:val="single" w:sz="8" w:space="0" w:color="C0C0C0"/>
            </w:tcBorders>
            <w:shd w:val="clear" w:color="auto" w:fill="FFFF99"/>
            <w:vAlign w:val="center"/>
          </w:tcPr>
          <w:p w14:paraId="6EFBDD84" w14:textId="77777777" w:rsidR="009D3DC8" w:rsidRDefault="009D3DC8">
            <w:pPr>
              <w:pStyle w:val="TableText1"/>
              <w:rPr>
                <w:rFonts w:ascii="Arial" w:hAnsi="Arial" w:cs="Arial"/>
                <w:snapToGrid w:val="0"/>
              </w:rPr>
            </w:pPr>
            <w:r>
              <w:rPr>
                <w:rFonts w:ascii="Arial" w:hAnsi="Arial" w:cs="Arial"/>
                <w:snapToGrid w:val="0"/>
              </w:rPr>
              <w:t>Low</w:t>
            </w:r>
          </w:p>
        </w:tc>
        <w:tc>
          <w:tcPr>
            <w:tcW w:w="1322" w:type="dxa"/>
            <w:shd w:val="clear" w:color="auto" w:fill="FFFF99"/>
            <w:vAlign w:val="center"/>
          </w:tcPr>
          <w:p w14:paraId="4F6E0BAF" w14:textId="77777777" w:rsidR="009D3DC8" w:rsidRDefault="009D3DC8">
            <w:pPr>
              <w:pStyle w:val="TableText1"/>
              <w:rPr>
                <w:rFonts w:ascii="Arial" w:hAnsi="Arial" w:cs="Arial"/>
                <w:snapToGrid w:val="0"/>
              </w:rPr>
            </w:pPr>
            <w:r>
              <w:rPr>
                <w:rFonts w:ascii="Arial" w:hAnsi="Arial" w:cs="Arial"/>
                <w:snapToGrid w:val="0"/>
              </w:rPr>
              <w:t>Low</w:t>
            </w:r>
          </w:p>
        </w:tc>
        <w:tc>
          <w:tcPr>
            <w:tcW w:w="1323" w:type="dxa"/>
            <w:shd w:val="clear" w:color="auto" w:fill="CCFFCC"/>
            <w:vAlign w:val="center"/>
          </w:tcPr>
          <w:p w14:paraId="4BC326CB" w14:textId="77777777" w:rsidR="009D3DC8" w:rsidRDefault="009D3DC8">
            <w:pPr>
              <w:pStyle w:val="TableText1"/>
              <w:rPr>
                <w:rFonts w:ascii="Arial" w:hAnsi="Arial" w:cs="Arial"/>
                <w:snapToGrid w:val="0"/>
              </w:rPr>
            </w:pPr>
            <w:r>
              <w:rPr>
                <w:rFonts w:ascii="Arial" w:hAnsi="Arial" w:cs="Arial"/>
                <w:snapToGrid w:val="0"/>
              </w:rPr>
              <w:t>Very low</w:t>
            </w:r>
          </w:p>
        </w:tc>
        <w:tc>
          <w:tcPr>
            <w:tcW w:w="1323" w:type="dxa"/>
            <w:shd w:val="clear" w:color="auto" w:fill="CCFFFF"/>
            <w:vAlign w:val="center"/>
          </w:tcPr>
          <w:p w14:paraId="18B41B01" w14:textId="77777777" w:rsidR="009D3DC8" w:rsidRDefault="009D3DC8">
            <w:pPr>
              <w:pStyle w:val="TableText1"/>
              <w:rPr>
                <w:rFonts w:ascii="Arial" w:hAnsi="Arial" w:cs="Arial"/>
                <w:snapToGrid w:val="0"/>
              </w:rPr>
            </w:pPr>
            <w:r>
              <w:rPr>
                <w:rFonts w:ascii="Arial" w:hAnsi="Arial" w:cs="Arial"/>
                <w:snapToGrid w:val="0"/>
              </w:rPr>
              <w:t>Extremely low</w:t>
            </w:r>
          </w:p>
        </w:tc>
        <w:tc>
          <w:tcPr>
            <w:tcW w:w="1323" w:type="dxa"/>
            <w:tcBorders>
              <w:right w:val="single" w:sz="8" w:space="0" w:color="auto"/>
            </w:tcBorders>
            <w:shd w:val="clear" w:color="auto" w:fill="CCCCFF"/>
            <w:vAlign w:val="center"/>
          </w:tcPr>
          <w:p w14:paraId="507CC65C" w14:textId="77777777" w:rsidR="009D3DC8" w:rsidRDefault="009D3DC8">
            <w:pPr>
              <w:pStyle w:val="TableText1"/>
              <w:rPr>
                <w:rFonts w:ascii="Arial" w:hAnsi="Arial" w:cs="Arial"/>
                <w:snapToGrid w:val="0"/>
              </w:rPr>
            </w:pPr>
            <w:r>
              <w:rPr>
                <w:rFonts w:ascii="Arial" w:hAnsi="Arial" w:cs="Arial"/>
                <w:snapToGrid w:val="0"/>
              </w:rPr>
              <w:t>Negligible</w:t>
            </w:r>
          </w:p>
        </w:tc>
      </w:tr>
      <w:tr w:rsidR="009D3DC8" w14:paraId="537D2426" w14:textId="77777777">
        <w:trPr>
          <w:cantSplit/>
        </w:trPr>
        <w:tc>
          <w:tcPr>
            <w:tcW w:w="3850" w:type="dxa"/>
            <w:gridSpan w:val="3"/>
            <w:tcBorders>
              <w:top w:val="single" w:sz="8" w:space="0" w:color="C0C0C0"/>
              <w:left w:val="single" w:sz="8" w:space="0" w:color="auto"/>
              <w:bottom w:val="single" w:sz="8" w:space="0" w:color="C0C0C0"/>
            </w:tcBorders>
            <w:vAlign w:val="center"/>
          </w:tcPr>
          <w:p w14:paraId="7423D19A" w14:textId="77777777" w:rsidR="009D3DC8" w:rsidRDefault="009D3DC8">
            <w:pPr>
              <w:pStyle w:val="TableText1"/>
              <w:rPr>
                <w:rFonts w:ascii="Arial" w:hAnsi="Arial" w:cs="Arial"/>
              </w:rPr>
            </w:pPr>
            <w:r>
              <w:rPr>
                <w:rFonts w:ascii="Arial" w:hAnsi="Arial" w:cs="Arial"/>
                <w:b/>
                <w:bCs/>
              </w:rPr>
              <w:t>Low</w:t>
            </w:r>
          </w:p>
        </w:tc>
        <w:tc>
          <w:tcPr>
            <w:tcW w:w="1322" w:type="dxa"/>
            <w:tcBorders>
              <w:bottom w:val="single" w:sz="8" w:space="0" w:color="C0C0C0"/>
            </w:tcBorders>
            <w:shd w:val="clear" w:color="auto" w:fill="CCFFCC"/>
            <w:vAlign w:val="center"/>
          </w:tcPr>
          <w:p w14:paraId="1D2CEFB1" w14:textId="77777777" w:rsidR="009D3DC8" w:rsidRDefault="009D3DC8">
            <w:pPr>
              <w:pStyle w:val="TableText1"/>
              <w:rPr>
                <w:rFonts w:ascii="Arial" w:hAnsi="Arial" w:cs="Arial"/>
                <w:snapToGrid w:val="0"/>
              </w:rPr>
            </w:pPr>
            <w:r>
              <w:rPr>
                <w:rFonts w:ascii="Arial" w:hAnsi="Arial" w:cs="Arial"/>
                <w:snapToGrid w:val="0"/>
              </w:rPr>
              <w:t>Very low</w:t>
            </w:r>
          </w:p>
        </w:tc>
        <w:tc>
          <w:tcPr>
            <w:tcW w:w="1323" w:type="dxa"/>
            <w:shd w:val="clear" w:color="auto" w:fill="CCFFCC"/>
            <w:vAlign w:val="center"/>
          </w:tcPr>
          <w:p w14:paraId="5FF41EC2" w14:textId="77777777" w:rsidR="009D3DC8" w:rsidRDefault="009D3DC8">
            <w:pPr>
              <w:pStyle w:val="TableText1"/>
              <w:rPr>
                <w:rFonts w:ascii="Arial" w:hAnsi="Arial" w:cs="Arial"/>
                <w:snapToGrid w:val="0"/>
              </w:rPr>
            </w:pPr>
            <w:r>
              <w:rPr>
                <w:rFonts w:ascii="Arial" w:hAnsi="Arial" w:cs="Arial"/>
                <w:snapToGrid w:val="0"/>
              </w:rPr>
              <w:t>Very low</w:t>
            </w:r>
          </w:p>
        </w:tc>
        <w:tc>
          <w:tcPr>
            <w:tcW w:w="1323" w:type="dxa"/>
            <w:shd w:val="clear" w:color="auto" w:fill="CCFFFF"/>
            <w:vAlign w:val="center"/>
          </w:tcPr>
          <w:p w14:paraId="334CE0ED" w14:textId="77777777" w:rsidR="009D3DC8" w:rsidRDefault="009D3DC8">
            <w:pPr>
              <w:pStyle w:val="TableText1"/>
              <w:rPr>
                <w:rFonts w:ascii="Arial" w:hAnsi="Arial" w:cs="Arial"/>
                <w:snapToGrid w:val="0"/>
              </w:rPr>
            </w:pPr>
            <w:r>
              <w:rPr>
                <w:rFonts w:ascii="Arial" w:hAnsi="Arial" w:cs="Arial"/>
                <w:snapToGrid w:val="0"/>
              </w:rPr>
              <w:t>Extremely low</w:t>
            </w:r>
          </w:p>
        </w:tc>
        <w:tc>
          <w:tcPr>
            <w:tcW w:w="1323" w:type="dxa"/>
            <w:tcBorders>
              <w:right w:val="single" w:sz="8" w:space="0" w:color="auto"/>
            </w:tcBorders>
            <w:shd w:val="clear" w:color="auto" w:fill="CCCCFF"/>
            <w:vAlign w:val="center"/>
          </w:tcPr>
          <w:p w14:paraId="275DC5E2" w14:textId="77777777" w:rsidR="009D3DC8" w:rsidRDefault="009D3DC8">
            <w:pPr>
              <w:pStyle w:val="TableText1"/>
              <w:rPr>
                <w:rFonts w:ascii="Arial" w:hAnsi="Arial" w:cs="Arial"/>
                <w:snapToGrid w:val="0"/>
              </w:rPr>
            </w:pPr>
            <w:r>
              <w:rPr>
                <w:rFonts w:ascii="Arial" w:hAnsi="Arial" w:cs="Arial"/>
                <w:snapToGrid w:val="0"/>
              </w:rPr>
              <w:t>Negligible</w:t>
            </w:r>
          </w:p>
        </w:tc>
      </w:tr>
      <w:tr w:rsidR="009D3DC8" w14:paraId="16076F6D" w14:textId="77777777">
        <w:trPr>
          <w:cantSplit/>
        </w:trPr>
        <w:tc>
          <w:tcPr>
            <w:tcW w:w="5172" w:type="dxa"/>
            <w:gridSpan w:val="4"/>
            <w:tcBorders>
              <w:top w:val="single" w:sz="8" w:space="0" w:color="C0C0C0"/>
              <w:left w:val="single" w:sz="8" w:space="0" w:color="auto"/>
              <w:bottom w:val="single" w:sz="8" w:space="0" w:color="C0C0C0"/>
            </w:tcBorders>
            <w:vAlign w:val="center"/>
          </w:tcPr>
          <w:p w14:paraId="02E0B6BA" w14:textId="77777777" w:rsidR="009D3DC8" w:rsidRDefault="009D3DC8">
            <w:pPr>
              <w:pStyle w:val="TableText1"/>
              <w:rPr>
                <w:rFonts w:ascii="Arial" w:hAnsi="Arial" w:cs="Arial"/>
              </w:rPr>
            </w:pPr>
            <w:r>
              <w:rPr>
                <w:rFonts w:ascii="Arial" w:hAnsi="Arial" w:cs="Arial"/>
                <w:b/>
                <w:bCs/>
              </w:rPr>
              <w:t>Very low</w:t>
            </w:r>
          </w:p>
        </w:tc>
        <w:tc>
          <w:tcPr>
            <w:tcW w:w="1323" w:type="dxa"/>
            <w:tcBorders>
              <w:bottom w:val="single" w:sz="8" w:space="0" w:color="C0C0C0"/>
            </w:tcBorders>
            <w:shd w:val="clear" w:color="auto" w:fill="CCFFFF"/>
            <w:vAlign w:val="center"/>
          </w:tcPr>
          <w:p w14:paraId="01CEA6C9" w14:textId="77777777" w:rsidR="009D3DC8" w:rsidRDefault="009D3DC8">
            <w:pPr>
              <w:pStyle w:val="TableText1"/>
              <w:rPr>
                <w:rFonts w:ascii="Arial" w:hAnsi="Arial" w:cs="Arial"/>
                <w:snapToGrid w:val="0"/>
              </w:rPr>
            </w:pPr>
            <w:r>
              <w:rPr>
                <w:rFonts w:ascii="Arial" w:hAnsi="Arial" w:cs="Arial"/>
                <w:snapToGrid w:val="0"/>
              </w:rPr>
              <w:t>Extremely low</w:t>
            </w:r>
          </w:p>
        </w:tc>
        <w:tc>
          <w:tcPr>
            <w:tcW w:w="1323" w:type="dxa"/>
            <w:shd w:val="clear" w:color="auto" w:fill="CCFFFF"/>
            <w:vAlign w:val="center"/>
          </w:tcPr>
          <w:p w14:paraId="6FE11CC0" w14:textId="77777777" w:rsidR="009D3DC8" w:rsidRDefault="009D3DC8">
            <w:pPr>
              <w:pStyle w:val="TableText1"/>
              <w:rPr>
                <w:rFonts w:ascii="Arial" w:hAnsi="Arial" w:cs="Arial"/>
                <w:snapToGrid w:val="0"/>
              </w:rPr>
            </w:pPr>
            <w:r>
              <w:rPr>
                <w:rFonts w:ascii="Arial" w:hAnsi="Arial" w:cs="Arial"/>
                <w:snapToGrid w:val="0"/>
              </w:rPr>
              <w:t>Extremely low</w:t>
            </w:r>
          </w:p>
        </w:tc>
        <w:tc>
          <w:tcPr>
            <w:tcW w:w="1323" w:type="dxa"/>
            <w:tcBorders>
              <w:right w:val="single" w:sz="8" w:space="0" w:color="auto"/>
            </w:tcBorders>
            <w:shd w:val="clear" w:color="auto" w:fill="CCCCFF"/>
            <w:vAlign w:val="center"/>
          </w:tcPr>
          <w:p w14:paraId="2A18D746" w14:textId="77777777" w:rsidR="009D3DC8" w:rsidRDefault="009D3DC8">
            <w:pPr>
              <w:pStyle w:val="TableText1"/>
              <w:rPr>
                <w:rFonts w:ascii="Arial" w:hAnsi="Arial" w:cs="Arial"/>
                <w:snapToGrid w:val="0"/>
              </w:rPr>
            </w:pPr>
            <w:r>
              <w:rPr>
                <w:rFonts w:ascii="Arial" w:hAnsi="Arial" w:cs="Arial"/>
                <w:snapToGrid w:val="0"/>
              </w:rPr>
              <w:t>Negligible</w:t>
            </w:r>
          </w:p>
        </w:tc>
      </w:tr>
      <w:tr w:rsidR="009D3DC8" w14:paraId="02A26403" w14:textId="77777777">
        <w:trPr>
          <w:cantSplit/>
        </w:trPr>
        <w:tc>
          <w:tcPr>
            <w:tcW w:w="6495" w:type="dxa"/>
            <w:gridSpan w:val="5"/>
            <w:tcBorders>
              <w:top w:val="single" w:sz="8" w:space="0" w:color="C0C0C0"/>
              <w:left w:val="single" w:sz="8" w:space="0" w:color="auto"/>
              <w:bottom w:val="single" w:sz="8" w:space="0" w:color="C0C0C0"/>
            </w:tcBorders>
            <w:vAlign w:val="center"/>
          </w:tcPr>
          <w:p w14:paraId="364A57A7" w14:textId="77777777" w:rsidR="009D3DC8" w:rsidRDefault="009D3DC8">
            <w:pPr>
              <w:pStyle w:val="TableText1"/>
              <w:rPr>
                <w:rFonts w:ascii="Arial" w:hAnsi="Arial" w:cs="Arial"/>
              </w:rPr>
            </w:pPr>
            <w:r>
              <w:rPr>
                <w:rFonts w:ascii="Arial" w:hAnsi="Arial" w:cs="Arial"/>
                <w:b/>
                <w:bCs/>
              </w:rPr>
              <w:t>Extremely low</w:t>
            </w:r>
          </w:p>
        </w:tc>
        <w:tc>
          <w:tcPr>
            <w:tcW w:w="1323" w:type="dxa"/>
            <w:tcBorders>
              <w:bottom w:val="single" w:sz="8" w:space="0" w:color="C0C0C0"/>
            </w:tcBorders>
            <w:shd w:val="clear" w:color="auto" w:fill="CCCCFF"/>
            <w:vAlign w:val="center"/>
          </w:tcPr>
          <w:p w14:paraId="5D117E34" w14:textId="77777777" w:rsidR="009D3DC8" w:rsidRDefault="009D3DC8">
            <w:pPr>
              <w:pStyle w:val="TableText1"/>
              <w:rPr>
                <w:rFonts w:ascii="Arial" w:hAnsi="Arial" w:cs="Arial"/>
                <w:snapToGrid w:val="0"/>
              </w:rPr>
            </w:pPr>
            <w:r>
              <w:rPr>
                <w:rFonts w:ascii="Arial" w:hAnsi="Arial" w:cs="Arial"/>
                <w:snapToGrid w:val="0"/>
              </w:rPr>
              <w:t>Negligible</w:t>
            </w:r>
          </w:p>
        </w:tc>
        <w:tc>
          <w:tcPr>
            <w:tcW w:w="1323" w:type="dxa"/>
            <w:tcBorders>
              <w:right w:val="single" w:sz="8" w:space="0" w:color="auto"/>
            </w:tcBorders>
            <w:shd w:val="clear" w:color="auto" w:fill="CCCCFF"/>
            <w:vAlign w:val="center"/>
          </w:tcPr>
          <w:p w14:paraId="0323773F" w14:textId="77777777" w:rsidR="009D3DC8" w:rsidRDefault="009D3DC8">
            <w:pPr>
              <w:pStyle w:val="TableText1"/>
              <w:rPr>
                <w:rFonts w:ascii="Arial" w:hAnsi="Arial" w:cs="Arial"/>
                <w:snapToGrid w:val="0"/>
              </w:rPr>
            </w:pPr>
            <w:r>
              <w:rPr>
                <w:rFonts w:ascii="Arial" w:hAnsi="Arial" w:cs="Arial"/>
                <w:snapToGrid w:val="0"/>
              </w:rPr>
              <w:t>Negligible</w:t>
            </w:r>
          </w:p>
        </w:tc>
      </w:tr>
      <w:tr w:rsidR="009D3DC8" w14:paraId="036E7748" w14:textId="77777777">
        <w:trPr>
          <w:cantSplit/>
        </w:trPr>
        <w:tc>
          <w:tcPr>
            <w:tcW w:w="7818" w:type="dxa"/>
            <w:gridSpan w:val="6"/>
            <w:tcBorders>
              <w:top w:val="single" w:sz="8" w:space="0" w:color="C0C0C0"/>
              <w:left w:val="single" w:sz="8" w:space="0" w:color="auto"/>
              <w:bottom w:val="single" w:sz="8" w:space="0" w:color="auto"/>
            </w:tcBorders>
            <w:vAlign w:val="center"/>
          </w:tcPr>
          <w:p w14:paraId="2AE37C71" w14:textId="77777777" w:rsidR="009D3DC8" w:rsidRDefault="009D3DC8">
            <w:pPr>
              <w:pStyle w:val="TableText1"/>
              <w:rPr>
                <w:rFonts w:ascii="Arial" w:hAnsi="Arial" w:cs="Arial"/>
              </w:rPr>
            </w:pPr>
            <w:r>
              <w:rPr>
                <w:rFonts w:ascii="Arial" w:hAnsi="Arial" w:cs="Arial"/>
                <w:b/>
                <w:bCs/>
              </w:rPr>
              <w:t>Negligible</w:t>
            </w:r>
          </w:p>
        </w:tc>
        <w:tc>
          <w:tcPr>
            <w:tcW w:w="1323" w:type="dxa"/>
            <w:tcBorders>
              <w:bottom w:val="single" w:sz="8" w:space="0" w:color="auto"/>
              <w:right w:val="single" w:sz="8" w:space="0" w:color="auto"/>
            </w:tcBorders>
            <w:shd w:val="clear" w:color="auto" w:fill="CCCCFF"/>
            <w:vAlign w:val="center"/>
          </w:tcPr>
          <w:p w14:paraId="7429D21C" w14:textId="77777777" w:rsidR="009D3DC8" w:rsidRDefault="009D3DC8">
            <w:pPr>
              <w:pStyle w:val="TableText1"/>
              <w:rPr>
                <w:rFonts w:ascii="Arial" w:hAnsi="Arial" w:cs="Arial"/>
              </w:rPr>
            </w:pPr>
            <w:r>
              <w:rPr>
                <w:rFonts w:ascii="Arial" w:hAnsi="Arial" w:cs="Arial"/>
                <w:snapToGrid w:val="0"/>
              </w:rPr>
              <w:t>Negligible</w:t>
            </w:r>
          </w:p>
        </w:tc>
      </w:tr>
    </w:tbl>
    <w:p w14:paraId="3FE2C96B" w14:textId="77777777" w:rsidR="009D3DC8" w:rsidRDefault="009D3DC8">
      <w:pPr>
        <w:rPr>
          <w:rFonts w:ascii="Times New Roman" w:hAnsi="Times New Roman"/>
          <w:i/>
        </w:rPr>
      </w:pPr>
      <w:r>
        <w:rPr>
          <w:i/>
        </w:rPr>
        <w:br w:type="page"/>
      </w:r>
      <w:r>
        <w:rPr>
          <w:rFonts w:ascii="Times New Roman" w:hAnsi="Times New Roman"/>
          <w:i/>
        </w:rPr>
        <w:lastRenderedPageBreak/>
        <w:t>Time and volume of trade</w:t>
      </w:r>
    </w:p>
    <w:p w14:paraId="7A55D38D" w14:textId="77777777" w:rsidR="009D3DC8" w:rsidRDefault="009D3DC8">
      <w:pPr>
        <w:pStyle w:val="Body"/>
        <w:spacing w:before="180"/>
        <w:jc w:val="left"/>
        <w:rPr>
          <w:rFonts w:ascii="Times New Roman" w:hAnsi="Times New Roman"/>
        </w:rPr>
      </w:pPr>
      <w:r>
        <w:rPr>
          <w:rFonts w:ascii="Times New Roman" w:hAnsi="Times New Roman"/>
        </w:rPr>
        <w:t>One factor affecting the likelihood of entry is the volume and duration of trade. If all other conditions remain the same, the overall likelihood of entry will increase as time passes and the overall volume of trade increases.</w:t>
      </w:r>
    </w:p>
    <w:p w14:paraId="49A1C594" w14:textId="77777777" w:rsidR="009D3DC8" w:rsidRDefault="009D3DC8">
      <w:pPr>
        <w:pStyle w:val="Body"/>
        <w:spacing w:before="180"/>
        <w:jc w:val="left"/>
        <w:rPr>
          <w:rFonts w:ascii="Times New Roman" w:hAnsi="Times New Roman"/>
        </w:rPr>
      </w:pPr>
      <w:r>
        <w:rPr>
          <w:rFonts w:ascii="Times New Roman" w:hAnsi="Times New Roman"/>
        </w:rPr>
        <w:t>DAFF Biosecurity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5E259442" w14:textId="77777777" w:rsidR="009D3DC8" w:rsidRDefault="009D3DC8">
      <w:pPr>
        <w:pStyle w:val="Body"/>
        <w:spacing w:before="180"/>
        <w:jc w:val="left"/>
        <w:rPr>
          <w:rFonts w:ascii="Times New Roman" w:hAnsi="Times New Roman"/>
        </w:rPr>
      </w:pPr>
      <w:r>
        <w:rPr>
          <w:rFonts w:ascii="Times New Roman" w:hAnsi="Times New Roman"/>
        </w:rPr>
        <w:t>The use of a one year volume of trade has been taken into account when setting up the matrix that is used to estimate the risk and therefore any policy based on this analysis does not simply apply to one year of trade. Policy decisions that are based on DAFF Biosecurity’s method that uses the estimated volume of one year’s trade are consistent with Australia’s policy on appropriate level of protection and meet the Australian Government’s requirement for ongoing quarantine protection.</w:t>
      </w:r>
    </w:p>
    <w:p w14:paraId="62B58B7B" w14:textId="77777777" w:rsidR="009D3DC8" w:rsidRDefault="009D3DC8">
      <w:pPr>
        <w:pStyle w:val="Body"/>
        <w:spacing w:before="180"/>
        <w:jc w:val="left"/>
        <w:rPr>
          <w:rFonts w:ascii="Times New Roman" w:hAnsi="Times New Roman"/>
        </w:rPr>
      </w:pPr>
      <w:r>
        <w:rPr>
          <w:rFonts w:ascii="Times New Roman" w:hAnsi="Times New Roman"/>
        </w:rPr>
        <w:t>In assessing the volume of trade in this PRA, DAFF Biosecurity assumed that a substantial volume of trade will occur.</w:t>
      </w:r>
    </w:p>
    <w:p w14:paraId="69B4CFEA" w14:textId="77777777" w:rsidR="009D3DC8" w:rsidRDefault="009D3DC8">
      <w:pPr>
        <w:pStyle w:val="Heading3"/>
        <w:numPr>
          <w:ilvl w:val="2"/>
          <w:numId w:val="8"/>
        </w:numPr>
        <w:spacing w:line="240" w:lineRule="auto"/>
      </w:pPr>
      <w:r>
        <w:t>Assessment of potential consequences</w:t>
      </w:r>
    </w:p>
    <w:p w14:paraId="589922DE" w14:textId="77777777" w:rsidR="009D3DC8" w:rsidRDefault="009D3DC8">
      <w:pPr>
        <w:pStyle w:val="Body"/>
        <w:spacing w:before="180"/>
        <w:jc w:val="left"/>
        <w:rPr>
          <w:rFonts w:ascii="Times New Roman" w:hAnsi="Times New Roman"/>
        </w:rPr>
      </w:pPr>
      <w:r>
        <w:rPr>
          <w:rFonts w:ascii="Times New Roman" w:hAnsi="Times New Roman"/>
        </w:rPr>
        <w:t xml:space="preserve">The objective of the consequence assessment is to provide a structured and transparent analysis of the likely consequences if the pests or disease agents were to enter, establish and spread in </w:t>
      </w:r>
      <w:smartTag w:uri="urn:schemas-microsoft-com:office:smarttags" w:element="country-region">
        <w:smartTag w:uri="urn:schemas-microsoft-com:office:smarttags" w:element="place">
          <w:r>
            <w:rPr>
              <w:rFonts w:ascii="Times New Roman" w:hAnsi="Times New Roman"/>
            </w:rPr>
            <w:t>Australia</w:t>
          </w:r>
        </w:smartTag>
      </w:smartTag>
      <w:r>
        <w:rPr>
          <w:rFonts w:ascii="Times New Roman" w:hAnsi="Times New Roman"/>
        </w:rPr>
        <w:t>. The assessment considers direct and indirect pest effects and their economic and environmental consequences. The requirements for assessing potential consequences are given in Article 5.3 of the SPS Agreement (WTO 1995), ISPM 5 (FAO 2009) and ISPM 11 (FAO 2004).</w:t>
      </w:r>
    </w:p>
    <w:p w14:paraId="05DB76D8" w14:textId="77777777" w:rsidR="009D3DC8" w:rsidRDefault="009D3DC8">
      <w:pPr>
        <w:pStyle w:val="Body"/>
        <w:spacing w:before="180"/>
        <w:jc w:val="left"/>
        <w:rPr>
          <w:rFonts w:ascii="Times New Roman" w:hAnsi="Times New Roman"/>
        </w:rPr>
      </w:pPr>
      <w:r>
        <w:rPr>
          <w:rFonts w:ascii="Times New Roman" w:hAnsi="Times New Roman"/>
        </w:rPr>
        <w:t>Direct pest effects are considered in the context of the effects on:</w:t>
      </w:r>
    </w:p>
    <w:p w14:paraId="4F6AE7ED" w14:textId="77777777" w:rsidR="009D3DC8" w:rsidRDefault="009D3DC8">
      <w:pPr>
        <w:pStyle w:val="Bullets"/>
        <w:numPr>
          <w:ilvl w:val="0"/>
          <w:numId w:val="9"/>
        </w:numPr>
        <w:spacing w:before="120"/>
        <w:jc w:val="left"/>
      </w:pPr>
      <w:r>
        <w:t>plant life or health</w:t>
      </w:r>
    </w:p>
    <w:p w14:paraId="5350566C" w14:textId="77777777" w:rsidR="009D3DC8" w:rsidRDefault="009D3DC8">
      <w:pPr>
        <w:pStyle w:val="Bullets"/>
        <w:numPr>
          <w:ilvl w:val="0"/>
          <w:numId w:val="9"/>
        </w:numPr>
        <w:spacing w:before="120"/>
        <w:jc w:val="left"/>
      </w:pPr>
      <w:r>
        <w:t>other aspects of the environment.</w:t>
      </w:r>
    </w:p>
    <w:p w14:paraId="4C105995" w14:textId="77777777" w:rsidR="009D3DC8" w:rsidRDefault="009D3DC8">
      <w:pPr>
        <w:pStyle w:val="Body"/>
        <w:spacing w:before="180"/>
        <w:jc w:val="left"/>
        <w:rPr>
          <w:rFonts w:ascii="Times New Roman" w:hAnsi="Times New Roman"/>
        </w:rPr>
      </w:pPr>
      <w:r>
        <w:rPr>
          <w:rFonts w:ascii="Times New Roman" w:hAnsi="Times New Roman"/>
        </w:rPr>
        <w:t>Indirect pest effects are considered in the context of the effects on:</w:t>
      </w:r>
    </w:p>
    <w:p w14:paraId="2A4975A2" w14:textId="77777777" w:rsidR="009D3DC8" w:rsidRDefault="009D3DC8">
      <w:pPr>
        <w:pStyle w:val="Bullets"/>
        <w:numPr>
          <w:ilvl w:val="0"/>
          <w:numId w:val="9"/>
        </w:numPr>
        <w:spacing w:before="120"/>
        <w:jc w:val="left"/>
      </w:pPr>
      <w:r>
        <w:t>eradication, control, etc.</w:t>
      </w:r>
    </w:p>
    <w:p w14:paraId="5F328CC9" w14:textId="77777777" w:rsidR="009D3DC8" w:rsidRDefault="009D3DC8">
      <w:pPr>
        <w:pStyle w:val="Bullets"/>
        <w:numPr>
          <w:ilvl w:val="0"/>
          <w:numId w:val="9"/>
        </w:numPr>
        <w:spacing w:before="120"/>
        <w:jc w:val="left"/>
      </w:pPr>
      <w:r>
        <w:t>domestic trade</w:t>
      </w:r>
    </w:p>
    <w:p w14:paraId="314FD90E" w14:textId="77777777" w:rsidR="009D3DC8" w:rsidRDefault="009D3DC8">
      <w:pPr>
        <w:pStyle w:val="Bullets"/>
        <w:numPr>
          <w:ilvl w:val="0"/>
          <w:numId w:val="9"/>
        </w:numPr>
        <w:spacing w:before="120"/>
        <w:jc w:val="left"/>
      </w:pPr>
      <w:r>
        <w:t>international trade</w:t>
      </w:r>
    </w:p>
    <w:p w14:paraId="5F46C65A" w14:textId="77777777" w:rsidR="009D3DC8" w:rsidRDefault="009D3DC8">
      <w:pPr>
        <w:pStyle w:val="Bullets"/>
        <w:numPr>
          <w:ilvl w:val="0"/>
          <w:numId w:val="9"/>
        </w:numPr>
        <w:spacing w:before="120"/>
        <w:jc w:val="left"/>
      </w:pPr>
      <w:r>
        <w:t>environment.</w:t>
      </w:r>
    </w:p>
    <w:p w14:paraId="3934437C" w14:textId="77777777" w:rsidR="009D3DC8" w:rsidRDefault="009D3DC8">
      <w:pPr>
        <w:pStyle w:val="Body"/>
        <w:spacing w:before="180"/>
        <w:jc w:val="left"/>
        <w:rPr>
          <w:rFonts w:ascii="Times New Roman" w:hAnsi="Times New Roman"/>
        </w:rPr>
      </w:pPr>
      <w:r>
        <w:rPr>
          <w:rFonts w:ascii="Times New Roman" w:hAnsi="Times New Roman"/>
        </w:rPr>
        <w:t>For each of these six criteria, the consequences were estimated over four geographic levels, defined as:</w:t>
      </w:r>
    </w:p>
    <w:p w14:paraId="250DCF41" w14:textId="77777777" w:rsidR="009D3DC8" w:rsidRDefault="009D3DC8">
      <w:pPr>
        <w:pStyle w:val="Body"/>
        <w:spacing w:before="180"/>
        <w:jc w:val="left"/>
        <w:rPr>
          <w:rFonts w:ascii="Times New Roman" w:hAnsi="Times New Roman"/>
        </w:rPr>
      </w:pPr>
      <w:r>
        <w:rPr>
          <w:rFonts w:ascii="Times New Roman" w:hAnsi="Times New Roman"/>
          <w:b/>
        </w:rPr>
        <w:t>Local</w:t>
      </w:r>
      <w:r>
        <w:rPr>
          <w:rFonts w:ascii="Times New Roman" w:hAnsi="Times New Roman"/>
        </w:rPr>
        <w:t>: an aggregate of households or enterprises (a rural community, a town or a local government area).</w:t>
      </w:r>
    </w:p>
    <w:p w14:paraId="1DD4B6F9" w14:textId="77777777" w:rsidR="009D3DC8" w:rsidRDefault="009D3DC8">
      <w:pPr>
        <w:pStyle w:val="Body"/>
        <w:spacing w:before="180"/>
        <w:jc w:val="left"/>
        <w:rPr>
          <w:rFonts w:ascii="Times New Roman" w:hAnsi="Times New Roman"/>
        </w:rPr>
      </w:pPr>
      <w:r>
        <w:rPr>
          <w:rFonts w:ascii="Times New Roman" w:hAnsi="Times New Roman"/>
          <w:b/>
        </w:rPr>
        <w:lastRenderedPageBreak/>
        <w:t>District</w:t>
      </w:r>
      <w:r>
        <w:rPr>
          <w:rFonts w:ascii="Times New Roman" w:hAnsi="Times New Roman"/>
        </w:rPr>
        <w:t>: a geographically or geopolitically associated collection of aggregates (generally a recognised section of a state or territory, such as ‘Far North Queensland’).</w:t>
      </w:r>
    </w:p>
    <w:p w14:paraId="047C3771" w14:textId="77777777" w:rsidR="009D3DC8" w:rsidRDefault="009D3DC8">
      <w:pPr>
        <w:pStyle w:val="Body"/>
        <w:spacing w:before="180"/>
        <w:jc w:val="left"/>
        <w:rPr>
          <w:rFonts w:ascii="Times New Roman" w:hAnsi="Times New Roman"/>
        </w:rPr>
      </w:pPr>
      <w:r>
        <w:rPr>
          <w:rFonts w:ascii="Times New Roman" w:hAnsi="Times New Roman"/>
          <w:b/>
        </w:rPr>
        <w:t>Regional</w:t>
      </w:r>
      <w:r>
        <w:rPr>
          <w:rFonts w:ascii="Times New Roman" w:hAnsi="Times New Roman"/>
        </w:rPr>
        <w:t>: a geographically or geopolitically associated collection of districts in a geographic area (generally a state or territory, although there may be exceptions with larger states such as Western Australia).</w:t>
      </w:r>
    </w:p>
    <w:p w14:paraId="2C679A62" w14:textId="77777777" w:rsidR="009D3DC8" w:rsidRDefault="009D3DC8">
      <w:pPr>
        <w:pStyle w:val="Body"/>
        <w:spacing w:before="180"/>
        <w:jc w:val="left"/>
        <w:rPr>
          <w:rFonts w:ascii="Times New Roman" w:hAnsi="Times New Roman"/>
        </w:rPr>
      </w:pPr>
      <w:r>
        <w:rPr>
          <w:rFonts w:ascii="Times New Roman" w:hAnsi="Times New Roman"/>
          <w:b/>
        </w:rPr>
        <w:t>National</w:t>
      </w:r>
      <w:r>
        <w:rPr>
          <w:rFonts w:ascii="Times New Roman" w:hAnsi="Times New Roman"/>
        </w:rPr>
        <w:t>: Australia wide (Australian mainland states and territories and Tasmania).</w:t>
      </w:r>
    </w:p>
    <w:p w14:paraId="1D9A5B26" w14:textId="77777777" w:rsidR="009D3DC8" w:rsidRDefault="009D3DC8">
      <w:pPr>
        <w:pStyle w:val="Body"/>
        <w:spacing w:before="180"/>
        <w:jc w:val="left"/>
        <w:rPr>
          <w:rFonts w:ascii="Times New Roman" w:hAnsi="Times New Roman"/>
        </w:rPr>
      </w:pPr>
      <w:r>
        <w:rPr>
          <w:rFonts w:ascii="Times New Roman" w:hAnsi="Times New Roman"/>
        </w:rPr>
        <w:t>For each criterion, the magnitude of the potential consequence at each of these levels was described using four categories, defined as:</w:t>
      </w:r>
    </w:p>
    <w:p w14:paraId="45A78776" w14:textId="77777777" w:rsidR="009D3DC8" w:rsidRDefault="009D3DC8">
      <w:pPr>
        <w:pStyle w:val="Body"/>
        <w:spacing w:before="180"/>
        <w:jc w:val="left"/>
        <w:rPr>
          <w:rFonts w:ascii="Times New Roman" w:hAnsi="Times New Roman"/>
        </w:rPr>
      </w:pPr>
      <w:r>
        <w:rPr>
          <w:rFonts w:ascii="Times New Roman" w:hAnsi="Times New Roman"/>
          <w:b/>
        </w:rPr>
        <w:t>Indiscernible</w:t>
      </w:r>
      <w:r>
        <w:rPr>
          <w:rFonts w:ascii="Times New Roman" w:hAnsi="Times New Roman"/>
        </w:rPr>
        <w:t>: pest impact unlikely to be noticeable.</w:t>
      </w:r>
    </w:p>
    <w:p w14:paraId="47049EB8" w14:textId="77777777" w:rsidR="009D3DC8" w:rsidRDefault="009D3DC8">
      <w:pPr>
        <w:pStyle w:val="Body"/>
        <w:spacing w:before="180"/>
        <w:jc w:val="left"/>
        <w:rPr>
          <w:rFonts w:ascii="Times New Roman" w:hAnsi="Times New Roman"/>
        </w:rPr>
      </w:pPr>
      <w:r>
        <w:rPr>
          <w:rFonts w:ascii="Times New Roman" w:hAnsi="Times New Roman"/>
          <w:b/>
        </w:rPr>
        <w:t>Minor</w:t>
      </w:r>
      <w:r>
        <w:rPr>
          <w:rFonts w:ascii="Times New Roman" w:hAnsi="Times New Roman"/>
        </w:rPr>
        <w:t xml:space="preserve"> </w:t>
      </w:r>
      <w:r>
        <w:rPr>
          <w:rFonts w:ascii="Times New Roman" w:hAnsi="Times New Roman"/>
          <w:b/>
        </w:rPr>
        <w:t>significance</w:t>
      </w:r>
      <w:r>
        <w:rPr>
          <w:rFonts w:ascii="Times New Roman" w:hAnsi="Times New Roman"/>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1749E56B" w14:textId="77777777" w:rsidR="009D3DC8" w:rsidRDefault="009D3DC8">
      <w:pPr>
        <w:pStyle w:val="Body"/>
        <w:spacing w:before="180"/>
        <w:jc w:val="left"/>
        <w:rPr>
          <w:rFonts w:ascii="Times New Roman" w:hAnsi="Times New Roman"/>
        </w:rPr>
      </w:pPr>
      <w:r>
        <w:rPr>
          <w:rFonts w:ascii="Times New Roman" w:hAnsi="Times New Roman"/>
          <w:b/>
        </w:rPr>
        <w:t>Significant</w:t>
      </w:r>
      <w:r>
        <w:rPr>
          <w:rFonts w:ascii="Times New Roman" w:hAnsi="Times New Roman"/>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08F2F4EB" w14:textId="77777777" w:rsidR="009D3DC8" w:rsidRDefault="009D3DC8">
      <w:pPr>
        <w:pStyle w:val="Body"/>
        <w:spacing w:before="180"/>
        <w:jc w:val="left"/>
        <w:rPr>
          <w:rFonts w:ascii="Times New Roman" w:hAnsi="Times New Roman"/>
        </w:rPr>
      </w:pPr>
      <w:r>
        <w:rPr>
          <w:rFonts w:ascii="Times New Roman" w:hAnsi="Times New Roman"/>
          <w:b/>
        </w:rPr>
        <w:t>Major</w:t>
      </w:r>
      <w:r>
        <w:rPr>
          <w:rFonts w:ascii="Times New Roman" w:hAnsi="Times New Roman"/>
        </w:rPr>
        <w:t xml:space="preserve"> </w:t>
      </w:r>
      <w:r>
        <w:rPr>
          <w:rFonts w:ascii="Times New Roman" w:hAnsi="Times New Roman"/>
          <w:b/>
        </w:rPr>
        <w:t>significance</w:t>
      </w:r>
      <w:r>
        <w:rPr>
          <w:rFonts w:ascii="Times New Roman" w:hAnsi="Times New Roman"/>
        </w:rPr>
        <w:t>: expected to threaten the economic viability through a large increase in mortality/morbidity of hosts, or a large decrease in production. Expected to severely or irreversibly damage the intrinsic ‘value’ of non-commercial criteria.</w:t>
      </w:r>
    </w:p>
    <w:p w14:paraId="6BAA93F1" w14:textId="77777777" w:rsidR="009D3DC8" w:rsidRDefault="009D3DC8">
      <w:pPr>
        <w:pStyle w:val="BAText1bullet"/>
        <w:numPr>
          <w:ilvl w:val="0"/>
          <w:numId w:val="0"/>
        </w:numPr>
        <w:spacing w:before="180" w:after="180"/>
        <w:rPr>
          <w:rFonts w:ascii="Times New Roman" w:hAnsi="Times New Roman"/>
        </w:rPr>
      </w:pPr>
      <w:r>
        <w:rPr>
          <w:rFonts w:ascii="Times New Roman" w:hAnsi="Times New Roman"/>
        </w:rPr>
        <w:t>The estimates of the magnitude of the potential consequences over the four geographic levels were translated into a qualitative impact score (A-G)</w:t>
      </w:r>
      <w:r>
        <w:rPr>
          <w:rStyle w:val="FootnoteReference"/>
          <w:rFonts w:ascii="Times New Roman" w:hAnsi="Times New Roman"/>
        </w:rPr>
        <w:footnoteReference w:id="2"/>
      </w:r>
      <w:r>
        <w:rPr>
          <w:rFonts w:ascii="Times New Roman" w:hAnsi="Times New Roman"/>
        </w:rPr>
        <w:t xml:space="preserve"> using table 2.3</w:t>
      </w:r>
      <w:r>
        <w:rPr>
          <w:rStyle w:val="FootnoteReference"/>
          <w:rFonts w:ascii="Times New Roman" w:hAnsi="Times New Roman"/>
        </w:rPr>
        <w:footnoteReference w:id="3"/>
      </w:r>
      <w:r>
        <w:rPr>
          <w:rFonts w:ascii="Times New Roman" w:hAnsi="Times New Roman"/>
        </w:rPr>
        <w:t>. For example, a consequence with a magnitude of ‘significant’ at the ‘district’ level will have a consequence impact score of D.</w:t>
      </w:r>
    </w:p>
    <w:p w14:paraId="09FA63B7" w14:textId="77777777" w:rsidR="009D3DC8" w:rsidRDefault="009D3DC8">
      <w:pPr>
        <w:pStyle w:val="Table"/>
        <w:spacing w:before="200" w:after="0"/>
        <w:ind w:left="1440" w:hanging="1440"/>
      </w:pPr>
      <w:bookmarkStart w:id="37" w:name="_Toc261004350"/>
      <w:bookmarkStart w:id="38" w:name="_Toc325625794"/>
      <w:r>
        <w:t>Table 2.3</w:t>
      </w:r>
      <w:r>
        <w:tab/>
        <w:t>Decision rules for determining the consequence impact score based on the magnitude of consequences at four geographic scales</w:t>
      </w:r>
      <w:bookmarkEnd w:id="37"/>
      <w:bookmarkEnd w:id="38"/>
    </w:p>
    <w:tbl>
      <w:tblPr>
        <w:tblW w:w="5043" w:type="pct"/>
        <w:tblBorders>
          <w:top w:val="single" w:sz="4" w:space="0" w:color="auto"/>
          <w:left w:val="single" w:sz="4" w:space="0" w:color="auto"/>
          <w:bottom w:val="single" w:sz="4" w:space="0" w:color="auto"/>
          <w:right w:val="single" w:sz="4" w:space="0" w:color="auto"/>
        </w:tblBorders>
        <w:tblLayout w:type="fixed"/>
        <w:tblLook w:val="00AF" w:firstRow="1" w:lastRow="0" w:firstColumn="1" w:lastColumn="0" w:noHBand="0" w:noVBand="0"/>
      </w:tblPr>
      <w:tblGrid>
        <w:gridCol w:w="397"/>
        <w:gridCol w:w="2164"/>
        <w:gridCol w:w="1732"/>
        <w:gridCol w:w="1732"/>
        <w:gridCol w:w="1732"/>
        <w:gridCol w:w="1732"/>
      </w:tblGrid>
      <w:tr w:rsidR="009D3DC8" w14:paraId="3D69F605" w14:textId="77777777">
        <w:trPr>
          <w:cantSplit/>
        </w:trPr>
        <w:tc>
          <w:tcPr>
            <w:tcW w:w="391" w:type="dxa"/>
            <w:tcBorders>
              <w:top w:val="single" w:sz="4" w:space="0" w:color="auto"/>
              <w:bottom w:val="nil"/>
            </w:tcBorders>
          </w:tcPr>
          <w:p w14:paraId="65D00AF7" w14:textId="77777777" w:rsidR="009D3DC8" w:rsidRDefault="009D3DC8">
            <w:pPr>
              <w:pStyle w:val="TableText1"/>
            </w:pPr>
          </w:p>
        </w:tc>
        <w:tc>
          <w:tcPr>
            <w:tcW w:w="2126" w:type="dxa"/>
            <w:tcBorders>
              <w:top w:val="single" w:sz="4" w:space="0" w:color="auto"/>
              <w:bottom w:val="nil"/>
            </w:tcBorders>
          </w:tcPr>
          <w:p w14:paraId="79419B5D" w14:textId="77777777" w:rsidR="009D3DC8" w:rsidRDefault="009D3DC8">
            <w:pPr>
              <w:pStyle w:val="TableText1"/>
            </w:pPr>
          </w:p>
        </w:tc>
        <w:tc>
          <w:tcPr>
            <w:tcW w:w="6804" w:type="dxa"/>
            <w:gridSpan w:val="4"/>
            <w:tcBorders>
              <w:top w:val="single" w:sz="4" w:space="0" w:color="auto"/>
              <w:bottom w:val="single" w:sz="4" w:space="0" w:color="auto"/>
            </w:tcBorders>
          </w:tcPr>
          <w:p w14:paraId="64F245BB" w14:textId="77777777" w:rsidR="009D3DC8" w:rsidRDefault="009D3DC8">
            <w:pPr>
              <w:pStyle w:val="TableText1"/>
              <w:jc w:val="center"/>
              <w:rPr>
                <w:b/>
              </w:rPr>
            </w:pPr>
            <w:r>
              <w:rPr>
                <w:b/>
              </w:rPr>
              <w:t>Geographic scale</w:t>
            </w:r>
          </w:p>
        </w:tc>
      </w:tr>
      <w:tr w:rsidR="009D3DC8" w14:paraId="29165A90" w14:textId="77777777">
        <w:trPr>
          <w:cantSplit/>
        </w:trPr>
        <w:tc>
          <w:tcPr>
            <w:tcW w:w="391" w:type="dxa"/>
            <w:tcBorders>
              <w:top w:val="nil"/>
              <w:bottom w:val="nil"/>
            </w:tcBorders>
          </w:tcPr>
          <w:p w14:paraId="250FE48D" w14:textId="77777777" w:rsidR="009D3DC8" w:rsidRDefault="009D3DC8">
            <w:pPr>
              <w:pStyle w:val="TableText1"/>
            </w:pPr>
          </w:p>
        </w:tc>
        <w:tc>
          <w:tcPr>
            <w:tcW w:w="2126" w:type="dxa"/>
            <w:tcBorders>
              <w:top w:val="nil"/>
              <w:bottom w:val="single" w:sz="4" w:space="0" w:color="auto"/>
            </w:tcBorders>
          </w:tcPr>
          <w:p w14:paraId="6DBFBAAE" w14:textId="77777777" w:rsidR="009D3DC8" w:rsidRDefault="009D3DC8">
            <w:pPr>
              <w:pStyle w:val="TableText1"/>
            </w:pPr>
          </w:p>
        </w:tc>
        <w:tc>
          <w:tcPr>
            <w:tcW w:w="1701" w:type="dxa"/>
            <w:tcBorders>
              <w:top w:val="single" w:sz="4" w:space="0" w:color="auto"/>
              <w:bottom w:val="single" w:sz="4" w:space="0" w:color="auto"/>
            </w:tcBorders>
          </w:tcPr>
          <w:p w14:paraId="6F698DA9" w14:textId="77777777" w:rsidR="009D3DC8" w:rsidRDefault="009D3DC8">
            <w:pPr>
              <w:pStyle w:val="TableText1"/>
              <w:rPr>
                <w:b/>
              </w:rPr>
            </w:pPr>
            <w:r>
              <w:rPr>
                <w:b/>
              </w:rPr>
              <w:t>Local</w:t>
            </w:r>
          </w:p>
        </w:tc>
        <w:tc>
          <w:tcPr>
            <w:tcW w:w="1701" w:type="dxa"/>
            <w:tcBorders>
              <w:top w:val="single" w:sz="4" w:space="0" w:color="auto"/>
              <w:bottom w:val="single" w:sz="4" w:space="0" w:color="auto"/>
            </w:tcBorders>
          </w:tcPr>
          <w:p w14:paraId="3F6C6E54" w14:textId="77777777" w:rsidR="009D3DC8" w:rsidRDefault="009D3DC8">
            <w:pPr>
              <w:pStyle w:val="TableText1"/>
              <w:rPr>
                <w:b/>
              </w:rPr>
            </w:pPr>
            <w:r>
              <w:rPr>
                <w:b/>
              </w:rPr>
              <w:t>District</w:t>
            </w:r>
          </w:p>
        </w:tc>
        <w:tc>
          <w:tcPr>
            <w:tcW w:w="1701" w:type="dxa"/>
            <w:tcBorders>
              <w:top w:val="single" w:sz="4" w:space="0" w:color="auto"/>
              <w:bottom w:val="single" w:sz="4" w:space="0" w:color="auto"/>
            </w:tcBorders>
          </w:tcPr>
          <w:p w14:paraId="3DD14F94" w14:textId="77777777" w:rsidR="009D3DC8" w:rsidRDefault="009D3DC8">
            <w:pPr>
              <w:pStyle w:val="TableText1"/>
              <w:rPr>
                <w:b/>
              </w:rPr>
            </w:pPr>
            <w:r>
              <w:rPr>
                <w:b/>
              </w:rPr>
              <w:t>Region</w:t>
            </w:r>
          </w:p>
        </w:tc>
        <w:tc>
          <w:tcPr>
            <w:tcW w:w="1701" w:type="dxa"/>
            <w:tcBorders>
              <w:top w:val="single" w:sz="4" w:space="0" w:color="auto"/>
              <w:bottom w:val="single" w:sz="4" w:space="0" w:color="auto"/>
            </w:tcBorders>
          </w:tcPr>
          <w:p w14:paraId="21E6AA0C" w14:textId="77777777" w:rsidR="009D3DC8" w:rsidRDefault="009D3DC8">
            <w:pPr>
              <w:pStyle w:val="TableText1"/>
              <w:rPr>
                <w:b/>
              </w:rPr>
            </w:pPr>
            <w:r>
              <w:rPr>
                <w:b/>
              </w:rPr>
              <w:t>Nation</w:t>
            </w:r>
          </w:p>
        </w:tc>
      </w:tr>
      <w:tr w:rsidR="009D3DC8" w14:paraId="10E226FE" w14:textId="77777777">
        <w:trPr>
          <w:cantSplit/>
          <w:trHeight w:val="273"/>
        </w:trPr>
        <w:tc>
          <w:tcPr>
            <w:tcW w:w="391" w:type="dxa"/>
            <w:vMerge w:val="restart"/>
            <w:tcBorders>
              <w:top w:val="nil"/>
              <w:bottom w:val="single" w:sz="4" w:space="0" w:color="auto"/>
              <w:right w:val="single" w:sz="4" w:space="0" w:color="auto"/>
            </w:tcBorders>
            <w:textDirection w:val="btLr"/>
          </w:tcPr>
          <w:p w14:paraId="599D15BC" w14:textId="77777777" w:rsidR="009D3DC8" w:rsidRDefault="009D3DC8">
            <w:pPr>
              <w:pStyle w:val="TableText1"/>
              <w:jc w:val="center"/>
              <w:rPr>
                <w:b/>
              </w:rPr>
            </w:pPr>
            <w:r>
              <w:rPr>
                <w:b/>
              </w:rPr>
              <w:t>Magnitude</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14:paraId="7A57BBD0" w14:textId="77777777" w:rsidR="009D3DC8" w:rsidRDefault="009D3DC8">
            <w:pPr>
              <w:pStyle w:val="TableText1"/>
            </w:pPr>
            <w:r>
              <w:t>Indiscernible</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12CD17B2" w14:textId="77777777" w:rsidR="009D3DC8" w:rsidRDefault="009D3DC8">
            <w:pPr>
              <w:pStyle w:val="TableText1"/>
            </w:pPr>
            <w:r>
              <w:t>A</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6112C853" w14:textId="77777777" w:rsidR="009D3DC8" w:rsidRDefault="009D3DC8">
            <w:pPr>
              <w:pStyle w:val="TableText1"/>
            </w:pPr>
            <w:r>
              <w:t>A</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289C0EFE" w14:textId="77777777" w:rsidR="009D3DC8" w:rsidRDefault="009D3DC8">
            <w:pPr>
              <w:pStyle w:val="TableText1"/>
            </w:pPr>
            <w:r>
              <w:t>A</w:t>
            </w:r>
          </w:p>
        </w:tc>
        <w:tc>
          <w:tcPr>
            <w:tcW w:w="1701" w:type="dxa"/>
            <w:tcBorders>
              <w:top w:val="single" w:sz="4" w:space="0" w:color="auto"/>
              <w:left w:val="single" w:sz="4" w:space="0" w:color="auto"/>
              <w:bottom w:val="single" w:sz="4" w:space="0" w:color="auto"/>
            </w:tcBorders>
            <w:shd w:val="clear" w:color="auto" w:fill="CCFFCC"/>
            <w:vAlign w:val="center"/>
          </w:tcPr>
          <w:p w14:paraId="05F7DCE6" w14:textId="77777777" w:rsidR="009D3DC8" w:rsidRDefault="009D3DC8">
            <w:pPr>
              <w:pStyle w:val="TableText1"/>
            </w:pPr>
            <w:r>
              <w:t>A</w:t>
            </w:r>
          </w:p>
        </w:tc>
      </w:tr>
      <w:tr w:rsidR="009D3DC8" w14:paraId="41A269D5" w14:textId="77777777">
        <w:trPr>
          <w:cantSplit/>
          <w:trHeight w:val="207"/>
        </w:trPr>
        <w:tc>
          <w:tcPr>
            <w:tcW w:w="391" w:type="dxa"/>
            <w:vMerge/>
            <w:tcBorders>
              <w:top w:val="single" w:sz="4" w:space="0" w:color="auto"/>
              <w:bottom w:val="single" w:sz="4" w:space="0" w:color="auto"/>
              <w:right w:val="single" w:sz="4" w:space="0" w:color="auto"/>
            </w:tcBorders>
          </w:tcPr>
          <w:p w14:paraId="4EFEA408" w14:textId="77777777" w:rsidR="009D3DC8" w:rsidRDefault="009D3DC8">
            <w:pPr>
              <w:pStyle w:val="TableText1"/>
            </w:pPr>
          </w:p>
        </w:tc>
        <w:tc>
          <w:tcPr>
            <w:tcW w:w="2126" w:type="dxa"/>
            <w:tcBorders>
              <w:top w:val="single" w:sz="4" w:space="0" w:color="auto"/>
              <w:left w:val="single" w:sz="4" w:space="0" w:color="auto"/>
              <w:bottom w:val="single" w:sz="4" w:space="0" w:color="auto"/>
              <w:right w:val="single" w:sz="4" w:space="0" w:color="auto"/>
            </w:tcBorders>
            <w:shd w:val="clear" w:color="auto" w:fill="FFFF99"/>
            <w:vAlign w:val="center"/>
          </w:tcPr>
          <w:p w14:paraId="19E7A4DE" w14:textId="77777777" w:rsidR="009D3DC8" w:rsidRDefault="009D3DC8">
            <w:pPr>
              <w:pStyle w:val="TableText1"/>
            </w:pPr>
            <w:r>
              <w:t>Minor significance</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14:paraId="66ACA9F2" w14:textId="77777777" w:rsidR="009D3DC8" w:rsidRDefault="009D3DC8">
            <w:pPr>
              <w:pStyle w:val="TableText1"/>
            </w:pPr>
            <w:r>
              <w:t>B</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14:paraId="090085D4" w14:textId="77777777" w:rsidR="009D3DC8" w:rsidRDefault="009D3DC8">
            <w:pPr>
              <w:pStyle w:val="TableText1"/>
            </w:pPr>
            <w:r>
              <w:t>C</w:t>
            </w:r>
          </w:p>
        </w:tc>
        <w:tc>
          <w:tcPr>
            <w:tcW w:w="1701" w:type="dxa"/>
            <w:tcBorders>
              <w:top w:val="single" w:sz="4" w:space="0" w:color="auto"/>
              <w:left w:val="single" w:sz="4" w:space="0" w:color="auto"/>
              <w:bottom w:val="single" w:sz="4" w:space="0" w:color="auto"/>
              <w:right w:val="single" w:sz="4" w:space="0" w:color="auto"/>
            </w:tcBorders>
            <w:shd w:val="clear" w:color="auto" w:fill="FFFF99"/>
          </w:tcPr>
          <w:p w14:paraId="741AD27B" w14:textId="77777777" w:rsidR="009D3DC8" w:rsidRDefault="009D3DC8">
            <w:pPr>
              <w:pStyle w:val="TableText1"/>
            </w:pPr>
            <w:r>
              <w:t>D</w:t>
            </w:r>
          </w:p>
        </w:tc>
        <w:tc>
          <w:tcPr>
            <w:tcW w:w="1701" w:type="dxa"/>
            <w:tcBorders>
              <w:top w:val="single" w:sz="4" w:space="0" w:color="auto"/>
              <w:left w:val="single" w:sz="4" w:space="0" w:color="auto"/>
              <w:bottom w:val="single" w:sz="4" w:space="0" w:color="auto"/>
            </w:tcBorders>
            <w:shd w:val="clear" w:color="auto" w:fill="FFFF99"/>
          </w:tcPr>
          <w:p w14:paraId="4409A8ED" w14:textId="77777777" w:rsidR="009D3DC8" w:rsidRDefault="009D3DC8">
            <w:pPr>
              <w:pStyle w:val="TableText1"/>
            </w:pPr>
            <w:r>
              <w:t>E</w:t>
            </w:r>
          </w:p>
        </w:tc>
      </w:tr>
      <w:tr w:rsidR="009D3DC8" w14:paraId="6F2D23FC" w14:textId="77777777">
        <w:trPr>
          <w:cantSplit/>
        </w:trPr>
        <w:tc>
          <w:tcPr>
            <w:tcW w:w="391" w:type="dxa"/>
            <w:vMerge/>
            <w:tcBorders>
              <w:top w:val="single" w:sz="4" w:space="0" w:color="auto"/>
              <w:bottom w:val="single" w:sz="4" w:space="0" w:color="auto"/>
              <w:right w:val="single" w:sz="4" w:space="0" w:color="auto"/>
            </w:tcBorders>
          </w:tcPr>
          <w:p w14:paraId="0EC2F323" w14:textId="77777777" w:rsidR="009D3DC8" w:rsidRDefault="009D3DC8">
            <w:pPr>
              <w:pStyle w:val="TableText1"/>
            </w:pPr>
          </w:p>
        </w:tc>
        <w:tc>
          <w:tcPr>
            <w:tcW w:w="2126" w:type="dxa"/>
            <w:tcBorders>
              <w:top w:val="single" w:sz="4" w:space="0" w:color="auto"/>
              <w:left w:val="single" w:sz="4" w:space="0" w:color="auto"/>
              <w:bottom w:val="single" w:sz="4" w:space="0" w:color="auto"/>
              <w:right w:val="single" w:sz="4" w:space="0" w:color="auto"/>
            </w:tcBorders>
            <w:shd w:val="clear" w:color="auto" w:fill="FFCC99"/>
            <w:vAlign w:val="center"/>
          </w:tcPr>
          <w:p w14:paraId="67F648A0" w14:textId="77777777" w:rsidR="009D3DC8" w:rsidRDefault="009D3DC8">
            <w:pPr>
              <w:pStyle w:val="TableText1"/>
            </w:pPr>
            <w:r>
              <w:t>Significant</w:t>
            </w:r>
          </w:p>
        </w:tc>
        <w:tc>
          <w:tcPr>
            <w:tcW w:w="1701" w:type="dxa"/>
            <w:tcBorders>
              <w:top w:val="single" w:sz="4" w:space="0" w:color="auto"/>
              <w:left w:val="single" w:sz="4" w:space="0" w:color="auto"/>
              <w:bottom w:val="single" w:sz="4" w:space="0" w:color="auto"/>
              <w:right w:val="single" w:sz="4" w:space="0" w:color="auto"/>
            </w:tcBorders>
            <w:shd w:val="clear" w:color="auto" w:fill="FFCC99"/>
            <w:vAlign w:val="center"/>
          </w:tcPr>
          <w:p w14:paraId="6E4D03D4" w14:textId="77777777" w:rsidR="009D3DC8" w:rsidRDefault="009D3DC8">
            <w:pPr>
              <w:pStyle w:val="TableText1"/>
            </w:pPr>
            <w:r>
              <w:t>C</w:t>
            </w:r>
          </w:p>
        </w:tc>
        <w:tc>
          <w:tcPr>
            <w:tcW w:w="1701" w:type="dxa"/>
            <w:tcBorders>
              <w:top w:val="single" w:sz="4" w:space="0" w:color="auto"/>
              <w:left w:val="single" w:sz="4" w:space="0" w:color="auto"/>
              <w:bottom w:val="single" w:sz="4" w:space="0" w:color="auto"/>
              <w:right w:val="single" w:sz="4" w:space="0" w:color="auto"/>
            </w:tcBorders>
            <w:shd w:val="clear" w:color="auto" w:fill="FFCC99"/>
            <w:vAlign w:val="center"/>
          </w:tcPr>
          <w:p w14:paraId="1B98D6D3" w14:textId="77777777" w:rsidR="009D3DC8" w:rsidRDefault="009D3DC8">
            <w:pPr>
              <w:pStyle w:val="TableText1"/>
            </w:pPr>
            <w:r>
              <w:t>D</w:t>
            </w:r>
          </w:p>
        </w:tc>
        <w:tc>
          <w:tcPr>
            <w:tcW w:w="1701" w:type="dxa"/>
            <w:tcBorders>
              <w:top w:val="single" w:sz="4" w:space="0" w:color="auto"/>
              <w:left w:val="single" w:sz="4" w:space="0" w:color="auto"/>
              <w:bottom w:val="single" w:sz="4" w:space="0" w:color="auto"/>
              <w:right w:val="single" w:sz="4" w:space="0" w:color="auto"/>
            </w:tcBorders>
            <w:shd w:val="clear" w:color="auto" w:fill="FFCC99"/>
          </w:tcPr>
          <w:p w14:paraId="51762B67" w14:textId="77777777" w:rsidR="009D3DC8" w:rsidRDefault="009D3DC8">
            <w:pPr>
              <w:pStyle w:val="TableText1"/>
            </w:pPr>
            <w:r>
              <w:t>E</w:t>
            </w:r>
          </w:p>
        </w:tc>
        <w:tc>
          <w:tcPr>
            <w:tcW w:w="1701" w:type="dxa"/>
            <w:tcBorders>
              <w:top w:val="single" w:sz="4" w:space="0" w:color="auto"/>
              <w:left w:val="single" w:sz="4" w:space="0" w:color="auto"/>
              <w:bottom w:val="single" w:sz="4" w:space="0" w:color="auto"/>
            </w:tcBorders>
            <w:shd w:val="clear" w:color="auto" w:fill="FFCC99"/>
          </w:tcPr>
          <w:p w14:paraId="3D6BE496" w14:textId="77777777" w:rsidR="009D3DC8" w:rsidRDefault="009D3DC8">
            <w:pPr>
              <w:pStyle w:val="TableText1"/>
            </w:pPr>
            <w:r>
              <w:t>F</w:t>
            </w:r>
          </w:p>
        </w:tc>
      </w:tr>
      <w:tr w:rsidR="009D3DC8" w14:paraId="2E0989D7" w14:textId="77777777">
        <w:trPr>
          <w:cantSplit/>
          <w:trHeight w:val="203"/>
        </w:trPr>
        <w:tc>
          <w:tcPr>
            <w:tcW w:w="391" w:type="dxa"/>
            <w:vMerge/>
            <w:tcBorders>
              <w:top w:val="single" w:sz="4" w:space="0" w:color="auto"/>
              <w:bottom w:val="single" w:sz="4" w:space="0" w:color="auto"/>
              <w:right w:val="single" w:sz="4" w:space="0" w:color="auto"/>
            </w:tcBorders>
          </w:tcPr>
          <w:p w14:paraId="31CA5E0E" w14:textId="77777777" w:rsidR="009D3DC8" w:rsidRDefault="009D3DC8">
            <w:pPr>
              <w:pStyle w:val="TableText1"/>
            </w:pPr>
          </w:p>
        </w:tc>
        <w:tc>
          <w:tcPr>
            <w:tcW w:w="2126" w:type="dxa"/>
            <w:tcBorders>
              <w:top w:val="single" w:sz="4" w:space="0" w:color="auto"/>
              <w:left w:val="single" w:sz="4" w:space="0" w:color="auto"/>
              <w:bottom w:val="single" w:sz="4" w:space="0" w:color="auto"/>
              <w:right w:val="single" w:sz="4" w:space="0" w:color="auto"/>
            </w:tcBorders>
            <w:shd w:val="clear" w:color="auto" w:fill="FFCCCC"/>
            <w:vAlign w:val="center"/>
          </w:tcPr>
          <w:p w14:paraId="3B86FAF4" w14:textId="77777777" w:rsidR="009D3DC8" w:rsidRDefault="009D3DC8">
            <w:pPr>
              <w:pStyle w:val="TableText1"/>
            </w:pPr>
            <w:r>
              <w:t>Major significance</w:t>
            </w:r>
          </w:p>
        </w:tc>
        <w:tc>
          <w:tcPr>
            <w:tcW w:w="1701" w:type="dxa"/>
            <w:tcBorders>
              <w:top w:val="single" w:sz="4" w:space="0" w:color="auto"/>
              <w:left w:val="single" w:sz="4" w:space="0" w:color="auto"/>
              <w:bottom w:val="single" w:sz="4" w:space="0" w:color="auto"/>
              <w:right w:val="single" w:sz="4" w:space="0" w:color="auto"/>
            </w:tcBorders>
            <w:shd w:val="clear" w:color="auto" w:fill="FFCCCC"/>
            <w:vAlign w:val="center"/>
          </w:tcPr>
          <w:p w14:paraId="44564180" w14:textId="77777777" w:rsidR="009D3DC8" w:rsidRDefault="009D3DC8">
            <w:pPr>
              <w:pStyle w:val="TableText1"/>
            </w:pPr>
            <w:r>
              <w:t>D</w:t>
            </w:r>
          </w:p>
        </w:tc>
        <w:tc>
          <w:tcPr>
            <w:tcW w:w="1701" w:type="dxa"/>
            <w:tcBorders>
              <w:top w:val="single" w:sz="4" w:space="0" w:color="auto"/>
              <w:left w:val="single" w:sz="4" w:space="0" w:color="auto"/>
              <w:bottom w:val="single" w:sz="4" w:space="0" w:color="auto"/>
              <w:right w:val="single" w:sz="4" w:space="0" w:color="auto"/>
            </w:tcBorders>
            <w:shd w:val="clear" w:color="auto" w:fill="FFCCCC"/>
            <w:vAlign w:val="center"/>
          </w:tcPr>
          <w:p w14:paraId="3C1BA3B1" w14:textId="77777777" w:rsidR="009D3DC8" w:rsidRDefault="009D3DC8">
            <w:pPr>
              <w:pStyle w:val="TableText1"/>
            </w:pPr>
            <w:r>
              <w:t>E</w:t>
            </w:r>
          </w:p>
        </w:tc>
        <w:tc>
          <w:tcPr>
            <w:tcW w:w="1701" w:type="dxa"/>
            <w:tcBorders>
              <w:top w:val="single" w:sz="4" w:space="0" w:color="auto"/>
              <w:left w:val="single" w:sz="4" w:space="0" w:color="auto"/>
              <w:bottom w:val="single" w:sz="4" w:space="0" w:color="auto"/>
              <w:right w:val="single" w:sz="4" w:space="0" w:color="auto"/>
            </w:tcBorders>
            <w:shd w:val="clear" w:color="auto" w:fill="FFCCCC"/>
            <w:vAlign w:val="center"/>
          </w:tcPr>
          <w:p w14:paraId="0B638F20" w14:textId="77777777" w:rsidR="009D3DC8" w:rsidRDefault="009D3DC8">
            <w:pPr>
              <w:pStyle w:val="TableText1"/>
            </w:pPr>
            <w:r>
              <w:t>F</w:t>
            </w:r>
          </w:p>
        </w:tc>
        <w:tc>
          <w:tcPr>
            <w:tcW w:w="1701" w:type="dxa"/>
            <w:tcBorders>
              <w:top w:val="single" w:sz="4" w:space="0" w:color="auto"/>
              <w:left w:val="single" w:sz="4" w:space="0" w:color="auto"/>
              <w:bottom w:val="single" w:sz="4" w:space="0" w:color="auto"/>
            </w:tcBorders>
            <w:shd w:val="clear" w:color="auto" w:fill="FFCCCC"/>
          </w:tcPr>
          <w:p w14:paraId="05767F97" w14:textId="77777777" w:rsidR="009D3DC8" w:rsidRDefault="009D3DC8">
            <w:pPr>
              <w:pStyle w:val="TableText1"/>
            </w:pPr>
            <w:r>
              <w:t>G</w:t>
            </w:r>
          </w:p>
        </w:tc>
      </w:tr>
    </w:tbl>
    <w:p w14:paraId="3EF9C99C" w14:textId="77777777" w:rsidR="009D3DC8" w:rsidRDefault="009D3DC8">
      <w:pPr>
        <w:pStyle w:val="Body"/>
        <w:spacing w:before="80"/>
        <w:rPr>
          <w:rFonts w:ascii="Times New Roman" w:hAnsi="Times New Roman"/>
        </w:rPr>
      </w:pPr>
      <w:r>
        <w:rPr>
          <w:rFonts w:ascii="Times New Roman" w:hAnsi="Times New Roman"/>
        </w:rPr>
        <w:t>The overall consequence for each pest is achieved by combining the qualitative impact scores (A–G) for each direct and indirect consequence using a series of decision rules (Table 2.4). These rules are mutually exclusive, and are assessed in numerical order until one applies.</w:t>
      </w:r>
      <w:r>
        <w:rPr>
          <w:rFonts w:ascii="Times New Roman" w:hAnsi="Times New Roman"/>
        </w:rPr>
        <w:br w:type="page"/>
      </w:r>
    </w:p>
    <w:tbl>
      <w:tblPr>
        <w:tblpPr w:leftFromText="180" w:rightFromText="180" w:vertAnchor="text" w:horzAnchor="margin" w:tblpY="531"/>
        <w:tblW w:w="5000" w:type="pct"/>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Layout w:type="fixed"/>
        <w:tblCellMar>
          <w:left w:w="115" w:type="dxa"/>
          <w:right w:w="115" w:type="dxa"/>
        </w:tblCellMar>
        <w:tblLook w:val="00BF" w:firstRow="1" w:lastRow="0" w:firstColumn="1" w:lastColumn="0" w:noHBand="0" w:noVBand="0"/>
      </w:tblPr>
      <w:tblGrid>
        <w:gridCol w:w="664"/>
        <w:gridCol w:w="5803"/>
        <w:gridCol w:w="2955"/>
      </w:tblGrid>
      <w:tr w:rsidR="009D3DC8" w14:paraId="7B326895" w14:textId="77777777">
        <w:tc>
          <w:tcPr>
            <w:tcW w:w="664" w:type="dxa"/>
            <w:tcBorders>
              <w:top w:val="single" w:sz="8" w:space="0" w:color="auto"/>
              <w:bottom w:val="single" w:sz="8" w:space="0" w:color="C0C0C0"/>
            </w:tcBorders>
            <w:shd w:val="clear" w:color="auto" w:fill="D9D9D9"/>
          </w:tcPr>
          <w:p w14:paraId="0FB82A9C" w14:textId="77777777" w:rsidR="009D3DC8" w:rsidRDefault="009D3DC8">
            <w:pPr>
              <w:pStyle w:val="TableText1"/>
              <w:spacing w:before="40" w:after="0" w:line="240" w:lineRule="auto"/>
              <w:rPr>
                <w:rFonts w:ascii="Arial" w:hAnsi="Arial" w:cs="Arial"/>
                <w:b/>
                <w:bCs/>
              </w:rPr>
            </w:pPr>
            <w:r>
              <w:rPr>
                <w:rFonts w:ascii="Arial" w:hAnsi="Arial" w:cs="Arial"/>
                <w:b/>
                <w:bCs/>
              </w:rPr>
              <w:t>Rule</w:t>
            </w:r>
          </w:p>
        </w:tc>
        <w:tc>
          <w:tcPr>
            <w:tcW w:w="5803" w:type="dxa"/>
            <w:tcBorders>
              <w:top w:val="single" w:sz="8" w:space="0" w:color="auto"/>
              <w:bottom w:val="single" w:sz="8" w:space="0" w:color="C0C0C0"/>
            </w:tcBorders>
            <w:shd w:val="clear" w:color="auto" w:fill="D9D9D9"/>
          </w:tcPr>
          <w:p w14:paraId="27475A58" w14:textId="77777777" w:rsidR="009D3DC8" w:rsidRDefault="009D3DC8">
            <w:pPr>
              <w:pStyle w:val="TableText1"/>
              <w:spacing w:before="40" w:after="0" w:line="240" w:lineRule="auto"/>
              <w:rPr>
                <w:rFonts w:ascii="Arial" w:hAnsi="Arial" w:cs="Arial"/>
                <w:b/>
                <w:bCs/>
              </w:rPr>
            </w:pPr>
            <w:r>
              <w:rPr>
                <w:rFonts w:ascii="Arial" w:hAnsi="Arial" w:cs="Arial"/>
                <w:b/>
                <w:bCs/>
              </w:rPr>
              <w:t>The impact scores for consequences of direct and indirect criteria</w:t>
            </w:r>
          </w:p>
        </w:tc>
        <w:tc>
          <w:tcPr>
            <w:tcW w:w="2955" w:type="dxa"/>
            <w:tcBorders>
              <w:top w:val="single" w:sz="8" w:space="0" w:color="auto"/>
              <w:bottom w:val="single" w:sz="8" w:space="0" w:color="C0C0C0"/>
            </w:tcBorders>
            <w:shd w:val="clear" w:color="auto" w:fill="D9D9D9"/>
          </w:tcPr>
          <w:p w14:paraId="7761BA3B" w14:textId="77777777" w:rsidR="009D3DC8" w:rsidRDefault="009D3DC8">
            <w:pPr>
              <w:pStyle w:val="TableText1"/>
              <w:spacing w:before="40" w:after="0" w:line="240" w:lineRule="auto"/>
              <w:rPr>
                <w:rFonts w:ascii="Arial" w:hAnsi="Arial" w:cs="Arial"/>
                <w:b/>
                <w:bCs/>
              </w:rPr>
            </w:pPr>
            <w:r>
              <w:rPr>
                <w:rFonts w:ascii="Arial" w:hAnsi="Arial" w:cs="Arial"/>
                <w:b/>
                <w:bCs/>
              </w:rPr>
              <w:t>Overall consequence rating</w:t>
            </w:r>
          </w:p>
        </w:tc>
      </w:tr>
      <w:tr w:rsidR="009D3DC8" w14:paraId="03276148" w14:textId="77777777">
        <w:tc>
          <w:tcPr>
            <w:tcW w:w="664" w:type="dxa"/>
            <w:tcBorders>
              <w:top w:val="single" w:sz="8" w:space="0" w:color="C0C0C0"/>
            </w:tcBorders>
          </w:tcPr>
          <w:p w14:paraId="57E325C5" w14:textId="77777777" w:rsidR="009D3DC8" w:rsidRDefault="009D3DC8">
            <w:pPr>
              <w:pStyle w:val="TableText1"/>
              <w:spacing w:before="40" w:after="0" w:line="240" w:lineRule="auto"/>
              <w:rPr>
                <w:rFonts w:ascii="Arial" w:hAnsi="Arial" w:cs="Arial"/>
              </w:rPr>
            </w:pPr>
            <w:r>
              <w:rPr>
                <w:rFonts w:ascii="Arial" w:hAnsi="Arial" w:cs="Arial"/>
              </w:rPr>
              <w:t>1</w:t>
            </w:r>
          </w:p>
        </w:tc>
        <w:tc>
          <w:tcPr>
            <w:tcW w:w="5803" w:type="dxa"/>
            <w:tcBorders>
              <w:top w:val="single" w:sz="8" w:space="0" w:color="C0C0C0"/>
            </w:tcBorders>
          </w:tcPr>
          <w:p w14:paraId="402CEA55" w14:textId="77777777" w:rsidR="009D3DC8" w:rsidRDefault="009D3DC8">
            <w:pPr>
              <w:pStyle w:val="TableText1"/>
              <w:spacing w:before="40" w:after="0" w:line="240" w:lineRule="auto"/>
              <w:rPr>
                <w:rFonts w:ascii="Arial" w:hAnsi="Arial" w:cs="Arial"/>
              </w:rPr>
            </w:pPr>
            <w:r>
              <w:rPr>
                <w:rFonts w:ascii="Arial" w:hAnsi="Arial" w:cs="Arial"/>
              </w:rPr>
              <w:t>Any criterion has an impact of ‘G’; or</w:t>
            </w:r>
          </w:p>
          <w:p w14:paraId="16268AB6" w14:textId="77777777" w:rsidR="009D3DC8" w:rsidRDefault="009D3DC8">
            <w:pPr>
              <w:pStyle w:val="TableText1"/>
              <w:spacing w:before="40" w:after="0" w:line="240" w:lineRule="auto"/>
              <w:rPr>
                <w:rFonts w:ascii="Arial" w:hAnsi="Arial" w:cs="Arial"/>
              </w:rPr>
            </w:pPr>
            <w:r>
              <w:rPr>
                <w:rFonts w:ascii="Arial" w:hAnsi="Arial" w:cs="Arial"/>
              </w:rPr>
              <w:t>more than one criterion has an impact of ‘F’; or</w:t>
            </w:r>
          </w:p>
          <w:p w14:paraId="5FA414B3" w14:textId="77777777" w:rsidR="009D3DC8" w:rsidRDefault="009D3DC8">
            <w:pPr>
              <w:pStyle w:val="TableText1"/>
              <w:spacing w:before="40" w:after="0" w:line="240" w:lineRule="auto"/>
              <w:rPr>
                <w:rFonts w:ascii="Arial" w:hAnsi="Arial" w:cs="Arial"/>
              </w:rPr>
            </w:pPr>
            <w:r>
              <w:rPr>
                <w:rFonts w:ascii="Arial" w:hAnsi="Arial" w:cs="Arial"/>
              </w:rPr>
              <w:t>a single criterion has an impact of ‘F’ and each remaining criterion an ‘E’.</w:t>
            </w:r>
          </w:p>
        </w:tc>
        <w:tc>
          <w:tcPr>
            <w:tcW w:w="2955" w:type="dxa"/>
            <w:tcBorders>
              <w:top w:val="single" w:sz="8" w:space="0" w:color="C0C0C0"/>
            </w:tcBorders>
          </w:tcPr>
          <w:p w14:paraId="34BAF3CA" w14:textId="77777777" w:rsidR="009D3DC8" w:rsidRDefault="009D3DC8">
            <w:pPr>
              <w:pStyle w:val="TableText1"/>
              <w:spacing w:before="40" w:after="0" w:line="240" w:lineRule="auto"/>
              <w:rPr>
                <w:rFonts w:ascii="Arial" w:hAnsi="Arial" w:cs="Arial"/>
              </w:rPr>
            </w:pPr>
            <w:r>
              <w:rPr>
                <w:rFonts w:ascii="Arial" w:hAnsi="Arial" w:cs="Arial"/>
              </w:rPr>
              <w:t>Extreme</w:t>
            </w:r>
          </w:p>
        </w:tc>
      </w:tr>
      <w:tr w:rsidR="009D3DC8" w14:paraId="3FB93062" w14:textId="77777777">
        <w:tc>
          <w:tcPr>
            <w:tcW w:w="664" w:type="dxa"/>
          </w:tcPr>
          <w:p w14:paraId="18CBB2EB" w14:textId="77777777" w:rsidR="009D3DC8" w:rsidRDefault="009D3DC8">
            <w:pPr>
              <w:pStyle w:val="TableText1"/>
              <w:spacing w:before="40" w:after="0" w:line="240" w:lineRule="auto"/>
              <w:rPr>
                <w:rFonts w:ascii="Arial" w:hAnsi="Arial" w:cs="Arial"/>
              </w:rPr>
            </w:pPr>
            <w:r>
              <w:rPr>
                <w:rFonts w:ascii="Arial" w:hAnsi="Arial" w:cs="Arial"/>
              </w:rPr>
              <w:t>2</w:t>
            </w:r>
          </w:p>
        </w:tc>
        <w:tc>
          <w:tcPr>
            <w:tcW w:w="5803" w:type="dxa"/>
          </w:tcPr>
          <w:p w14:paraId="599B97D8" w14:textId="77777777" w:rsidR="009D3DC8" w:rsidRDefault="009D3DC8">
            <w:pPr>
              <w:pStyle w:val="TableText1"/>
              <w:spacing w:before="40" w:after="0" w:line="240" w:lineRule="auto"/>
              <w:rPr>
                <w:rFonts w:ascii="Arial" w:hAnsi="Arial" w:cs="Arial"/>
              </w:rPr>
            </w:pPr>
            <w:r>
              <w:rPr>
                <w:rFonts w:ascii="Arial" w:hAnsi="Arial" w:cs="Arial"/>
              </w:rPr>
              <w:t>A single criterion has an impact of ‘F’; or</w:t>
            </w:r>
          </w:p>
          <w:p w14:paraId="411D2C56" w14:textId="77777777" w:rsidR="009D3DC8" w:rsidRDefault="009D3DC8">
            <w:pPr>
              <w:pStyle w:val="TableText1"/>
              <w:spacing w:before="40" w:after="0" w:line="240" w:lineRule="auto"/>
              <w:rPr>
                <w:rFonts w:ascii="Arial" w:hAnsi="Arial" w:cs="Arial"/>
              </w:rPr>
            </w:pPr>
            <w:r>
              <w:rPr>
                <w:rFonts w:ascii="Arial" w:hAnsi="Arial" w:cs="Arial"/>
              </w:rPr>
              <w:t>all criteria have an impact of ‘E’.</w:t>
            </w:r>
          </w:p>
        </w:tc>
        <w:tc>
          <w:tcPr>
            <w:tcW w:w="2955" w:type="dxa"/>
          </w:tcPr>
          <w:p w14:paraId="173AA42E" w14:textId="77777777" w:rsidR="009D3DC8" w:rsidRDefault="009D3DC8">
            <w:pPr>
              <w:pStyle w:val="TableText1"/>
              <w:spacing w:before="40" w:after="0" w:line="240" w:lineRule="auto"/>
              <w:rPr>
                <w:rFonts w:ascii="Arial" w:hAnsi="Arial" w:cs="Arial"/>
              </w:rPr>
            </w:pPr>
            <w:r>
              <w:rPr>
                <w:rFonts w:ascii="Arial" w:hAnsi="Arial" w:cs="Arial"/>
              </w:rPr>
              <w:t>High</w:t>
            </w:r>
          </w:p>
        </w:tc>
      </w:tr>
      <w:tr w:rsidR="009D3DC8" w14:paraId="673BC033" w14:textId="77777777">
        <w:tc>
          <w:tcPr>
            <w:tcW w:w="664" w:type="dxa"/>
          </w:tcPr>
          <w:p w14:paraId="3E81F7DE" w14:textId="77777777" w:rsidR="009D3DC8" w:rsidRDefault="009D3DC8">
            <w:pPr>
              <w:pStyle w:val="TableText1"/>
              <w:spacing w:before="40" w:after="0" w:line="240" w:lineRule="auto"/>
              <w:rPr>
                <w:rFonts w:ascii="Arial" w:hAnsi="Arial" w:cs="Arial"/>
              </w:rPr>
            </w:pPr>
            <w:r>
              <w:rPr>
                <w:rFonts w:ascii="Arial" w:hAnsi="Arial" w:cs="Arial"/>
              </w:rPr>
              <w:t>3</w:t>
            </w:r>
          </w:p>
        </w:tc>
        <w:tc>
          <w:tcPr>
            <w:tcW w:w="5803" w:type="dxa"/>
          </w:tcPr>
          <w:p w14:paraId="1B0ED871" w14:textId="77777777" w:rsidR="009D3DC8" w:rsidRDefault="009D3DC8">
            <w:pPr>
              <w:pStyle w:val="TableText1"/>
              <w:spacing w:before="40" w:after="0" w:line="240" w:lineRule="auto"/>
              <w:rPr>
                <w:rFonts w:ascii="Arial" w:hAnsi="Arial" w:cs="Arial"/>
              </w:rPr>
            </w:pPr>
            <w:r>
              <w:rPr>
                <w:rFonts w:ascii="Arial" w:hAnsi="Arial" w:cs="Arial"/>
              </w:rPr>
              <w:t>One or more criteria have an impact of ‘E’; or</w:t>
            </w:r>
          </w:p>
          <w:p w14:paraId="239223E5" w14:textId="77777777" w:rsidR="009D3DC8" w:rsidRDefault="009D3DC8">
            <w:pPr>
              <w:pStyle w:val="TableText1"/>
              <w:spacing w:before="40" w:after="0" w:line="240" w:lineRule="auto"/>
              <w:rPr>
                <w:rFonts w:ascii="Arial" w:hAnsi="Arial" w:cs="Arial"/>
              </w:rPr>
            </w:pPr>
            <w:r>
              <w:rPr>
                <w:rFonts w:ascii="Arial" w:hAnsi="Arial" w:cs="Arial"/>
              </w:rPr>
              <w:t>all criteria have an impact of ‘D’.</w:t>
            </w:r>
          </w:p>
        </w:tc>
        <w:tc>
          <w:tcPr>
            <w:tcW w:w="2955" w:type="dxa"/>
          </w:tcPr>
          <w:p w14:paraId="3877CE8D" w14:textId="77777777" w:rsidR="009D3DC8" w:rsidRDefault="009D3DC8">
            <w:pPr>
              <w:pStyle w:val="TableText1"/>
              <w:spacing w:before="40" w:after="0" w:line="240" w:lineRule="auto"/>
              <w:rPr>
                <w:rFonts w:ascii="Arial" w:hAnsi="Arial" w:cs="Arial"/>
              </w:rPr>
            </w:pPr>
            <w:r>
              <w:rPr>
                <w:rFonts w:ascii="Arial" w:hAnsi="Arial" w:cs="Arial"/>
              </w:rPr>
              <w:t>Moderate</w:t>
            </w:r>
          </w:p>
        </w:tc>
      </w:tr>
      <w:tr w:rsidR="009D3DC8" w14:paraId="644652BD" w14:textId="77777777">
        <w:tc>
          <w:tcPr>
            <w:tcW w:w="664" w:type="dxa"/>
          </w:tcPr>
          <w:p w14:paraId="7A496194" w14:textId="77777777" w:rsidR="009D3DC8" w:rsidRDefault="009D3DC8">
            <w:pPr>
              <w:pStyle w:val="TableText1"/>
              <w:spacing w:before="40" w:after="0" w:line="240" w:lineRule="auto"/>
              <w:rPr>
                <w:rFonts w:ascii="Arial" w:hAnsi="Arial" w:cs="Arial"/>
              </w:rPr>
            </w:pPr>
            <w:r>
              <w:rPr>
                <w:rFonts w:ascii="Arial" w:hAnsi="Arial" w:cs="Arial"/>
              </w:rPr>
              <w:t>4</w:t>
            </w:r>
          </w:p>
        </w:tc>
        <w:tc>
          <w:tcPr>
            <w:tcW w:w="5803" w:type="dxa"/>
          </w:tcPr>
          <w:p w14:paraId="6C317109" w14:textId="77777777" w:rsidR="009D3DC8" w:rsidRDefault="009D3DC8">
            <w:pPr>
              <w:pStyle w:val="TableText1"/>
              <w:spacing w:before="40" w:after="0" w:line="240" w:lineRule="auto"/>
              <w:rPr>
                <w:rFonts w:ascii="Arial" w:hAnsi="Arial" w:cs="Arial"/>
              </w:rPr>
            </w:pPr>
            <w:r>
              <w:rPr>
                <w:rFonts w:ascii="Arial" w:hAnsi="Arial" w:cs="Arial"/>
              </w:rPr>
              <w:t>One or more criteria have an impact of ‘D’; or</w:t>
            </w:r>
          </w:p>
          <w:p w14:paraId="3FCA534A" w14:textId="77777777" w:rsidR="009D3DC8" w:rsidRDefault="009D3DC8">
            <w:pPr>
              <w:pStyle w:val="TableText1"/>
              <w:spacing w:before="40" w:after="0" w:line="240" w:lineRule="auto"/>
              <w:rPr>
                <w:rFonts w:ascii="Arial" w:hAnsi="Arial" w:cs="Arial"/>
              </w:rPr>
            </w:pPr>
            <w:r>
              <w:rPr>
                <w:rFonts w:ascii="Arial" w:hAnsi="Arial" w:cs="Arial"/>
              </w:rPr>
              <w:t>all criteria have an impact of ‘C’.</w:t>
            </w:r>
          </w:p>
        </w:tc>
        <w:tc>
          <w:tcPr>
            <w:tcW w:w="2955" w:type="dxa"/>
          </w:tcPr>
          <w:p w14:paraId="4FEA22D0" w14:textId="77777777" w:rsidR="009D3DC8" w:rsidRDefault="009D3DC8">
            <w:pPr>
              <w:pStyle w:val="TableText1"/>
              <w:spacing w:before="40" w:after="0" w:line="240" w:lineRule="auto"/>
              <w:rPr>
                <w:rFonts w:ascii="Arial" w:hAnsi="Arial" w:cs="Arial"/>
              </w:rPr>
            </w:pPr>
            <w:r>
              <w:rPr>
                <w:rFonts w:ascii="Arial" w:hAnsi="Arial" w:cs="Arial"/>
              </w:rPr>
              <w:t>Low</w:t>
            </w:r>
          </w:p>
        </w:tc>
      </w:tr>
      <w:tr w:rsidR="009D3DC8" w14:paraId="1411C02D" w14:textId="77777777">
        <w:tc>
          <w:tcPr>
            <w:tcW w:w="664" w:type="dxa"/>
          </w:tcPr>
          <w:p w14:paraId="78E0F9F1" w14:textId="77777777" w:rsidR="009D3DC8" w:rsidRDefault="009D3DC8">
            <w:pPr>
              <w:pStyle w:val="TableText1"/>
              <w:spacing w:before="40" w:after="0" w:line="240" w:lineRule="auto"/>
              <w:rPr>
                <w:rFonts w:ascii="Arial" w:hAnsi="Arial" w:cs="Arial"/>
              </w:rPr>
            </w:pPr>
            <w:r>
              <w:rPr>
                <w:rFonts w:ascii="Arial" w:hAnsi="Arial" w:cs="Arial"/>
              </w:rPr>
              <w:t>5</w:t>
            </w:r>
          </w:p>
        </w:tc>
        <w:tc>
          <w:tcPr>
            <w:tcW w:w="5803" w:type="dxa"/>
          </w:tcPr>
          <w:p w14:paraId="69E19838" w14:textId="77777777" w:rsidR="009D3DC8" w:rsidRDefault="009D3DC8">
            <w:pPr>
              <w:pStyle w:val="TableText1"/>
              <w:spacing w:before="40" w:after="0" w:line="240" w:lineRule="auto"/>
              <w:rPr>
                <w:rFonts w:ascii="Arial" w:hAnsi="Arial" w:cs="Arial"/>
              </w:rPr>
            </w:pPr>
            <w:r>
              <w:rPr>
                <w:rFonts w:ascii="Arial" w:hAnsi="Arial" w:cs="Arial"/>
              </w:rPr>
              <w:t>One or more criteria have an impact of ‘C’; or</w:t>
            </w:r>
          </w:p>
          <w:p w14:paraId="0E999E59" w14:textId="77777777" w:rsidR="009D3DC8" w:rsidRDefault="009D3DC8">
            <w:pPr>
              <w:pStyle w:val="TableText1"/>
              <w:spacing w:before="40" w:after="0" w:line="240" w:lineRule="auto"/>
              <w:rPr>
                <w:rFonts w:ascii="Arial" w:hAnsi="Arial" w:cs="Arial"/>
              </w:rPr>
            </w:pPr>
            <w:r>
              <w:rPr>
                <w:rFonts w:ascii="Arial" w:hAnsi="Arial" w:cs="Arial"/>
              </w:rPr>
              <w:t>all criteria have an impact of ‘B’.</w:t>
            </w:r>
          </w:p>
        </w:tc>
        <w:tc>
          <w:tcPr>
            <w:tcW w:w="2955" w:type="dxa"/>
          </w:tcPr>
          <w:p w14:paraId="365C756E" w14:textId="77777777" w:rsidR="009D3DC8" w:rsidRDefault="009D3DC8">
            <w:pPr>
              <w:pStyle w:val="TableText1"/>
              <w:spacing w:before="40" w:after="0" w:line="240" w:lineRule="auto"/>
              <w:rPr>
                <w:rFonts w:ascii="Arial" w:hAnsi="Arial" w:cs="Arial"/>
              </w:rPr>
            </w:pPr>
            <w:r>
              <w:rPr>
                <w:rFonts w:ascii="Arial" w:hAnsi="Arial" w:cs="Arial"/>
              </w:rPr>
              <w:t>Very Low</w:t>
            </w:r>
          </w:p>
        </w:tc>
      </w:tr>
      <w:tr w:rsidR="009D3DC8" w14:paraId="2F572EDD" w14:textId="77777777">
        <w:tc>
          <w:tcPr>
            <w:tcW w:w="664" w:type="dxa"/>
          </w:tcPr>
          <w:p w14:paraId="08062F34" w14:textId="77777777" w:rsidR="009D3DC8" w:rsidRDefault="009D3DC8">
            <w:pPr>
              <w:pStyle w:val="TableText1"/>
              <w:spacing w:before="40" w:after="0" w:line="240" w:lineRule="auto"/>
              <w:rPr>
                <w:rFonts w:ascii="Arial" w:hAnsi="Arial" w:cs="Arial"/>
              </w:rPr>
            </w:pPr>
            <w:r>
              <w:rPr>
                <w:rFonts w:ascii="Arial" w:hAnsi="Arial" w:cs="Arial"/>
              </w:rPr>
              <w:t>6</w:t>
            </w:r>
          </w:p>
        </w:tc>
        <w:tc>
          <w:tcPr>
            <w:tcW w:w="5803" w:type="dxa"/>
          </w:tcPr>
          <w:p w14:paraId="704DA1D9" w14:textId="77777777" w:rsidR="009D3DC8" w:rsidRDefault="009D3DC8">
            <w:pPr>
              <w:pStyle w:val="TableText1"/>
              <w:spacing w:before="40" w:after="0" w:line="240" w:lineRule="auto"/>
              <w:rPr>
                <w:rFonts w:ascii="Arial" w:hAnsi="Arial" w:cs="Arial"/>
              </w:rPr>
            </w:pPr>
            <w:r>
              <w:rPr>
                <w:rFonts w:ascii="Arial" w:hAnsi="Arial" w:cs="Arial"/>
              </w:rPr>
              <w:t>One or more but not all criteria have an impact of ‘B’, and</w:t>
            </w:r>
          </w:p>
          <w:p w14:paraId="6D46F85E" w14:textId="77777777" w:rsidR="009D3DC8" w:rsidRDefault="009D3DC8">
            <w:pPr>
              <w:pStyle w:val="TableText1"/>
              <w:spacing w:before="40" w:after="0" w:line="240" w:lineRule="auto"/>
              <w:rPr>
                <w:rFonts w:ascii="Arial" w:hAnsi="Arial" w:cs="Arial"/>
              </w:rPr>
            </w:pPr>
            <w:r>
              <w:rPr>
                <w:rFonts w:ascii="Arial" w:hAnsi="Arial" w:cs="Arial"/>
              </w:rPr>
              <w:t>all remaining criteria have an impact of ‘A’.</w:t>
            </w:r>
          </w:p>
        </w:tc>
        <w:tc>
          <w:tcPr>
            <w:tcW w:w="2955" w:type="dxa"/>
          </w:tcPr>
          <w:p w14:paraId="56B315C6" w14:textId="77777777" w:rsidR="009D3DC8" w:rsidRDefault="009D3DC8">
            <w:pPr>
              <w:pStyle w:val="TableText1"/>
              <w:spacing w:before="40" w:after="0" w:line="240" w:lineRule="auto"/>
              <w:rPr>
                <w:rFonts w:ascii="Arial" w:hAnsi="Arial" w:cs="Arial"/>
              </w:rPr>
            </w:pPr>
            <w:r>
              <w:rPr>
                <w:rFonts w:ascii="Arial" w:hAnsi="Arial" w:cs="Arial"/>
              </w:rPr>
              <w:t>Negligible</w:t>
            </w:r>
          </w:p>
        </w:tc>
      </w:tr>
    </w:tbl>
    <w:p w14:paraId="3EAD9745" w14:textId="77777777" w:rsidR="009D3DC8" w:rsidRDefault="009D3DC8">
      <w:pPr>
        <w:pStyle w:val="Table"/>
      </w:pPr>
      <w:bookmarkStart w:id="39" w:name="_Toc325625795"/>
      <w:r>
        <w:t>Table 2.4</w:t>
      </w:r>
      <w:r>
        <w:tab/>
        <w:t>Decision rules for determining the overall consequence rating for each pest</w:t>
      </w:r>
      <w:bookmarkEnd w:id="39"/>
    </w:p>
    <w:p w14:paraId="24911ABE" w14:textId="77777777" w:rsidR="009D3DC8" w:rsidRDefault="009D3DC8">
      <w:pPr>
        <w:pStyle w:val="Heading3"/>
        <w:numPr>
          <w:ilvl w:val="2"/>
          <w:numId w:val="8"/>
        </w:numPr>
        <w:spacing w:line="240" w:lineRule="auto"/>
      </w:pPr>
      <w:r>
        <w:t>Estimation of the unrestricted risk</w:t>
      </w:r>
    </w:p>
    <w:p w14:paraId="6DBBBB58" w14:textId="77777777" w:rsidR="009D3DC8" w:rsidRDefault="009D3DC8">
      <w:pPr>
        <w:pStyle w:val="Body"/>
        <w:spacing w:before="180"/>
        <w:jc w:val="left"/>
        <w:rPr>
          <w:rFonts w:ascii="Times New Roman" w:hAnsi="Times New Roman"/>
        </w:rPr>
      </w:pPr>
      <w:r>
        <w:rPr>
          <w:rFonts w:ascii="Times New Roman" w:hAnsi="Times New Roman"/>
        </w:rPr>
        <w:t>Once the above assessments are completed, the unrestricted risk can be determined for each pest or groups of pests. This is determined by using a risk estimation matrix (Table 2.5) to combine the estimates of the probability of entry, establishment and spread and the overall consequences of pest establishment and spread. Therefore, risk is the product of likelihood and consequence.</w:t>
      </w:r>
    </w:p>
    <w:p w14:paraId="560F1461" w14:textId="77777777" w:rsidR="009D3DC8" w:rsidRDefault="009D3DC8">
      <w:pPr>
        <w:pStyle w:val="Body"/>
        <w:spacing w:before="180"/>
        <w:jc w:val="left"/>
        <w:rPr>
          <w:rFonts w:ascii="Times New Roman" w:hAnsi="Times New Roman"/>
        </w:rPr>
      </w:pPr>
      <w:r>
        <w:rPr>
          <w:rFonts w:ascii="Times New Roman" w:hAnsi="Times New Roman"/>
        </w:rPr>
        <w:t>When interpreting the risk estimation matrix, note the descriptors for each axis are similar (e.g. low, moderate, high) but the vertical axis refers to likelihood and the horizontal axis refers to consequences. Accordingly, a ‘low’ likelihood combined with ‘high’ consequences, is not the same as a ‘high’ likelihood combined with ‘low’ consequences – the matrix is not symmetrical. For example, the former combination would give an unrestricted risk rating of ‘moderate’, whereas, the latter would be rated as a ‘low’ unrestricted risk.</w:t>
      </w:r>
    </w:p>
    <w:p w14:paraId="1B8DBF5B" w14:textId="77777777" w:rsidR="009D3DC8" w:rsidRDefault="009D3DC8">
      <w:pPr>
        <w:pStyle w:val="Table"/>
        <w:ind w:left="1440" w:hanging="1440"/>
      </w:pPr>
      <w:bookmarkStart w:id="40" w:name="_Toc227475806"/>
      <w:bookmarkStart w:id="41" w:name="_Toc261004352"/>
      <w:bookmarkStart w:id="42" w:name="_Toc325625796"/>
      <w:r>
        <w:t>Table 2.5</w:t>
      </w:r>
      <w:r>
        <w:tab/>
        <w:t>Risk estimation matrix</w:t>
      </w:r>
      <w:bookmarkEnd w:id="40"/>
      <w:bookmarkEnd w:id="41"/>
      <w:bookmarkEnd w:id="42"/>
    </w:p>
    <w:tbl>
      <w:tblPr>
        <w:tblW w:w="4908" w:type="pct"/>
        <w:tblInd w:w="108" w:type="dxa"/>
        <w:tblLayout w:type="fixed"/>
        <w:tblLook w:val="0000" w:firstRow="0" w:lastRow="0" w:firstColumn="0" w:lastColumn="0" w:noHBand="0" w:noVBand="0"/>
      </w:tblPr>
      <w:tblGrid>
        <w:gridCol w:w="731"/>
        <w:gridCol w:w="1218"/>
        <w:gridCol w:w="1218"/>
        <w:gridCol w:w="1219"/>
        <w:gridCol w:w="1220"/>
        <w:gridCol w:w="1219"/>
        <w:gridCol w:w="1219"/>
        <w:gridCol w:w="1191"/>
      </w:tblGrid>
      <w:tr w:rsidR="009D3DC8" w14:paraId="1087937A" w14:textId="77777777">
        <w:trPr>
          <w:cantSplit/>
        </w:trPr>
        <w:tc>
          <w:tcPr>
            <w:tcW w:w="719" w:type="dxa"/>
            <w:vMerge w:val="restart"/>
            <w:tcBorders>
              <w:top w:val="single" w:sz="8" w:space="0" w:color="auto"/>
              <w:left w:val="single" w:sz="8" w:space="0" w:color="auto"/>
            </w:tcBorders>
            <w:textDirection w:val="btLr"/>
          </w:tcPr>
          <w:p w14:paraId="27F2D20A" w14:textId="77777777" w:rsidR="009D3DC8" w:rsidRDefault="009D3DC8">
            <w:pPr>
              <w:pStyle w:val="TableText1"/>
              <w:spacing w:line="240" w:lineRule="auto"/>
              <w:rPr>
                <w:rFonts w:ascii="Arial" w:hAnsi="Arial" w:cs="Arial"/>
                <w:b/>
                <w:bCs/>
              </w:rPr>
            </w:pPr>
            <w:r>
              <w:rPr>
                <w:rFonts w:ascii="Arial" w:hAnsi="Arial" w:cs="Arial"/>
                <w:b/>
                <w:bCs/>
              </w:rPr>
              <w:t>Likelihood of pest entry, establishment and spread</w:t>
            </w:r>
          </w:p>
        </w:tc>
        <w:tc>
          <w:tcPr>
            <w:tcW w:w="1197" w:type="dxa"/>
            <w:tcBorders>
              <w:top w:val="single" w:sz="8" w:space="0" w:color="auto"/>
              <w:left w:val="nil"/>
              <w:bottom w:val="single" w:sz="8" w:space="0" w:color="C0C0C0"/>
              <w:right w:val="single" w:sz="8" w:space="0" w:color="C0C0C0"/>
            </w:tcBorders>
          </w:tcPr>
          <w:p w14:paraId="29708427" w14:textId="77777777" w:rsidR="009D3DC8" w:rsidRDefault="009D3DC8">
            <w:pPr>
              <w:pStyle w:val="TableText1"/>
              <w:spacing w:line="240" w:lineRule="auto"/>
              <w:rPr>
                <w:rFonts w:ascii="Arial" w:hAnsi="Arial" w:cs="Arial"/>
                <w:b/>
                <w:bCs/>
              </w:rPr>
            </w:pPr>
            <w:r>
              <w:rPr>
                <w:rFonts w:ascii="Arial" w:hAnsi="Arial" w:cs="Arial"/>
                <w:b/>
                <w:bCs/>
              </w:rPr>
              <w:t xml:space="preserve">High </w:t>
            </w:r>
          </w:p>
        </w:tc>
        <w:tc>
          <w:tcPr>
            <w:tcW w:w="1197" w:type="dxa"/>
            <w:tcBorders>
              <w:top w:val="single" w:sz="8" w:space="0" w:color="auto"/>
              <w:left w:val="single" w:sz="8" w:space="0" w:color="C0C0C0"/>
              <w:bottom w:val="single" w:sz="8" w:space="0" w:color="C0C0C0"/>
              <w:right w:val="single" w:sz="8" w:space="0" w:color="C0C0C0"/>
            </w:tcBorders>
            <w:shd w:val="clear" w:color="auto" w:fill="F3F3F3"/>
          </w:tcPr>
          <w:p w14:paraId="5C8AA0B0"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auto"/>
              <w:left w:val="single" w:sz="8" w:space="0" w:color="C0C0C0"/>
              <w:bottom w:val="single" w:sz="8" w:space="0" w:color="C0C0C0"/>
              <w:right w:val="single" w:sz="8" w:space="0" w:color="C0C0C0"/>
            </w:tcBorders>
            <w:shd w:val="clear" w:color="auto" w:fill="000000"/>
          </w:tcPr>
          <w:p w14:paraId="4D435594" w14:textId="77777777" w:rsidR="009D3DC8" w:rsidRDefault="009D3DC8">
            <w:pPr>
              <w:pStyle w:val="TableText1"/>
              <w:spacing w:line="240" w:lineRule="auto"/>
              <w:rPr>
                <w:rFonts w:ascii="Arial" w:hAnsi="Arial" w:cs="Arial"/>
                <w:bCs/>
                <w:color w:val="FFFFFF"/>
              </w:rPr>
            </w:pPr>
            <w:r>
              <w:rPr>
                <w:rFonts w:ascii="Arial" w:hAnsi="Arial" w:cs="Arial"/>
                <w:bCs/>
                <w:color w:val="FFFFFF"/>
              </w:rPr>
              <w:t>Very low risk</w:t>
            </w:r>
          </w:p>
        </w:tc>
        <w:tc>
          <w:tcPr>
            <w:tcW w:w="1198" w:type="dxa"/>
            <w:tcBorders>
              <w:top w:val="single" w:sz="8" w:space="0" w:color="auto"/>
              <w:left w:val="single" w:sz="8" w:space="0" w:color="C0C0C0"/>
              <w:bottom w:val="single" w:sz="8" w:space="0" w:color="C0C0C0"/>
              <w:right w:val="single" w:sz="8" w:space="0" w:color="C0C0C0"/>
            </w:tcBorders>
            <w:shd w:val="clear" w:color="auto" w:fill="CCFFCC"/>
          </w:tcPr>
          <w:p w14:paraId="2B370035" w14:textId="77777777" w:rsidR="009D3DC8" w:rsidRDefault="009D3DC8">
            <w:pPr>
              <w:pStyle w:val="TableText1"/>
              <w:spacing w:line="240" w:lineRule="auto"/>
              <w:rPr>
                <w:rFonts w:ascii="Arial" w:hAnsi="Arial" w:cs="Arial"/>
                <w:bCs/>
              </w:rPr>
            </w:pPr>
            <w:r>
              <w:rPr>
                <w:rFonts w:ascii="Arial" w:hAnsi="Arial" w:cs="Arial"/>
                <w:bCs/>
              </w:rPr>
              <w:t>Low risk</w:t>
            </w:r>
          </w:p>
        </w:tc>
        <w:tc>
          <w:tcPr>
            <w:tcW w:w="1197" w:type="dxa"/>
            <w:tcBorders>
              <w:top w:val="single" w:sz="8" w:space="0" w:color="auto"/>
              <w:left w:val="single" w:sz="8" w:space="0" w:color="C0C0C0"/>
              <w:bottom w:val="single" w:sz="8" w:space="0" w:color="C0C0C0"/>
              <w:right w:val="single" w:sz="8" w:space="0" w:color="C0C0C0"/>
            </w:tcBorders>
            <w:shd w:val="clear" w:color="auto" w:fill="FFFF99"/>
          </w:tcPr>
          <w:p w14:paraId="780FCB3D" w14:textId="77777777" w:rsidR="009D3DC8" w:rsidRDefault="009D3DC8">
            <w:pPr>
              <w:pStyle w:val="TableText1"/>
              <w:spacing w:line="240" w:lineRule="auto"/>
              <w:rPr>
                <w:rFonts w:ascii="Arial" w:hAnsi="Arial" w:cs="Arial"/>
                <w:bCs/>
              </w:rPr>
            </w:pPr>
            <w:r>
              <w:rPr>
                <w:rFonts w:ascii="Arial" w:hAnsi="Arial" w:cs="Arial"/>
                <w:bCs/>
              </w:rPr>
              <w:t>Moderate risk</w:t>
            </w:r>
          </w:p>
        </w:tc>
        <w:tc>
          <w:tcPr>
            <w:tcW w:w="1197" w:type="dxa"/>
            <w:tcBorders>
              <w:top w:val="single" w:sz="8" w:space="0" w:color="auto"/>
              <w:left w:val="single" w:sz="8" w:space="0" w:color="C0C0C0"/>
              <w:bottom w:val="single" w:sz="8" w:space="0" w:color="C0C0C0"/>
              <w:right w:val="single" w:sz="8" w:space="0" w:color="C0C0C0"/>
            </w:tcBorders>
            <w:shd w:val="clear" w:color="auto" w:fill="FFCC99"/>
          </w:tcPr>
          <w:p w14:paraId="10F4E923" w14:textId="77777777" w:rsidR="009D3DC8" w:rsidRDefault="009D3DC8">
            <w:pPr>
              <w:pStyle w:val="TableText1"/>
              <w:spacing w:line="240" w:lineRule="auto"/>
              <w:rPr>
                <w:rFonts w:ascii="Arial" w:hAnsi="Arial" w:cs="Arial"/>
                <w:bCs/>
              </w:rPr>
            </w:pPr>
            <w:r>
              <w:rPr>
                <w:rFonts w:ascii="Arial" w:hAnsi="Arial" w:cs="Arial"/>
                <w:bCs/>
              </w:rPr>
              <w:t>High risk</w:t>
            </w:r>
          </w:p>
        </w:tc>
        <w:tc>
          <w:tcPr>
            <w:tcW w:w="1170" w:type="dxa"/>
            <w:tcBorders>
              <w:top w:val="single" w:sz="8" w:space="0" w:color="auto"/>
              <w:left w:val="single" w:sz="8" w:space="0" w:color="C0C0C0"/>
              <w:bottom w:val="single" w:sz="8" w:space="0" w:color="C0C0C0"/>
              <w:right w:val="single" w:sz="8" w:space="0" w:color="auto"/>
            </w:tcBorders>
            <w:shd w:val="clear" w:color="auto" w:fill="FF99CC"/>
          </w:tcPr>
          <w:p w14:paraId="1EA08E80" w14:textId="77777777" w:rsidR="009D3DC8" w:rsidRDefault="009D3DC8">
            <w:pPr>
              <w:pStyle w:val="TableText1"/>
              <w:spacing w:line="240" w:lineRule="auto"/>
              <w:rPr>
                <w:rFonts w:ascii="Arial" w:hAnsi="Arial" w:cs="Arial"/>
              </w:rPr>
            </w:pPr>
            <w:r>
              <w:rPr>
                <w:rFonts w:ascii="Arial" w:hAnsi="Arial" w:cs="Arial"/>
              </w:rPr>
              <w:t>Extreme risk</w:t>
            </w:r>
          </w:p>
        </w:tc>
      </w:tr>
      <w:tr w:rsidR="009D3DC8" w14:paraId="64D87C38" w14:textId="77777777">
        <w:trPr>
          <w:cantSplit/>
        </w:trPr>
        <w:tc>
          <w:tcPr>
            <w:tcW w:w="719" w:type="dxa"/>
            <w:vMerge/>
            <w:tcBorders>
              <w:left w:val="single" w:sz="8" w:space="0" w:color="auto"/>
            </w:tcBorders>
            <w:vAlign w:val="center"/>
          </w:tcPr>
          <w:p w14:paraId="3C317408" w14:textId="77777777" w:rsidR="009D3DC8" w:rsidRDefault="009D3DC8">
            <w:pPr>
              <w:spacing w:line="240" w:lineRule="auto"/>
              <w:rPr>
                <w:rFonts w:ascii="Arial" w:hAnsi="Arial" w:cs="Arial"/>
                <w:b/>
                <w:bCs/>
                <w:sz w:val="16"/>
              </w:rPr>
            </w:pPr>
          </w:p>
        </w:tc>
        <w:tc>
          <w:tcPr>
            <w:tcW w:w="1197" w:type="dxa"/>
            <w:tcBorders>
              <w:top w:val="single" w:sz="8" w:space="0" w:color="C0C0C0"/>
              <w:left w:val="nil"/>
              <w:bottom w:val="single" w:sz="8" w:space="0" w:color="C0C0C0"/>
              <w:right w:val="single" w:sz="8" w:space="0" w:color="C0C0C0"/>
            </w:tcBorders>
          </w:tcPr>
          <w:p w14:paraId="503D2009" w14:textId="77777777" w:rsidR="009D3DC8" w:rsidRDefault="009D3DC8">
            <w:pPr>
              <w:pStyle w:val="TableText1"/>
              <w:spacing w:line="240" w:lineRule="auto"/>
              <w:rPr>
                <w:rFonts w:ascii="Arial" w:hAnsi="Arial" w:cs="Arial"/>
                <w:b/>
                <w:bCs/>
              </w:rPr>
            </w:pPr>
            <w:r>
              <w:rPr>
                <w:rFonts w:ascii="Arial" w:hAnsi="Arial" w:cs="Arial"/>
                <w:b/>
                <w:bCs/>
              </w:rPr>
              <w:t>Moderate</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5402DDE6"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000000"/>
          </w:tcPr>
          <w:p w14:paraId="0D079839" w14:textId="77777777" w:rsidR="009D3DC8" w:rsidRDefault="009D3DC8">
            <w:pPr>
              <w:pStyle w:val="TableText1"/>
              <w:spacing w:line="240" w:lineRule="auto"/>
              <w:rPr>
                <w:rFonts w:ascii="Arial" w:hAnsi="Arial" w:cs="Arial"/>
                <w:bCs/>
                <w:color w:val="FFFFFF"/>
              </w:rPr>
            </w:pPr>
            <w:r>
              <w:rPr>
                <w:rFonts w:ascii="Arial" w:hAnsi="Arial" w:cs="Arial"/>
                <w:bCs/>
                <w:color w:val="FFFFFF"/>
              </w:rPr>
              <w:t>Very low risk</w:t>
            </w:r>
          </w:p>
        </w:tc>
        <w:tc>
          <w:tcPr>
            <w:tcW w:w="1198" w:type="dxa"/>
            <w:tcBorders>
              <w:top w:val="single" w:sz="8" w:space="0" w:color="C0C0C0"/>
              <w:left w:val="single" w:sz="8" w:space="0" w:color="C0C0C0"/>
              <w:bottom w:val="single" w:sz="8" w:space="0" w:color="C0C0C0"/>
              <w:right w:val="single" w:sz="8" w:space="0" w:color="C0C0C0"/>
            </w:tcBorders>
            <w:shd w:val="clear" w:color="auto" w:fill="CCFFCC"/>
          </w:tcPr>
          <w:p w14:paraId="77678A1C" w14:textId="77777777" w:rsidR="009D3DC8" w:rsidRDefault="009D3DC8">
            <w:pPr>
              <w:pStyle w:val="TableText1"/>
              <w:spacing w:line="240" w:lineRule="auto"/>
              <w:rPr>
                <w:rFonts w:ascii="Arial" w:hAnsi="Arial" w:cs="Arial"/>
                <w:bCs/>
              </w:rPr>
            </w:pPr>
            <w:r>
              <w:rPr>
                <w:rFonts w:ascii="Arial" w:hAnsi="Arial" w:cs="Arial"/>
                <w:bCs/>
              </w:rPr>
              <w:t>Low risk</w:t>
            </w:r>
          </w:p>
        </w:tc>
        <w:tc>
          <w:tcPr>
            <w:tcW w:w="1197" w:type="dxa"/>
            <w:tcBorders>
              <w:top w:val="single" w:sz="8" w:space="0" w:color="C0C0C0"/>
              <w:left w:val="single" w:sz="8" w:space="0" w:color="C0C0C0"/>
              <w:bottom w:val="single" w:sz="8" w:space="0" w:color="C0C0C0"/>
              <w:right w:val="single" w:sz="8" w:space="0" w:color="C0C0C0"/>
            </w:tcBorders>
            <w:shd w:val="clear" w:color="auto" w:fill="FFFF99"/>
          </w:tcPr>
          <w:p w14:paraId="5A2A5858" w14:textId="77777777" w:rsidR="009D3DC8" w:rsidRDefault="009D3DC8">
            <w:pPr>
              <w:pStyle w:val="TableText1"/>
              <w:spacing w:line="240" w:lineRule="auto"/>
              <w:rPr>
                <w:rFonts w:ascii="Arial" w:hAnsi="Arial" w:cs="Arial"/>
                <w:bCs/>
              </w:rPr>
            </w:pPr>
            <w:r>
              <w:rPr>
                <w:rFonts w:ascii="Arial" w:hAnsi="Arial" w:cs="Arial"/>
                <w:bCs/>
              </w:rPr>
              <w:t>Moderate risk</w:t>
            </w:r>
          </w:p>
        </w:tc>
        <w:tc>
          <w:tcPr>
            <w:tcW w:w="1197" w:type="dxa"/>
            <w:tcBorders>
              <w:top w:val="single" w:sz="8" w:space="0" w:color="C0C0C0"/>
              <w:left w:val="single" w:sz="8" w:space="0" w:color="C0C0C0"/>
              <w:bottom w:val="single" w:sz="8" w:space="0" w:color="C0C0C0"/>
              <w:right w:val="single" w:sz="8" w:space="0" w:color="C0C0C0"/>
            </w:tcBorders>
            <w:shd w:val="clear" w:color="auto" w:fill="FFCC99"/>
          </w:tcPr>
          <w:p w14:paraId="258C11B2" w14:textId="77777777" w:rsidR="009D3DC8" w:rsidRDefault="009D3DC8">
            <w:pPr>
              <w:pStyle w:val="TableText1"/>
              <w:spacing w:line="240" w:lineRule="auto"/>
              <w:rPr>
                <w:rFonts w:ascii="Arial" w:hAnsi="Arial" w:cs="Arial"/>
                <w:bCs/>
              </w:rPr>
            </w:pPr>
            <w:r>
              <w:rPr>
                <w:rFonts w:ascii="Arial" w:hAnsi="Arial" w:cs="Arial"/>
                <w:bCs/>
              </w:rPr>
              <w:t>High risk</w:t>
            </w:r>
          </w:p>
        </w:tc>
        <w:tc>
          <w:tcPr>
            <w:tcW w:w="1170" w:type="dxa"/>
            <w:tcBorders>
              <w:top w:val="single" w:sz="8" w:space="0" w:color="C0C0C0"/>
              <w:left w:val="single" w:sz="8" w:space="0" w:color="C0C0C0"/>
              <w:bottom w:val="single" w:sz="8" w:space="0" w:color="C0C0C0"/>
              <w:right w:val="single" w:sz="8" w:space="0" w:color="auto"/>
            </w:tcBorders>
            <w:shd w:val="clear" w:color="auto" w:fill="FF99CC"/>
          </w:tcPr>
          <w:p w14:paraId="098F9875" w14:textId="77777777" w:rsidR="009D3DC8" w:rsidRDefault="009D3DC8">
            <w:pPr>
              <w:pStyle w:val="TableText1"/>
              <w:spacing w:line="240" w:lineRule="auto"/>
              <w:rPr>
                <w:rFonts w:ascii="Arial" w:hAnsi="Arial" w:cs="Arial"/>
              </w:rPr>
            </w:pPr>
            <w:r>
              <w:rPr>
                <w:rFonts w:ascii="Arial" w:hAnsi="Arial" w:cs="Arial"/>
              </w:rPr>
              <w:t>Extreme risk</w:t>
            </w:r>
          </w:p>
        </w:tc>
      </w:tr>
      <w:tr w:rsidR="009D3DC8" w14:paraId="3426DA88" w14:textId="77777777">
        <w:trPr>
          <w:cantSplit/>
        </w:trPr>
        <w:tc>
          <w:tcPr>
            <w:tcW w:w="719" w:type="dxa"/>
            <w:vMerge/>
            <w:tcBorders>
              <w:left w:val="single" w:sz="8" w:space="0" w:color="auto"/>
            </w:tcBorders>
            <w:vAlign w:val="center"/>
          </w:tcPr>
          <w:p w14:paraId="602267A1" w14:textId="77777777" w:rsidR="009D3DC8" w:rsidRDefault="009D3DC8">
            <w:pPr>
              <w:spacing w:line="240" w:lineRule="auto"/>
              <w:rPr>
                <w:rFonts w:ascii="Arial" w:hAnsi="Arial" w:cs="Arial"/>
                <w:b/>
                <w:bCs/>
                <w:sz w:val="16"/>
              </w:rPr>
            </w:pPr>
          </w:p>
        </w:tc>
        <w:tc>
          <w:tcPr>
            <w:tcW w:w="1197" w:type="dxa"/>
            <w:tcBorders>
              <w:top w:val="single" w:sz="8" w:space="0" w:color="C0C0C0"/>
              <w:left w:val="nil"/>
              <w:bottom w:val="single" w:sz="8" w:space="0" w:color="C0C0C0"/>
              <w:right w:val="single" w:sz="8" w:space="0" w:color="C0C0C0"/>
            </w:tcBorders>
          </w:tcPr>
          <w:p w14:paraId="22EE6BEC" w14:textId="77777777" w:rsidR="009D3DC8" w:rsidRDefault="009D3DC8">
            <w:pPr>
              <w:pStyle w:val="TableText1"/>
              <w:spacing w:line="240" w:lineRule="auto"/>
              <w:rPr>
                <w:rFonts w:ascii="Arial" w:hAnsi="Arial" w:cs="Arial"/>
                <w:b/>
                <w:bCs/>
              </w:rPr>
            </w:pPr>
            <w:r>
              <w:rPr>
                <w:rFonts w:ascii="Arial" w:hAnsi="Arial" w:cs="Arial"/>
                <w:b/>
                <w:bCs/>
              </w:rPr>
              <w:t>Low</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2FAF0DCF"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69B18634" w14:textId="77777777" w:rsidR="009D3DC8" w:rsidRDefault="009D3DC8">
            <w:pPr>
              <w:pStyle w:val="TableText1"/>
              <w:spacing w:line="240" w:lineRule="auto"/>
              <w:rPr>
                <w:rFonts w:ascii="Arial" w:hAnsi="Arial" w:cs="Arial"/>
                <w:bCs/>
              </w:rPr>
            </w:pPr>
            <w:r>
              <w:rPr>
                <w:rFonts w:ascii="Arial" w:hAnsi="Arial" w:cs="Arial"/>
                <w:bCs/>
              </w:rPr>
              <w:t>Negligible risk</w:t>
            </w:r>
          </w:p>
        </w:tc>
        <w:tc>
          <w:tcPr>
            <w:tcW w:w="1198" w:type="dxa"/>
            <w:tcBorders>
              <w:top w:val="single" w:sz="8" w:space="0" w:color="C0C0C0"/>
              <w:left w:val="single" w:sz="8" w:space="0" w:color="C0C0C0"/>
              <w:bottom w:val="single" w:sz="8" w:space="0" w:color="C0C0C0"/>
              <w:right w:val="single" w:sz="8" w:space="0" w:color="C0C0C0"/>
            </w:tcBorders>
            <w:shd w:val="clear" w:color="auto" w:fill="000000"/>
          </w:tcPr>
          <w:p w14:paraId="5A766815" w14:textId="77777777" w:rsidR="009D3DC8" w:rsidRDefault="009D3DC8">
            <w:pPr>
              <w:pStyle w:val="TableText1"/>
              <w:spacing w:line="240" w:lineRule="auto"/>
              <w:rPr>
                <w:rFonts w:ascii="Arial" w:hAnsi="Arial" w:cs="Arial"/>
                <w:bCs/>
                <w:color w:val="FFFFFF"/>
              </w:rPr>
            </w:pPr>
            <w:r>
              <w:rPr>
                <w:rFonts w:ascii="Arial" w:hAnsi="Arial" w:cs="Arial"/>
                <w:bCs/>
                <w:color w:val="FFFFFF"/>
              </w:rPr>
              <w:t>Very low risk</w:t>
            </w:r>
          </w:p>
        </w:tc>
        <w:tc>
          <w:tcPr>
            <w:tcW w:w="1197" w:type="dxa"/>
            <w:tcBorders>
              <w:top w:val="single" w:sz="8" w:space="0" w:color="C0C0C0"/>
              <w:left w:val="single" w:sz="8" w:space="0" w:color="C0C0C0"/>
              <w:bottom w:val="single" w:sz="8" w:space="0" w:color="C0C0C0"/>
              <w:right w:val="single" w:sz="8" w:space="0" w:color="C0C0C0"/>
            </w:tcBorders>
            <w:shd w:val="clear" w:color="auto" w:fill="CCFFCC"/>
          </w:tcPr>
          <w:p w14:paraId="0B83DCC0" w14:textId="77777777" w:rsidR="009D3DC8" w:rsidRDefault="009D3DC8">
            <w:pPr>
              <w:pStyle w:val="TableText1"/>
              <w:spacing w:line="240" w:lineRule="auto"/>
              <w:rPr>
                <w:rFonts w:ascii="Arial" w:hAnsi="Arial" w:cs="Arial"/>
                <w:bCs/>
              </w:rPr>
            </w:pPr>
            <w:r>
              <w:rPr>
                <w:rFonts w:ascii="Arial" w:hAnsi="Arial" w:cs="Arial"/>
                <w:bCs/>
              </w:rPr>
              <w:t>Low risk</w:t>
            </w:r>
          </w:p>
        </w:tc>
        <w:tc>
          <w:tcPr>
            <w:tcW w:w="1197" w:type="dxa"/>
            <w:tcBorders>
              <w:top w:val="single" w:sz="8" w:space="0" w:color="C0C0C0"/>
              <w:left w:val="single" w:sz="8" w:space="0" w:color="C0C0C0"/>
              <w:bottom w:val="single" w:sz="8" w:space="0" w:color="C0C0C0"/>
              <w:right w:val="single" w:sz="8" w:space="0" w:color="C0C0C0"/>
            </w:tcBorders>
            <w:shd w:val="clear" w:color="auto" w:fill="FFFF99"/>
          </w:tcPr>
          <w:p w14:paraId="5CB87389" w14:textId="77777777" w:rsidR="009D3DC8" w:rsidRDefault="009D3DC8">
            <w:pPr>
              <w:pStyle w:val="TableText1"/>
              <w:spacing w:line="240" w:lineRule="auto"/>
              <w:rPr>
                <w:rFonts w:ascii="Arial" w:hAnsi="Arial" w:cs="Arial"/>
                <w:bCs/>
              </w:rPr>
            </w:pPr>
            <w:r>
              <w:rPr>
                <w:rFonts w:ascii="Arial" w:hAnsi="Arial" w:cs="Arial"/>
                <w:bCs/>
              </w:rPr>
              <w:t>Moderate risk</w:t>
            </w:r>
          </w:p>
        </w:tc>
        <w:tc>
          <w:tcPr>
            <w:tcW w:w="1170" w:type="dxa"/>
            <w:tcBorders>
              <w:top w:val="single" w:sz="8" w:space="0" w:color="C0C0C0"/>
              <w:left w:val="single" w:sz="8" w:space="0" w:color="C0C0C0"/>
              <w:bottom w:val="single" w:sz="8" w:space="0" w:color="C0C0C0"/>
              <w:right w:val="single" w:sz="8" w:space="0" w:color="auto"/>
            </w:tcBorders>
            <w:shd w:val="clear" w:color="auto" w:fill="FFCC99"/>
          </w:tcPr>
          <w:p w14:paraId="2B353B0B" w14:textId="77777777" w:rsidR="009D3DC8" w:rsidRDefault="009D3DC8">
            <w:pPr>
              <w:pStyle w:val="TableText1"/>
              <w:spacing w:line="240" w:lineRule="auto"/>
              <w:rPr>
                <w:rFonts w:ascii="Arial" w:hAnsi="Arial" w:cs="Arial"/>
              </w:rPr>
            </w:pPr>
            <w:r>
              <w:rPr>
                <w:rFonts w:ascii="Arial" w:hAnsi="Arial" w:cs="Arial"/>
              </w:rPr>
              <w:t>High risk</w:t>
            </w:r>
          </w:p>
        </w:tc>
      </w:tr>
      <w:tr w:rsidR="009D3DC8" w14:paraId="56F48E55" w14:textId="77777777">
        <w:trPr>
          <w:cantSplit/>
        </w:trPr>
        <w:tc>
          <w:tcPr>
            <w:tcW w:w="719" w:type="dxa"/>
            <w:vMerge/>
            <w:tcBorders>
              <w:left w:val="single" w:sz="8" w:space="0" w:color="auto"/>
            </w:tcBorders>
            <w:vAlign w:val="center"/>
          </w:tcPr>
          <w:p w14:paraId="519A5C76" w14:textId="77777777" w:rsidR="009D3DC8" w:rsidRDefault="009D3DC8">
            <w:pPr>
              <w:spacing w:line="240" w:lineRule="auto"/>
              <w:rPr>
                <w:rFonts w:ascii="Arial" w:hAnsi="Arial" w:cs="Arial"/>
                <w:b/>
                <w:bCs/>
                <w:sz w:val="16"/>
              </w:rPr>
            </w:pPr>
          </w:p>
        </w:tc>
        <w:tc>
          <w:tcPr>
            <w:tcW w:w="1197" w:type="dxa"/>
            <w:tcBorders>
              <w:top w:val="single" w:sz="8" w:space="0" w:color="C0C0C0"/>
              <w:left w:val="nil"/>
              <w:bottom w:val="single" w:sz="8" w:space="0" w:color="C0C0C0"/>
              <w:right w:val="single" w:sz="8" w:space="0" w:color="C0C0C0"/>
            </w:tcBorders>
          </w:tcPr>
          <w:p w14:paraId="29D9F887" w14:textId="77777777" w:rsidR="009D3DC8" w:rsidRDefault="009D3DC8">
            <w:pPr>
              <w:pStyle w:val="TableText1"/>
              <w:spacing w:line="240" w:lineRule="auto"/>
              <w:rPr>
                <w:rFonts w:ascii="Arial" w:hAnsi="Arial" w:cs="Arial"/>
                <w:b/>
                <w:bCs/>
              </w:rPr>
            </w:pPr>
            <w:r>
              <w:rPr>
                <w:rFonts w:ascii="Arial" w:hAnsi="Arial" w:cs="Arial"/>
                <w:b/>
                <w:bCs/>
              </w:rPr>
              <w:t>Very low</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2A202ED5"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2FB1686A" w14:textId="77777777" w:rsidR="009D3DC8" w:rsidRDefault="009D3DC8">
            <w:pPr>
              <w:pStyle w:val="TableText1"/>
              <w:spacing w:line="240" w:lineRule="auto"/>
              <w:rPr>
                <w:rFonts w:ascii="Arial" w:hAnsi="Arial" w:cs="Arial"/>
                <w:bCs/>
              </w:rPr>
            </w:pPr>
            <w:r>
              <w:rPr>
                <w:rFonts w:ascii="Arial" w:hAnsi="Arial" w:cs="Arial"/>
                <w:bCs/>
              </w:rPr>
              <w:t>Negligible risk</w:t>
            </w:r>
          </w:p>
        </w:tc>
        <w:tc>
          <w:tcPr>
            <w:tcW w:w="1198" w:type="dxa"/>
            <w:tcBorders>
              <w:top w:val="single" w:sz="8" w:space="0" w:color="C0C0C0"/>
              <w:left w:val="single" w:sz="8" w:space="0" w:color="C0C0C0"/>
              <w:bottom w:val="single" w:sz="8" w:space="0" w:color="C0C0C0"/>
              <w:right w:val="single" w:sz="8" w:space="0" w:color="C0C0C0"/>
            </w:tcBorders>
            <w:shd w:val="clear" w:color="auto" w:fill="F3F3F3"/>
          </w:tcPr>
          <w:p w14:paraId="43FF657A" w14:textId="77777777" w:rsidR="009D3DC8" w:rsidRDefault="009D3DC8">
            <w:pPr>
              <w:pStyle w:val="TableText1"/>
              <w:spacing w:line="240" w:lineRule="auto"/>
              <w:rPr>
                <w:rFonts w:ascii="Arial" w:hAnsi="Arial" w:cs="Arial"/>
                <w:bCs/>
              </w:rPr>
            </w:pPr>
            <w:r>
              <w:rPr>
                <w:rFonts w:ascii="Arial" w:hAnsi="Arial" w:cs="Arial"/>
                <w:bCs/>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000000"/>
          </w:tcPr>
          <w:p w14:paraId="37E4D149" w14:textId="77777777" w:rsidR="009D3DC8" w:rsidRDefault="009D3DC8">
            <w:pPr>
              <w:pStyle w:val="TableText1"/>
              <w:spacing w:line="240" w:lineRule="auto"/>
              <w:rPr>
                <w:rFonts w:ascii="Arial" w:hAnsi="Arial" w:cs="Arial"/>
                <w:bCs/>
                <w:color w:val="FFFFFF"/>
              </w:rPr>
            </w:pPr>
            <w:r>
              <w:rPr>
                <w:rFonts w:ascii="Arial" w:hAnsi="Arial" w:cs="Arial"/>
                <w:bCs/>
                <w:color w:val="FFFFFF"/>
              </w:rPr>
              <w:t>Very low risk</w:t>
            </w:r>
          </w:p>
        </w:tc>
        <w:tc>
          <w:tcPr>
            <w:tcW w:w="1197" w:type="dxa"/>
            <w:tcBorders>
              <w:top w:val="single" w:sz="8" w:space="0" w:color="C0C0C0"/>
              <w:left w:val="single" w:sz="8" w:space="0" w:color="C0C0C0"/>
              <w:bottom w:val="single" w:sz="8" w:space="0" w:color="C0C0C0"/>
              <w:right w:val="single" w:sz="8" w:space="0" w:color="C0C0C0"/>
            </w:tcBorders>
            <w:shd w:val="clear" w:color="auto" w:fill="CCFFCC"/>
          </w:tcPr>
          <w:p w14:paraId="603DC0CC" w14:textId="77777777" w:rsidR="009D3DC8" w:rsidRDefault="009D3DC8">
            <w:pPr>
              <w:pStyle w:val="TableText1"/>
              <w:spacing w:line="240" w:lineRule="auto"/>
              <w:rPr>
                <w:rFonts w:ascii="Arial" w:hAnsi="Arial" w:cs="Arial"/>
                <w:bCs/>
              </w:rPr>
            </w:pPr>
            <w:r>
              <w:rPr>
                <w:rFonts w:ascii="Arial" w:hAnsi="Arial" w:cs="Arial"/>
                <w:bCs/>
              </w:rPr>
              <w:t>Low risk</w:t>
            </w:r>
          </w:p>
        </w:tc>
        <w:tc>
          <w:tcPr>
            <w:tcW w:w="1170" w:type="dxa"/>
            <w:tcBorders>
              <w:top w:val="single" w:sz="8" w:space="0" w:color="C0C0C0"/>
              <w:left w:val="single" w:sz="8" w:space="0" w:color="C0C0C0"/>
              <w:bottom w:val="single" w:sz="8" w:space="0" w:color="C0C0C0"/>
              <w:right w:val="single" w:sz="8" w:space="0" w:color="auto"/>
            </w:tcBorders>
            <w:shd w:val="clear" w:color="auto" w:fill="FFFF99"/>
          </w:tcPr>
          <w:p w14:paraId="3C1A45CD" w14:textId="77777777" w:rsidR="009D3DC8" w:rsidRDefault="009D3DC8">
            <w:pPr>
              <w:pStyle w:val="TableText1"/>
              <w:spacing w:line="240" w:lineRule="auto"/>
              <w:rPr>
                <w:rFonts w:ascii="Arial" w:hAnsi="Arial" w:cs="Arial"/>
              </w:rPr>
            </w:pPr>
            <w:r>
              <w:rPr>
                <w:rFonts w:ascii="Arial" w:hAnsi="Arial" w:cs="Arial"/>
              </w:rPr>
              <w:t>Moderate risk</w:t>
            </w:r>
          </w:p>
        </w:tc>
      </w:tr>
      <w:tr w:rsidR="009D3DC8" w14:paraId="77A98DA5" w14:textId="77777777">
        <w:trPr>
          <w:cantSplit/>
        </w:trPr>
        <w:tc>
          <w:tcPr>
            <w:tcW w:w="719" w:type="dxa"/>
            <w:vMerge/>
            <w:tcBorders>
              <w:left w:val="single" w:sz="8" w:space="0" w:color="auto"/>
            </w:tcBorders>
            <w:vAlign w:val="center"/>
          </w:tcPr>
          <w:p w14:paraId="7F0529F1" w14:textId="77777777" w:rsidR="009D3DC8" w:rsidRDefault="009D3DC8">
            <w:pPr>
              <w:spacing w:line="240" w:lineRule="auto"/>
              <w:rPr>
                <w:rFonts w:ascii="Arial" w:hAnsi="Arial" w:cs="Arial"/>
                <w:b/>
                <w:bCs/>
                <w:sz w:val="16"/>
              </w:rPr>
            </w:pPr>
          </w:p>
        </w:tc>
        <w:tc>
          <w:tcPr>
            <w:tcW w:w="1197" w:type="dxa"/>
            <w:tcBorders>
              <w:top w:val="single" w:sz="8" w:space="0" w:color="C0C0C0"/>
              <w:left w:val="nil"/>
              <w:bottom w:val="single" w:sz="8" w:space="0" w:color="C0C0C0"/>
              <w:right w:val="single" w:sz="8" w:space="0" w:color="C0C0C0"/>
            </w:tcBorders>
          </w:tcPr>
          <w:p w14:paraId="0427054E" w14:textId="77777777" w:rsidR="009D3DC8" w:rsidRDefault="009D3DC8">
            <w:pPr>
              <w:pStyle w:val="TableText1"/>
              <w:spacing w:line="240" w:lineRule="auto"/>
              <w:rPr>
                <w:rFonts w:ascii="Arial" w:hAnsi="Arial" w:cs="Arial"/>
                <w:b/>
                <w:bCs/>
              </w:rPr>
            </w:pPr>
            <w:r>
              <w:rPr>
                <w:rFonts w:ascii="Arial" w:hAnsi="Arial" w:cs="Arial"/>
                <w:b/>
                <w:bCs/>
              </w:rPr>
              <w:t>Extremely low</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68033376"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5DDA2390" w14:textId="77777777" w:rsidR="009D3DC8" w:rsidRDefault="009D3DC8">
            <w:pPr>
              <w:pStyle w:val="TableText1"/>
              <w:spacing w:line="240" w:lineRule="auto"/>
              <w:rPr>
                <w:rFonts w:ascii="Arial" w:hAnsi="Arial" w:cs="Arial"/>
                <w:bCs/>
              </w:rPr>
            </w:pPr>
            <w:r>
              <w:rPr>
                <w:rFonts w:ascii="Arial" w:hAnsi="Arial" w:cs="Arial"/>
                <w:bCs/>
              </w:rPr>
              <w:t>Negligible risk</w:t>
            </w:r>
          </w:p>
        </w:tc>
        <w:tc>
          <w:tcPr>
            <w:tcW w:w="1198" w:type="dxa"/>
            <w:tcBorders>
              <w:top w:val="single" w:sz="8" w:space="0" w:color="C0C0C0"/>
              <w:left w:val="single" w:sz="8" w:space="0" w:color="C0C0C0"/>
              <w:bottom w:val="single" w:sz="8" w:space="0" w:color="C0C0C0"/>
              <w:right w:val="single" w:sz="8" w:space="0" w:color="C0C0C0"/>
            </w:tcBorders>
            <w:shd w:val="clear" w:color="auto" w:fill="F3F3F3"/>
          </w:tcPr>
          <w:p w14:paraId="14932228" w14:textId="77777777" w:rsidR="009D3DC8" w:rsidRDefault="009D3DC8">
            <w:pPr>
              <w:pStyle w:val="TableText1"/>
              <w:spacing w:line="240" w:lineRule="auto"/>
              <w:rPr>
                <w:rFonts w:ascii="Arial" w:hAnsi="Arial" w:cs="Arial"/>
                <w:bCs/>
              </w:rPr>
            </w:pPr>
            <w:r>
              <w:rPr>
                <w:rFonts w:ascii="Arial" w:hAnsi="Arial" w:cs="Arial"/>
                <w:bCs/>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6B922003" w14:textId="77777777" w:rsidR="009D3DC8" w:rsidRDefault="009D3DC8">
            <w:pPr>
              <w:pStyle w:val="TableText1"/>
              <w:spacing w:line="240" w:lineRule="auto"/>
              <w:rPr>
                <w:rFonts w:ascii="Arial" w:hAnsi="Arial" w:cs="Arial"/>
                <w:bCs/>
              </w:rPr>
            </w:pPr>
            <w:r>
              <w:rPr>
                <w:rFonts w:ascii="Arial" w:hAnsi="Arial" w:cs="Arial"/>
                <w:bCs/>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000000"/>
          </w:tcPr>
          <w:p w14:paraId="5FE2F7DE" w14:textId="77777777" w:rsidR="009D3DC8" w:rsidRDefault="009D3DC8">
            <w:pPr>
              <w:pStyle w:val="TableText1"/>
              <w:spacing w:line="240" w:lineRule="auto"/>
              <w:rPr>
                <w:rFonts w:ascii="Arial" w:hAnsi="Arial" w:cs="Arial"/>
                <w:bCs/>
                <w:color w:val="FFFFFF"/>
              </w:rPr>
            </w:pPr>
            <w:r>
              <w:rPr>
                <w:rFonts w:ascii="Arial" w:hAnsi="Arial" w:cs="Arial"/>
                <w:bCs/>
                <w:color w:val="FFFFFF"/>
              </w:rPr>
              <w:t>Very low risk</w:t>
            </w:r>
          </w:p>
        </w:tc>
        <w:tc>
          <w:tcPr>
            <w:tcW w:w="1170" w:type="dxa"/>
            <w:tcBorders>
              <w:top w:val="single" w:sz="8" w:space="0" w:color="C0C0C0"/>
              <w:left w:val="single" w:sz="8" w:space="0" w:color="C0C0C0"/>
              <w:bottom w:val="single" w:sz="8" w:space="0" w:color="C0C0C0"/>
              <w:right w:val="single" w:sz="8" w:space="0" w:color="auto"/>
            </w:tcBorders>
            <w:shd w:val="clear" w:color="auto" w:fill="CCFFCC"/>
          </w:tcPr>
          <w:p w14:paraId="214BE554" w14:textId="77777777" w:rsidR="009D3DC8" w:rsidRDefault="009D3DC8">
            <w:pPr>
              <w:pStyle w:val="TableText1"/>
              <w:spacing w:line="240" w:lineRule="auto"/>
              <w:rPr>
                <w:rFonts w:ascii="Arial" w:hAnsi="Arial" w:cs="Arial"/>
              </w:rPr>
            </w:pPr>
            <w:r>
              <w:rPr>
                <w:rFonts w:ascii="Arial" w:hAnsi="Arial" w:cs="Arial"/>
              </w:rPr>
              <w:t>Low risk</w:t>
            </w:r>
          </w:p>
        </w:tc>
      </w:tr>
      <w:tr w:rsidR="009D3DC8" w14:paraId="7E29C212" w14:textId="77777777">
        <w:trPr>
          <w:cantSplit/>
        </w:trPr>
        <w:tc>
          <w:tcPr>
            <w:tcW w:w="719" w:type="dxa"/>
            <w:vMerge/>
            <w:tcBorders>
              <w:left w:val="single" w:sz="8" w:space="0" w:color="auto"/>
            </w:tcBorders>
            <w:vAlign w:val="center"/>
          </w:tcPr>
          <w:p w14:paraId="3EABF3BE" w14:textId="77777777" w:rsidR="009D3DC8" w:rsidRDefault="009D3DC8">
            <w:pPr>
              <w:spacing w:line="240" w:lineRule="auto"/>
              <w:rPr>
                <w:rFonts w:ascii="Arial" w:hAnsi="Arial" w:cs="Arial"/>
                <w:b/>
                <w:bCs/>
                <w:sz w:val="16"/>
              </w:rPr>
            </w:pPr>
          </w:p>
        </w:tc>
        <w:tc>
          <w:tcPr>
            <w:tcW w:w="1197" w:type="dxa"/>
            <w:tcBorders>
              <w:top w:val="single" w:sz="8" w:space="0" w:color="C0C0C0"/>
              <w:left w:val="nil"/>
              <w:right w:val="single" w:sz="8" w:space="0" w:color="C0C0C0"/>
            </w:tcBorders>
          </w:tcPr>
          <w:p w14:paraId="65B2A327" w14:textId="77777777" w:rsidR="009D3DC8" w:rsidRDefault="009D3DC8">
            <w:pPr>
              <w:pStyle w:val="TableText1"/>
              <w:spacing w:line="240" w:lineRule="auto"/>
              <w:rPr>
                <w:rFonts w:ascii="Arial" w:hAnsi="Arial" w:cs="Arial"/>
                <w:b/>
                <w:bCs/>
              </w:rPr>
            </w:pPr>
            <w:r>
              <w:rPr>
                <w:rFonts w:ascii="Arial" w:hAnsi="Arial" w:cs="Arial"/>
                <w:b/>
                <w:bCs/>
              </w:rPr>
              <w:t xml:space="preserve">Negligible </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1129F4EC"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11A5CED7" w14:textId="77777777" w:rsidR="009D3DC8" w:rsidRDefault="009D3DC8">
            <w:pPr>
              <w:pStyle w:val="TableText1"/>
              <w:spacing w:line="240" w:lineRule="auto"/>
              <w:rPr>
                <w:rFonts w:ascii="Arial" w:hAnsi="Arial" w:cs="Arial"/>
              </w:rPr>
            </w:pPr>
            <w:r>
              <w:rPr>
                <w:rFonts w:ascii="Arial" w:hAnsi="Arial" w:cs="Arial"/>
              </w:rPr>
              <w:t>Negligible risk</w:t>
            </w:r>
          </w:p>
        </w:tc>
        <w:tc>
          <w:tcPr>
            <w:tcW w:w="1198" w:type="dxa"/>
            <w:tcBorders>
              <w:top w:val="single" w:sz="8" w:space="0" w:color="C0C0C0"/>
              <w:left w:val="single" w:sz="8" w:space="0" w:color="C0C0C0"/>
              <w:bottom w:val="single" w:sz="8" w:space="0" w:color="C0C0C0"/>
              <w:right w:val="single" w:sz="8" w:space="0" w:color="C0C0C0"/>
            </w:tcBorders>
            <w:shd w:val="clear" w:color="auto" w:fill="F3F3F3"/>
          </w:tcPr>
          <w:p w14:paraId="20FCBE10"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1B1428E2" w14:textId="77777777" w:rsidR="009D3DC8" w:rsidRDefault="009D3DC8">
            <w:pPr>
              <w:pStyle w:val="TableText1"/>
              <w:spacing w:line="240" w:lineRule="auto"/>
              <w:rPr>
                <w:rFonts w:ascii="Arial" w:hAnsi="Arial" w:cs="Arial"/>
              </w:rPr>
            </w:pPr>
            <w:r>
              <w:rPr>
                <w:rFonts w:ascii="Arial" w:hAnsi="Arial" w:cs="Arial"/>
              </w:rPr>
              <w:t>Negligible risk</w:t>
            </w:r>
          </w:p>
        </w:tc>
        <w:tc>
          <w:tcPr>
            <w:tcW w:w="1197" w:type="dxa"/>
            <w:tcBorders>
              <w:top w:val="single" w:sz="8" w:space="0" w:color="C0C0C0"/>
              <w:left w:val="single" w:sz="8" w:space="0" w:color="C0C0C0"/>
              <w:bottom w:val="single" w:sz="8" w:space="0" w:color="C0C0C0"/>
              <w:right w:val="single" w:sz="8" w:space="0" w:color="C0C0C0"/>
            </w:tcBorders>
            <w:shd w:val="clear" w:color="auto" w:fill="F3F3F3"/>
          </w:tcPr>
          <w:p w14:paraId="6F711B00" w14:textId="77777777" w:rsidR="009D3DC8" w:rsidRDefault="009D3DC8">
            <w:pPr>
              <w:pStyle w:val="TableText1"/>
              <w:spacing w:line="240" w:lineRule="auto"/>
              <w:rPr>
                <w:rFonts w:ascii="Arial" w:hAnsi="Arial" w:cs="Arial"/>
              </w:rPr>
            </w:pPr>
            <w:r>
              <w:rPr>
                <w:rFonts w:ascii="Arial" w:hAnsi="Arial" w:cs="Arial"/>
              </w:rPr>
              <w:t>Negligible risk</w:t>
            </w:r>
          </w:p>
        </w:tc>
        <w:tc>
          <w:tcPr>
            <w:tcW w:w="1170" w:type="dxa"/>
            <w:tcBorders>
              <w:top w:val="single" w:sz="8" w:space="0" w:color="C0C0C0"/>
              <w:left w:val="single" w:sz="8" w:space="0" w:color="C0C0C0"/>
              <w:bottom w:val="single" w:sz="8" w:space="0" w:color="C0C0C0"/>
              <w:right w:val="single" w:sz="8" w:space="0" w:color="auto"/>
            </w:tcBorders>
            <w:shd w:val="clear" w:color="auto" w:fill="000000"/>
          </w:tcPr>
          <w:p w14:paraId="6125B1FB" w14:textId="77777777" w:rsidR="009D3DC8" w:rsidRDefault="009D3DC8">
            <w:pPr>
              <w:pStyle w:val="TableText1"/>
              <w:spacing w:line="240" w:lineRule="auto"/>
              <w:rPr>
                <w:rFonts w:ascii="Arial" w:hAnsi="Arial" w:cs="Arial"/>
                <w:bCs/>
                <w:color w:val="FFFFFF"/>
              </w:rPr>
            </w:pPr>
            <w:r>
              <w:rPr>
                <w:rFonts w:ascii="Arial" w:hAnsi="Arial" w:cs="Arial"/>
                <w:bCs/>
                <w:color w:val="FFFFFF"/>
              </w:rPr>
              <w:t>Very low risk</w:t>
            </w:r>
          </w:p>
        </w:tc>
      </w:tr>
      <w:tr w:rsidR="009D3DC8" w14:paraId="6DA715A8" w14:textId="77777777">
        <w:trPr>
          <w:cantSplit/>
        </w:trPr>
        <w:tc>
          <w:tcPr>
            <w:tcW w:w="1916" w:type="dxa"/>
            <w:gridSpan w:val="2"/>
            <w:vMerge w:val="restart"/>
            <w:tcBorders>
              <w:left w:val="single" w:sz="8" w:space="0" w:color="auto"/>
              <w:bottom w:val="single" w:sz="8" w:space="0" w:color="auto"/>
              <w:tr2bl w:val="single" w:sz="8" w:space="0" w:color="C0C0C0"/>
            </w:tcBorders>
          </w:tcPr>
          <w:p w14:paraId="23072F37" w14:textId="77777777" w:rsidR="009D3DC8" w:rsidRDefault="009D3DC8">
            <w:pPr>
              <w:pStyle w:val="TableText1"/>
              <w:spacing w:line="240" w:lineRule="auto"/>
              <w:rPr>
                <w:rFonts w:ascii="Arial" w:hAnsi="Arial" w:cs="Arial"/>
              </w:rPr>
            </w:pPr>
          </w:p>
        </w:tc>
        <w:tc>
          <w:tcPr>
            <w:tcW w:w="1197" w:type="dxa"/>
            <w:tcBorders>
              <w:top w:val="single" w:sz="8" w:space="0" w:color="C0C0C0"/>
              <w:left w:val="nil"/>
              <w:right w:val="single" w:sz="8" w:space="0" w:color="C0C0C0"/>
            </w:tcBorders>
          </w:tcPr>
          <w:p w14:paraId="65AB226D" w14:textId="77777777" w:rsidR="009D3DC8" w:rsidRDefault="009D3DC8">
            <w:pPr>
              <w:pStyle w:val="TableText1"/>
              <w:spacing w:line="240" w:lineRule="auto"/>
              <w:rPr>
                <w:rFonts w:ascii="Arial" w:hAnsi="Arial" w:cs="Arial"/>
                <w:b/>
                <w:bCs/>
              </w:rPr>
            </w:pPr>
            <w:r>
              <w:rPr>
                <w:rFonts w:ascii="Arial" w:hAnsi="Arial" w:cs="Arial"/>
                <w:b/>
                <w:bCs/>
              </w:rPr>
              <w:t xml:space="preserve">Negligible </w:t>
            </w:r>
          </w:p>
        </w:tc>
        <w:tc>
          <w:tcPr>
            <w:tcW w:w="1197" w:type="dxa"/>
            <w:tcBorders>
              <w:top w:val="single" w:sz="8" w:space="0" w:color="C0C0C0"/>
              <w:left w:val="single" w:sz="8" w:space="0" w:color="C0C0C0"/>
              <w:right w:val="single" w:sz="8" w:space="0" w:color="C0C0C0"/>
            </w:tcBorders>
          </w:tcPr>
          <w:p w14:paraId="71549A71" w14:textId="77777777" w:rsidR="009D3DC8" w:rsidRDefault="009D3DC8">
            <w:pPr>
              <w:pStyle w:val="TableText1"/>
              <w:spacing w:line="240" w:lineRule="auto"/>
              <w:rPr>
                <w:rFonts w:ascii="Arial" w:hAnsi="Arial" w:cs="Arial"/>
                <w:b/>
                <w:bCs/>
              </w:rPr>
            </w:pPr>
            <w:r>
              <w:rPr>
                <w:rFonts w:ascii="Arial" w:hAnsi="Arial" w:cs="Arial"/>
                <w:b/>
                <w:bCs/>
              </w:rPr>
              <w:t>Very low</w:t>
            </w:r>
          </w:p>
        </w:tc>
        <w:tc>
          <w:tcPr>
            <w:tcW w:w="1198" w:type="dxa"/>
            <w:tcBorders>
              <w:top w:val="single" w:sz="8" w:space="0" w:color="C0C0C0"/>
              <w:left w:val="single" w:sz="8" w:space="0" w:color="C0C0C0"/>
              <w:right w:val="single" w:sz="8" w:space="0" w:color="C0C0C0"/>
            </w:tcBorders>
          </w:tcPr>
          <w:p w14:paraId="55B5E200" w14:textId="77777777" w:rsidR="009D3DC8" w:rsidRDefault="009D3DC8">
            <w:pPr>
              <w:pStyle w:val="TableText1"/>
              <w:spacing w:line="240" w:lineRule="auto"/>
              <w:rPr>
                <w:rFonts w:ascii="Arial" w:hAnsi="Arial" w:cs="Arial"/>
                <w:b/>
                <w:bCs/>
              </w:rPr>
            </w:pPr>
            <w:r>
              <w:rPr>
                <w:rFonts w:ascii="Arial" w:hAnsi="Arial" w:cs="Arial"/>
                <w:b/>
                <w:bCs/>
              </w:rPr>
              <w:t xml:space="preserve">Low </w:t>
            </w:r>
          </w:p>
        </w:tc>
        <w:tc>
          <w:tcPr>
            <w:tcW w:w="1197" w:type="dxa"/>
            <w:tcBorders>
              <w:top w:val="single" w:sz="8" w:space="0" w:color="C0C0C0"/>
              <w:left w:val="single" w:sz="8" w:space="0" w:color="C0C0C0"/>
              <w:right w:val="single" w:sz="8" w:space="0" w:color="C0C0C0"/>
            </w:tcBorders>
          </w:tcPr>
          <w:p w14:paraId="3DAC0B11" w14:textId="77777777" w:rsidR="009D3DC8" w:rsidRDefault="009D3DC8">
            <w:pPr>
              <w:pStyle w:val="TableText1"/>
              <w:spacing w:line="240" w:lineRule="auto"/>
              <w:rPr>
                <w:rFonts w:ascii="Arial" w:hAnsi="Arial" w:cs="Arial"/>
                <w:b/>
                <w:bCs/>
              </w:rPr>
            </w:pPr>
            <w:r>
              <w:rPr>
                <w:rFonts w:ascii="Arial" w:hAnsi="Arial" w:cs="Arial"/>
                <w:b/>
                <w:bCs/>
              </w:rPr>
              <w:t>Moderate</w:t>
            </w:r>
          </w:p>
        </w:tc>
        <w:tc>
          <w:tcPr>
            <w:tcW w:w="1197" w:type="dxa"/>
            <w:tcBorders>
              <w:top w:val="single" w:sz="8" w:space="0" w:color="C0C0C0"/>
              <w:left w:val="single" w:sz="8" w:space="0" w:color="C0C0C0"/>
              <w:right w:val="single" w:sz="8" w:space="0" w:color="C0C0C0"/>
            </w:tcBorders>
          </w:tcPr>
          <w:p w14:paraId="0C3168B1" w14:textId="77777777" w:rsidR="009D3DC8" w:rsidRDefault="009D3DC8">
            <w:pPr>
              <w:pStyle w:val="TableText1"/>
              <w:spacing w:line="240" w:lineRule="auto"/>
              <w:rPr>
                <w:rFonts w:ascii="Arial" w:hAnsi="Arial" w:cs="Arial"/>
                <w:b/>
                <w:bCs/>
              </w:rPr>
            </w:pPr>
            <w:r>
              <w:rPr>
                <w:rFonts w:ascii="Arial" w:hAnsi="Arial" w:cs="Arial"/>
                <w:b/>
                <w:bCs/>
              </w:rPr>
              <w:t>High</w:t>
            </w:r>
          </w:p>
        </w:tc>
        <w:tc>
          <w:tcPr>
            <w:tcW w:w="1170" w:type="dxa"/>
            <w:tcBorders>
              <w:top w:val="single" w:sz="8" w:space="0" w:color="C0C0C0"/>
              <w:left w:val="single" w:sz="8" w:space="0" w:color="C0C0C0"/>
              <w:right w:val="single" w:sz="8" w:space="0" w:color="auto"/>
            </w:tcBorders>
          </w:tcPr>
          <w:p w14:paraId="5E89F5C9" w14:textId="77777777" w:rsidR="009D3DC8" w:rsidRDefault="009D3DC8">
            <w:pPr>
              <w:pStyle w:val="TableText1"/>
              <w:spacing w:line="240" w:lineRule="auto"/>
              <w:rPr>
                <w:rFonts w:ascii="Arial" w:hAnsi="Arial" w:cs="Arial"/>
                <w:b/>
                <w:bCs/>
              </w:rPr>
            </w:pPr>
            <w:r>
              <w:rPr>
                <w:rFonts w:ascii="Arial" w:hAnsi="Arial" w:cs="Arial"/>
                <w:b/>
                <w:bCs/>
              </w:rPr>
              <w:t xml:space="preserve">Extreme </w:t>
            </w:r>
          </w:p>
        </w:tc>
      </w:tr>
      <w:tr w:rsidR="009D3DC8" w14:paraId="759317FE" w14:textId="77777777">
        <w:trPr>
          <w:cantSplit/>
        </w:trPr>
        <w:tc>
          <w:tcPr>
            <w:tcW w:w="1916" w:type="dxa"/>
            <w:gridSpan w:val="2"/>
            <w:vMerge/>
            <w:tcBorders>
              <w:top w:val="single" w:sz="8" w:space="0" w:color="auto"/>
              <w:left w:val="single" w:sz="8" w:space="0" w:color="auto"/>
              <w:bottom w:val="single" w:sz="8" w:space="0" w:color="auto"/>
              <w:tr2bl w:val="single" w:sz="8" w:space="0" w:color="C0C0C0"/>
            </w:tcBorders>
            <w:vAlign w:val="center"/>
          </w:tcPr>
          <w:p w14:paraId="3DF6AE9D" w14:textId="77777777" w:rsidR="009D3DC8" w:rsidRDefault="009D3DC8">
            <w:pPr>
              <w:pStyle w:val="TableText1"/>
              <w:spacing w:line="240" w:lineRule="auto"/>
              <w:rPr>
                <w:rFonts w:ascii="Arial" w:hAnsi="Arial" w:cs="Arial"/>
              </w:rPr>
            </w:pPr>
          </w:p>
        </w:tc>
        <w:tc>
          <w:tcPr>
            <w:tcW w:w="7156" w:type="dxa"/>
            <w:gridSpan w:val="6"/>
            <w:tcBorders>
              <w:left w:val="nil"/>
              <w:bottom w:val="single" w:sz="8" w:space="0" w:color="auto"/>
              <w:right w:val="single" w:sz="8" w:space="0" w:color="auto"/>
            </w:tcBorders>
          </w:tcPr>
          <w:p w14:paraId="3B959C1F" w14:textId="77777777" w:rsidR="009D3DC8" w:rsidRDefault="009D3DC8">
            <w:pPr>
              <w:pStyle w:val="TableText1"/>
              <w:spacing w:line="240" w:lineRule="auto"/>
              <w:jc w:val="center"/>
              <w:rPr>
                <w:rFonts w:ascii="Arial" w:hAnsi="Arial" w:cs="Arial"/>
                <w:b/>
                <w:bCs/>
              </w:rPr>
            </w:pPr>
            <w:r>
              <w:rPr>
                <w:rFonts w:ascii="Arial" w:hAnsi="Arial" w:cs="Arial"/>
                <w:b/>
                <w:bCs/>
              </w:rPr>
              <w:t>Consequences of pest entry, establishment and spread</w:t>
            </w:r>
          </w:p>
        </w:tc>
      </w:tr>
    </w:tbl>
    <w:p w14:paraId="270C5719" w14:textId="77777777" w:rsidR="009D3DC8" w:rsidRDefault="009D3DC8">
      <w:pPr>
        <w:pStyle w:val="Heading3"/>
        <w:numPr>
          <w:ilvl w:val="2"/>
          <w:numId w:val="8"/>
        </w:numPr>
        <w:spacing w:line="240" w:lineRule="auto"/>
      </w:pPr>
      <w:r>
        <w:t>Australia’s appropriate level of protection (ALOP)</w:t>
      </w:r>
    </w:p>
    <w:p w14:paraId="1F761C3F" w14:textId="77777777" w:rsidR="009D3DC8" w:rsidRDefault="009D3DC8">
      <w:pPr>
        <w:pStyle w:val="Body"/>
        <w:spacing w:before="180"/>
        <w:jc w:val="left"/>
        <w:rPr>
          <w:rFonts w:ascii="Times New Roman" w:hAnsi="Times New Roman"/>
        </w:rPr>
      </w:pPr>
      <w:r>
        <w:rPr>
          <w:rFonts w:ascii="Times New Roman" w:hAnsi="Times New Roman"/>
        </w:rPr>
        <w:t xml:space="preserve">The SPS Agreement defines the concept of an ‘appropriate level of sanitary or phytosanitary protection (ALOP)’ as the level of protection deemed appropriate by the WTO Member </w:t>
      </w:r>
      <w:r>
        <w:rPr>
          <w:rFonts w:ascii="Times New Roman" w:hAnsi="Times New Roman"/>
        </w:rPr>
        <w:lastRenderedPageBreak/>
        <w:t>establishing a sanitary or phytosanitary measure to protect human, animal or plant life or health within its territory.</w:t>
      </w:r>
    </w:p>
    <w:p w14:paraId="11265F47" w14:textId="77777777" w:rsidR="009D3DC8" w:rsidRDefault="009D3DC8">
      <w:pPr>
        <w:pStyle w:val="Body"/>
        <w:spacing w:before="180"/>
        <w:jc w:val="left"/>
        <w:rPr>
          <w:rFonts w:ascii="Times New Roman" w:hAnsi="Times New Roman"/>
        </w:rPr>
      </w:pPr>
      <w:r>
        <w:rPr>
          <w:rFonts w:ascii="Times New Roman" w:hAnsi="Times New Roman"/>
        </w:rP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2.5 marked ‘very low risk’ represents Australia’s ALOP.</w:t>
      </w:r>
    </w:p>
    <w:p w14:paraId="0821D7BA" w14:textId="77777777" w:rsidR="009D3DC8" w:rsidRDefault="009D3DC8">
      <w:pPr>
        <w:pStyle w:val="Heading2"/>
        <w:numPr>
          <w:ilvl w:val="1"/>
          <w:numId w:val="8"/>
        </w:numPr>
        <w:spacing w:line="240" w:lineRule="auto"/>
      </w:pPr>
      <w:bookmarkStart w:id="43" w:name="_Toc325618432"/>
      <w:r>
        <w:t>Stage 3: Pest risk management</w:t>
      </w:r>
      <w:bookmarkEnd w:id="43"/>
    </w:p>
    <w:p w14:paraId="155D9F23" w14:textId="77777777" w:rsidR="009D3DC8" w:rsidRDefault="009D3DC8">
      <w:pPr>
        <w:pStyle w:val="Body"/>
        <w:spacing w:before="180"/>
        <w:jc w:val="left"/>
        <w:rPr>
          <w:rFonts w:ascii="Times New Roman" w:hAnsi="Times New Roman"/>
        </w:rPr>
      </w:pPr>
      <w:r>
        <w:rPr>
          <w:rFonts w:ascii="Times New Roman" w:hAnsi="Times New Roman"/>
        </w:rPr>
        <w:t>Pest risk management describes the process of identifying and implementing phytosanitary measures to manage risks to achieve Australia’s ALOP, while ensuring that any negative effects on trade are minimised.</w:t>
      </w:r>
    </w:p>
    <w:p w14:paraId="43AECDC4" w14:textId="77777777" w:rsidR="009D3DC8" w:rsidRDefault="009D3DC8">
      <w:pPr>
        <w:pStyle w:val="Body"/>
        <w:spacing w:before="180"/>
        <w:jc w:val="left"/>
        <w:rPr>
          <w:rFonts w:ascii="Times New Roman" w:hAnsi="Times New Roman"/>
        </w:rPr>
      </w:pPr>
      <w:r>
        <w:rPr>
          <w:rFonts w:ascii="Times New Roman" w:hAnsi="Times New Roman"/>
        </w:rPr>
        <w:t>The conclusions from pest risk assessment are used to decide whether risk management is required and if so, the appropriate measures to be used. Where the unrestricted risk estimate exceeds Australia’s ALOP, risk management measures are required to reduce this risk to a very low level. The guiding principle for risk management is to manage risk to achieve Australia’s ALOP. The effectiveness of any proposed phytosanitary measures (or combination of measures) is evaluated, using the same approach as used to evaluate the unrestricted risk, to ensure it reduces the restricted risk for the relevant pest or pests to meet Australia’s ALOP.</w:t>
      </w:r>
    </w:p>
    <w:p w14:paraId="2418C00E" w14:textId="77777777" w:rsidR="009D3DC8" w:rsidRDefault="009D3DC8">
      <w:pPr>
        <w:pStyle w:val="Body"/>
        <w:spacing w:before="180"/>
        <w:jc w:val="left"/>
        <w:rPr>
          <w:rFonts w:ascii="Times New Roman" w:hAnsi="Times New Roman"/>
        </w:rPr>
      </w:pPr>
      <w:r>
        <w:rPr>
          <w:rFonts w:ascii="Times New Roman" w:hAnsi="Times New Roman"/>
        </w:rPr>
        <w:t>ISPM 11 (FAO 2004) provides details on the identification and selection of appropriate risk management options and notes that the choice of measures should be based on their effectiveness in reducing the probability of entry of the pest.</w:t>
      </w:r>
    </w:p>
    <w:p w14:paraId="648CA97B" w14:textId="77777777" w:rsidR="009D3DC8" w:rsidRDefault="009D3DC8">
      <w:pPr>
        <w:pStyle w:val="Body"/>
        <w:spacing w:before="180"/>
        <w:jc w:val="left"/>
        <w:rPr>
          <w:rFonts w:ascii="Times New Roman" w:hAnsi="Times New Roman"/>
        </w:rPr>
      </w:pPr>
      <w:r>
        <w:rPr>
          <w:rFonts w:ascii="Times New Roman" w:hAnsi="Times New Roman"/>
        </w:rPr>
        <w:t>Examples given of measures commonly applied to traded commodities include:</w:t>
      </w:r>
    </w:p>
    <w:p w14:paraId="034ED012" w14:textId="77777777" w:rsidR="009D3DC8" w:rsidRDefault="009D3DC8">
      <w:pPr>
        <w:pStyle w:val="Bullets"/>
        <w:numPr>
          <w:ilvl w:val="0"/>
          <w:numId w:val="9"/>
        </w:numPr>
        <w:spacing w:before="120"/>
        <w:jc w:val="left"/>
      </w:pPr>
      <w:r>
        <w:t>options for consignments – e.g.,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0190E3BD" w14:textId="77777777" w:rsidR="009D3DC8" w:rsidRDefault="009D3DC8">
      <w:pPr>
        <w:pStyle w:val="Bullets"/>
        <w:numPr>
          <w:ilvl w:val="0"/>
          <w:numId w:val="9"/>
        </w:numPr>
        <w:spacing w:before="120"/>
        <w:jc w:val="left"/>
      </w:pPr>
      <w:r>
        <w:t>options preventing or reducing infestation in the crop – e.g., treatment of the crop, restriction on the composition of a consignment so it is composed of plants belonging to resistant or less susceptible species, harvesting of plants at a certain age or specified time of the year, production in a certification scheme</w:t>
      </w:r>
    </w:p>
    <w:p w14:paraId="2E7D68AF" w14:textId="77777777" w:rsidR="009D3DC8" w:rsidRDefault="009D3DC8">
      <w:pPr>
        <w:pStyle w:val="Bullets"/>
        <w:numPr>
          <w:ilvl w:val="0"/>
          <w:numId w:val="9"/>
        </w:numPr>
        <w:spacing w:before="120"/>
        <w:jc w:val="left"/>
      </w:pPr>
      <w:r>
        <w:t>options ensuring that the area, place or site of production or crop is free from the pest – e.g., pest-free area, pest-free place of production or pest-free production site</w:t>
      </w:r>
    </w:p>
    <w:p w14:paraId="1C25D3B1" w14:textId="77777777" w:rsidR="009D3DC8" w:rsidRDefault="009D3DC8">
      <w:pPr>
        <w:pStyle w:val="Bullets"/>
        <w:numPr>
          <w:ilvl w:val="0"/>
          <w:numId w:val="9"/>
        </w:numPr>
        <w:spacing w:before="120"/>
        <w:jc w:val="left"/>
      </w:pPr>
      <w:r>
        <w:t>options for other types of pathways – e.g., consider natural spread, measures for human travellers and their baggage, cleaning or disinfestations of contaminated machinery</w:t>
      </w:r>
    </w:p>
    <w:p w14:paraId="7236F6FD" w14:textId="77777777" w:rsidR="009D3DC8" w:rsidRDefault="009D3DC8">
      <w:pPr>
        <w:pStyle w:val="Bullets"/>
        <w:numPr>
          <w:ilvl w:val="0"/>
          <w:numId w:val="9"/>
        </w:numPr>
        <w:spacing w:before="120"/>
        <w:jc w:val="left"/>
      </w:pPr>
      <w:r>
        <w:t>options within the importing country – e.g., surveillance and eradication programs</w:t>
      </w:r>
    </w:p>
    <w:p w14:paraId="41AE4D9F" w14:textId="77777777" w:rsidR="009D3DC8" w:rsidRDefault="009D3DC8">
      <w:pPr>
        <w:pStyle w:val="Bullets"/>
        <w:numPr>
          <w:ilvl w:val="0"/>
          <w:numId w:val="9"/>
        </w:numPr>
        <w:spacing w:before="120"/>
        <w:jc w:val="left"/>
      </w:pPr>
      <w:r>
        <w:t>prohibition of commodities – if no satisfactory measure can be found.</w:t>
      </w:r>
    </w:p>
    <w:p w14:paraId="56E498D0" w14:textId="77777777" w:rsidR="009D3DC8" w:rsidRDefault="009D3DC8">
      <w:pPr>
        <w:pStyle w:val="Body"/>
        <w:spacing w:before="180"/>
        <w:jc w:val="left"/>
        <w:rPr>
          <w:rFonts w:ascii="Times New Roman" w:hAnsi="Times New Roman"/>
        </w:rPr>
      </w:pPr>
      <w:r>
        <w:rPr>
          <w:rFonts w:ascii="Times New Roman" w:hAnsi="Times New Roman"/>
        </w:rPr>
        <w:t xml:space="preserve">Risk management measures are identified for each quarantine pest where the risk exceeds </w:t>
      </w:r>
      <w:smartTag w:uri="urn:schemas-microsoft-com:office:smarttags" w:element="country-region">
        <w:smartTag w:uri="urn:schemas-microsoft-com:office:smarttags" w:element="place">
          <w:r>
            <w:rPr>
              <w:rFonts w:ascii="Times New Roman" w:hAnsi="Times New Roman"/>
            </w:rPr>
            <w:t>Australia</w:t>
          </w:r>
        </w:smartTag>
      </w:smartTag>
      <w:r>
        <w:rPr>
          <w:rFonts w:ascii="Times New Roman" w:hAnsi="Times New Roman"/>
        </w:rPr>
        <w:t>’s ALOP. These are presented in the ‘Pest Risk Management’ section of this report.</w:t>
      </w:r>
    </w:p>
    <w:p w14:paraId="1AC74B6A" w14:textId="77777777" w:rsidR="009D3DC8" w:rsidRDefault="009D3DC8">
      <w:pPr>
        <w:pStyle w:val="Body"/>
        <w:spacing w:before="120" w:after="120"/>
        <w:jc w:val="left"/>
      </w:pPr>
    </w:p>
    <w:p w14:paraId="6AA4F1E7" w14:textId="77777777" w:rsidR="009D3DC8" w:rsidRDefault="009D3DC8">
      <w:pPr>
        <w:pStyle w:val="Body"/>
        <w:spacing w:before="120" w:after="120"/>
        <w:jc w:val="left"/>
        <w:sectPr w:rsidR="009D3DC8">
          <w:headerReference w:type="default" r:id="rId33"/>
          <w:type w:val="oddPage"/>
          <w:pgSz w:w="11906" w:h="16838"/>
          <w:pgMar w:top="1440" w:right="1274" w:bottom="1276" w:left="1440" w:header="708" w:footer="708" w:gutter="0"/>
          <w:cols w:space="708"/>
          <w:docGrid w:linePitch="360"/>
        </w:sectPr>
      </w:pPr>
    </w:p>
    <w:p w14:paraId="54E1274C" w14:textId="77777777" w:rsidR="009D3DC8" w:rsidRDefault="009D3DC8">
      <w:pPr>
        <w:pStyle w:val="Heading1"/>
        <w:numPr>
          <w:ilvl w:val="0"/>
          <w:numId w:val="8"/>
        </w:numPr>
        <w:spacing w:before="120" w:line="240" w:lineRule="auto"/>
      </w:pPr>
      <w:bookmarkStart w:id="44" w:name="_Toc325618433"/>
      <w:r>
        <w:lastRenderedPageBreak/>
        <w:t>Indonesia’s commercial production practices for mangosteen fruit</w:t>
      </w:r>
      <w:bookmarkEnd w:id="44"/>
    </w:p>
    <w:p w14:paraId="5CAD7C87" w14:textId="77777777" w:rsidR="009D3DC8" w:rsidRDefault="009D3DC8">
      <w:pPr>
        <w:spacing w:before="180" w:line="280" w:lineRule="atLeast"/>
        <w:rPr>
          <w:rFonts w:ascii="Times New Roman" w:hAnsi="Times New Roman"/>
        </w:rPr>
      </w:pPr>
      <w:r>
        <w:rPr>
          <w:rFonts w:ascii="Times New Roman" w:hAnsi="Times New Roman"/>
          <w:sz w:val="24"/>
        </w:rPr>
        <w:t>This chapter provides information on the pre-harvest, harvest and post-harvest practices in Indonesia for the production of fresh mangosteen fruit for export. The practices described in this section are considered to be standard for export of mangosteen fruit in Indonesia, and DAFF Biosecurity has taken them into consideration when estimating the unrestricted risk of pests that may be associated with the import of this commodity. The export capability of Indonesia is also outlined.</w:t>
      </w:r>
    </w:p>
    <w:p w14:paraId="068F32CB" w14:textId="77777777" w:rsidR="009D3DC8" w:rsidRDefault="009D3DC8">
      <w:pPr>
        <w:pStyle w:val="Heading2"/>
        <w:numPr>
          <w:ilvl w:val="1"/>
          <w:numId w:val="8"/>
        </w:numPr>
        <w:spacing w:line="240" w:lineRule="auto"/>
      </w:pPr>
      <w:bookmarkStart w:id="45" w:name="_Toc325618434"/>
      <w:r>
        <w:t>Assumptions used in estimating unrestricted risk</w:t>
      </w:r>
      <w:bookmarkEnd w:id="45"/>
    </w:p>
    <w:p w14:paraId="3E9C50DD" w14:textId="77777777" w:rsidR="009D3DC8" w:rsidRDefault="009D3DC8">
      <w:pPr>
        <w:spacing w:before="180" w:line="280" w:lineRule="atLeast"/>
        <w:rPr>
          <w:rFonts w:ascii="Times New Roman" w:hAnsi="Times New Roman"/>
          <w:sz w:val="24"/>
        </w:rPr>
      </w:pPr>
      <w:r>
        <w:rPr>
          <w:rFonts w:ascii="Times New Roman" w:hAnsi="Times New Roman"/>
          <w:sz w:val="24"/>
        </w:rPr>
        <w:t>Indonesia provided Australia with information on the standard commercial practices used in the production of mangosteens in different regions and for all commercially produced mangosteen varieties in Indonesia. This information was complemented with data from other sources and was taken into consideration when estimating the unrestricted risks of pests that may be associated with the import of this commodity.</w:t>
      </w:r>
    </w:p>
    <w:p w14:paraId="0DD71431" w14:textId="77777777" w:rsidR="009D3DC8" w:rsidRDefault="009D3DC8">
      <w:pPr>
        <w:spacing w:before="180" w:line="280" w:lineRule="atLeast"/>
        <w:rPr>
          <w:rFonts w:ascii="Times New Roman" w:hAnsi="Times New Roman"/>
          <w:sz w:val="24"/>
        </w:rPr>
      </w:pPr>
      <w:r>
        <w:rPr>
          <w:rFonts w:ascii="Times New Roman" w:hAnsi="Times New Roman"/>
          <w:sz w:val="24"/>
        </w:rPr>
        <w:t>DAFF Biosecurity visited mangosteen production areas in West Java from 6–9 September 2011, to verify the pest status and observe the harvest, processing and packing procedures for export of mangosteen fruit. DAFF Biosecurity’s observations and additional information provided during the visit confirmed the production and processing procedures described in this chapter as standard commercial production practices for mangosteen fruit for export.</w:t>
      </w:r>
    </w:p>
    <w:p w14:paraId="0F2E507B" w14:textId="77777777" w:rsidR="009D3DC8" w:rsidRDefault="009D3DC8">
      <w:pPr>
        <w:spacing w:before="180" w:line="280" w:lineRule="atLeast"/>
        <w:rPr>
          <w:rFonts w:ascii="Times New Roman" w:hAnsi="Times New Roman"/>
          <w:sz w:val="24"/>
        </w:rPr>
      </w:pPr>
      <w:r>
        <w:rPr>
          <w:rFonts w:ascii="Times New Roman" w:hAnsi="Times New Roman"/>
          <w:sz w:val="24"/>
        </w:rPr>
        <w:t>In estimating the likelihood of pest introduction it was assumed that the pre-harvest, harvest and post-harvest production practices for mangosteen fruit as described in this chapter are implemented for all regions and for all mangosteen varieties within the scope of this analysis. Where a specific practice described in this chapter is not taken into account to estimate the unrestricted risk, it is clearly identified and explained in Chapter 4.</w:t>
      </w:r>
    </w:p>
    <w:p w14:paraId="7ED22664" w14:textId="77777777" w:rsidR="009D3DC8" w:rsidRDefault="009D3DC8">
      <w:pPr>
        <w:rPr>
          <w:sz w:val="24"/>
        </w:rPr>
      </w:pPr>
      <w:r>
        <w:rPr>
          <w:noProof/>
          <w:sz w:val="24"/>
          <w:lang w:eastAsia="en-AU"/>
        </w:rPr>
        <w:pict w14:anchorId="717DA57C">
          <v:shape id="_x0000_i1032" type="#_x0000_t75" alt="Map of indonesia.bmp" style="width:459.75pt;height:184.5pt;visibility:visible">
            <v:imagedata r:id="rId34" o:title="Map of indonesia"/>
          </v:shape>
        </w:pict>
      </w:r>
    </w:p>
    <w:p w14:paraId="5F17D4DE" w14:textId="77777777" w:rsidR="009D3DC8" w:rsidRDefault="009D3DC8">
      <w:pPr>
        <w:pStyle w:val="Figure"/>
      </w:pPr>
      <w:bookmarkStart w:id="46" w:name="_Toc318962124"/>
      <w:r>
        <w:t>Figure 5</w:t>
      </w:r>
      <w:r>
        <w:tab/>
        <w:t>Map of Indonesia</w:t>
      </w:r>
      <w:r>
        <w:rPr>
          <w:rStyle w:val="FootnoteReference"/>
        </w:rPr>
        <w:footnoteReference w:id="4"/>
      </w:r>
      <w:bookmarkEnd w:id="46"/>
    </w:p>
    <w:p w14:paraId="304E434F" w14:textId="77777777" w:rsidR="009D3DC8" w:rsidRDefault="009D3DC8">
      <w:pPr>
        <w:pStyle w:val="Heading2"/>
        <w:numPr>
          <w:ilvl w:val="1"/>
          <w:numId w:val="8"/>
        </w:numPr>
        <w:spacing w:line="240" w:lineRule="auto"/>
      </w:pPr>
      <w:bookmarkStart w:id="47" w:name="_Toc325618435"/>
      <w:r>
        <w:lastRenderedPageBreak/>
        <w:t>Climate in production areas</w:t>
      </w:r>
      <w:bookmarkEnd w:id="47"/>
    </w:p>
    <w:p w14:paraId="4578EE70" w14:textId="77777777" w:rsidR="009D3DC8" w:rsidRDefault="009D3DC8">
      <w:pPr>
        <w:spacing w:before="180" w:line="280" w:lineRule="atLeast"/>
        <w:rPr>
          <w:rFonts w:ascii="Times New Roman" w:hAnsi="Times New Roman"/>
          <w:sz w:val="24"/>
        </w:rPr>
      </w:pPr>
      <w:r>
        <w:rPr>
          <w:rFonts w:ascii="Times New Roman" w:hAnsi="Times New Roman"/>
          <w:sz w:val="24"/>
        </w:rPr>
        <w:t>Mangosteens are grown across all of Indonesia, with the main production areas scattered across Sumatra, Java, Bali and Nusa Tenggara (PHTRI 2010).</w:t>
      </w:r>
    </w:p>
    <w:p w14:paraId="4B601621" w14:textId="77777777" w:rsidR="009D3DC8" w:rsidRDefault="009D3DC8">
      <w:pPr>
        <w:spacing w:before="180" w:line="280" w:lineRule="atLeast"/>
        <w:rPr>
          <w:rFonts w:ascii="Times New Roman" w:hAnsi="Times New Roman"/>
          <w:sz w:val="24"/>
        </w:rPr>
      </w:pPr>
      <w:r>
        <w:rPr>
          <w:rFonts w:ascii="Times New Roman" w:hAnsi="Times New Roman"/>
          <w:sz w:val="24"/>
        </w:rPr>
        <w:t>Indonesia’s largest mangosteen production area is the province of West Java, followed by South Sumatra. Other production provinces of note include East Java, Central Java and West Sumatra (Mansyah</w:t>
      </w:r>
      <w:r>
        <w:rPr>
          <w:rFonts w:ascii="Times New Roman" w:hAnsi="Times New Roman"/>
          <w:i/>
          <w:sz w:val="24"/>
        </w:rPr>
        <w:t xml:space="preserve"> et al.</w:t>
      </w:r>
      <w:r>
        <w:rPr>
          <w:rFonts w:ascii="Times New Roman" w:hAnsi="Times New Roman"/>
          <w:sz w:val="24"/>
        </w:rPr>
        <w:t xml:space="preserve"> 2010).</w:t>
      </w:r>
    </w:p>
    <w:p w14:paraId="403DC8DB" w14:textId="77777777" w:rsidR="009D3DC8" w:rsidRDefault="009D3DC8">
      <w:pPr>
        <w:spacing w:before="180" w:line="280" w:lineRule="atLeast"/>
        <w:rPr>
          <w:rFonts w:ascii="Times New Roman" w:hAnsi="Times New Roman"/>
          <w:sz w:val="24"/>
        </w:rPr>
      </w:pPr>
      <w:r>
        <w:rPr>
          <w:rFonts w:ascii="Times New Roman" w:hAnsi="Times New Roman"/>
          <w:sz w:val="24"/>
        </w:rPr>
        <w:t>Indonesia lies close to the equator, which means that the climate is almost entirely tropical (hot and humid). The temperature remains fairly constant throughout the year, with the coastal plains averaging 28 °C, the inland and mountain ranges averaging 26 °C and the higher mountain regions, 23 °C (Frederick and Worden 1993). Seasonal variation is dominated by precipitation.</w:t>
      </w:r>
    </w:p>
    <w:p w14:paraId="1D4F3D5F" w14:textId="77777777" w:rsidR="009D3DC8" w:rsidRDefault="009D3DC8">
      <w:pPr>
        <w:spacing w:before="180" w:line="280" w:lineRule="atLeast"/>
        <w:rPr>
          <w:rFonts w:ascii="Times New Roman" w:hAnsi="Times New Roman"/>
          <w:sz w:val="24"/>
        </w:rPr>
      </w:pPr>
      <w:r>
        <w:rPr>
          <w:rFonts w:ascii="Times New Roman" w:hAnsi="Times New Roman"/>
          <w:sz w:val="24"/>
        </w:rPr>
        <w:t>Indonesia’s climate is divided into rainy and dry season. The extreme variations in rainfall are linked with the monsoons. The northwestern monsoons bring the rainy season from October to April, while the southern and eastern monsoons bring the dry weather that occurs from May to September. The dry season does not mean there is no rain, but less rain with tropical showers occurring in the afternoons.</w:t>
      </w:r>
    </w:p>
    <w:p w14:paraId="03F227C1" w14:textId="77777777" w:rsidR="009D3DC8" w:rsidRDefault="009D3DC8">
      <w:pPr>
        <w:spacing w:before="180" w:line="280" w:lineRule="atLeast"/>
        <w:rPr>
          <w:rFonts w:ascii="Times New Roman" w:hAnsi="Times New Roman"/>
          <w:sz w:val="24"/>
        </w:rPr>
      </w:pPr>
      <w:r>
        <w:rPr>
          <w:rFonts w:ascii="Times New Roman" w:hAnsi="Times New Roman"/>
          <w:sz w:val="24"/>
        </w:rPr>
        <w:t>In general, the western and northern parts of Indonesia experience the most precipitation. Western Sumatra, Java, Bali, the interiors of Kalimantan, Sulawesi and West Papua are the wettest regions of Indonesia, with the annual rainfall measuring more than 2000 mm. The islands closer to Australia, Nusa Tenggara and the eastern tip of Java, tend to be dryer with some areas experiencing less than 1000 mm per year (Weatheronline 2011).</w:t>
      </w:r>
    </w:p>
    <w:p w14:paraId="7BEBBA1A" w14:textId="77777777" w:rsidR="009D3DC8" w:rsidRDefault="009D3DC8">
      <w:pPr>
        <w:pStyle w:val="NormalWeb"/>
        <w:spacing w:before="180" w:beforeAutospacing="0" w:after="0" w:afterAutospacing="0" w:line="280" w:lineRule="atLeast"/>
        <w:rPr>
          <w:rFonts w:ascii="Times New Roman" w:hAnsi="Times New Roman"/>
          <w:lang w:val="en-US"/>
        </w:rPr>
      </w:pPr>
      <w:r>
        <w:rPr>
          <w:rFonts w:ascii="Times New Roman" w:hAnsi="Times New Roman"/>
          <w:lang w:val="en-US"/>
        </w:rPr>
        <w:t xml:space="preserve">Rainfall in Indonesia also varies with topography. </w:t>
      </w:r>
      <w:r>
        <w:rPr>
          <w:rFonts w:ascii="Times New Roman" w:hAnsi="Times New Roman"/>
        </w:rPr>
        <w:t xml:space="preserve">In the lowland areas of Indonesia, the annual rainfall averages 1800–3200 mm and increases with elevation to more than 6000 mm. </w:t>
      </w:r>
      <w:r>
        <w:rPr>
          <w:rFonts w:ascii="Times New Roman" w:hAnsi="Times New Roman"/>
          <w:lang w:val="en-US"/>
        </w:rPr>
        <w:t>In West Java, the main mangosteen production area of Indonesia, the average rainfall along the north coast is 2000 mm per year, and in the mountainous areas, rainfall ranges from 3000 to 5000 mm per year.</w:t>
      </w:r>
    </w:p>
    <w:p w14:paraId="1D4F70FB" w14:textId="77777777" w:rsidR="009D3DC8" w:rsidRDefault="009D3DC8">
      <w:pPr>
        <w:pStyle w:val="NormalWeb"/>
        <w:spacing w:before="180" w:beforeAutospacing="0" w:after="0" w:afterAutospacing="0" w:line="280" w:lineRule="atLeast"/>
        <w:rPr>
          <w:rFonts w:ascii="Times New Roman" w:hAnsi="Times New Roman"/>
          <w:highlight w:val="yellow"/>
        </w:rPr>
      </w:pPr>
      <w:r>
        <w:rPr>
          <w:rFonts w:ascii="Times New Roman" w:hAnsi="Times New Roman"/>
          <w:lang w:val="en-US"/>
        </w:rPr>
        <w:t>The rainfall in Sumatra, the second largest mangosteen production area in Indonesia, also varies across the island. The we</w:t>
      </w:r>
      <w:r>
        <w:rPr>
          <w:rFonts w:ascii="Times New Roman" w:eastAsia="Times New Roman" w:hAnsi="Times New Roman"/>
          <w:lang w:eastAsia="en-AU"/>
        </w:rPr>
        <w:t>ttest part of Sumatra is the narrow west coast plain and the west foothills of the Bukit Barians, averaging 4000 mm per year and rising to 6000 mm per year in the town of Bengkulu. Rainfall is lower in Central, East and North Sumatra averaging 2500 mm to 3000 mm per year (Eliot</w:t>
      </w:r>
      <w:r>
        <w:rPr>
          <w:rFonts w:ascii="Times New Roman" w:eastAsia="Times New Roman" w:hAnsi="Times New Roman"/>
          <w:i/>
          <w:lang w:eastAsia="en-AU"/>
        </w:rPr>
        <w:t xml:space="preserve"> et al.</w:t>
      </w:r>
      <w:r>
        <w:rPr>
          <w:rFonts w:ascii="Times New Roman" w:eastAsia="Times New Roman" w:hAnsi="Times New Roman"/>
          <w:lang w:eastAsia="en-AU"/>
        </w:rPr>
        <w:t xml:space="preserve"> 2001).</w:t>
      </w:r>
    </w:p>
    <w:p w14:paraId="0BAE18A4" w14:textId="77777777" w:rsidR="009D3DC8" w:rsidRDefault="009D3DC8">
      <w:pPr>
        <w:pStyle w:val="Heading2"/>
        <w:numPr>
          <w:ilvl w:val="1"/>
          <w:numId w:val="8"/>
        </w:numPr>
        <w:spacing w:line="240" w:lineRule="auto"/>
      </w:pPr>
      <w:bookmarkStart w:id="48" w:name="_Toc312317866"/>
      <w:bookmarkStart w:id="49" w:name="_Toc312317867"/>
      <w:bookmarkStart w:id="50" w:name="_Toc325618436"/>
      <w:bookmarkEnd w:id="48"/>
      <w:bookmarkEnd w:id="49"/>
      <w:r>
        <w:t>Pre-harvest</w:t>
      </w:r>
      <w:bookmarkEnd w:id="50"/>
    </w:p>
    <w:p w14:paraId="30F3FBAF" w14:textId="77777777" w:rsidR="009D3DC8" w:rsidRDefault="009D3DC8">
      <w:pPr>
        <w:pStyle w:val="Heading3"/>
        <w:numPr>
          <w:ilvl w:val="2"/>
          <w:numId w:val="8"/>
        </w:numPr>
        <w:spacing w:line="240" w:lineRule="auto"/>
      </w:pPr>
      <w:r>
        <w:t>Cultivars</w:t>
      </w:r>
    </w:p>
    <w:p w14:paraId="1B0B3394" w14:textId="77777777" w:rsidR="009D3DC8" w:rsidRDefault="009D3DC8">
      <w:pPr>
        <w:spacing w:before="180" w:line="280" w:lineRule="atLeast"/>
        <w:rPr>
          <w:rFonts w:ascii="Times New Roman" w:hAnsi="Times New Roman"/>
          <w:sz w:val="24"/>
        </w:rPr>
      </w:pPr>
      <w:r>
        <w:rPr>
          <w:rFonts w:ascii="Times New Roman" w:hAnsi="Times New Roman"/>
          <w:sz w:val="24"/>
        </w:rPr>
        <w:t>Mangosteen is an apomictic plant and propagation is by apomictic seed, where the embryo and seed forms without fertilisation (Sobir and Poerwanto 2007). Thus, mangosteen trees are essentially clonal, which means that the offspring is genetically identical to the mother plant (Mansyah</w:t>
      </w:r>
      <w:r>
        <w:rPr>
          <w:rFonts w:ascii="Times New Roman" w:hAnsi="Times New Roman"/>
          <w:i/>
          <w:sz w:val="24"/>
        </w:rPr>
        <w:t xml:space="preserve"> et al.</w:t>
      </w:r>
      <w:r>
        <w:rPr>
          <w:rFonts w:ascii="Times New Roman" w:hAnsi="Times New Roman"/>
          <w:sz w:val="24"/>
        </w:rPr>
        <w:t xml:space="preserve"> 2010). Based on this assumption, there is only one variety of cultivated mangosteen (Horn 1940; Sobir and Poerwanto 2007; Mansyah</w:t>
      </w:r>
      <w:r>
        <w:rPr>
          <w:rFonts w:ascii="Times New Roman" w:hAnsi="Times New Roman"/>
          <w:i/>
          <w:sz w:val="24"/>
        </w:rPr>
        <w:t xml:space="preserve"> et al.</w:t>
      </w:r>
      <w:r>
        <w:rPr>
          <w:rFonts w:ascii="Times New Roman" w:hAnsi="Times New Roman"/>
          <w:sz w:val="24"/>
        </w:rPr>
        <w:t xml:space="preserve"> 2010). However, distinct variations in morphological characters can be observed across Indonesia and Southeast Asia, where mangosteens are grown.</w:t>
      </w:r>
    </w:p>
    <w:p w14:paraId="17C687CA"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 xml:space="preserve">Earlier studies suggested that variation of mangosteen plants between regions were due to differences in environmental conditions (Horn 1940). However, recent studies using DNA markers have confirmed genetic variability among the mangosteen population and </w:t>
      </w:r>
      <w:r>
        <w:rPr>
          <w:rFonts w:ascii="Times New Roman" w:hAnsi="Times New Roman"/>
          <w:i/>
          <w:sz w:val="24"/>
        </w:rPr>
        <w:t xml:space="preserve">Garcinia </w:t>
      </w:r>
      <w:r>
        <w:rPr>
          <w:rFonts w:ascii="Times New Roman" w:hAnsi="Times New Roman"/>
          <w:sz w:val="24"/>
        </w:rPr>
        <w:t>spp. (Sobir and Poerwanto 2007; Sobir</w:t>
      </w:r>
      <w:r>
        <w:rPr>
          <w:rFonts w:ascii="Times New Roman" w:hAnsi="Times New Roman"/>
          <w:i/>
          <w:sz w:val="24"/>
        </w:rPr>
        <w:t xml:space="preserve"> et al.</w:t>
      </w:r>
      <w:r>
        <w:rPr>
          <w:rFonts w:ascii="Times New Roman" w:hAnsi="Times New Roman"/>
          <w:sz w:val="24"/>
        </w:rPr>
        <w:t xml:space="preserve"> 2011). These studies suggest that mangosteen did not originate from a single hybridisation of its ancestral sexual parents (</w:t>
      </w:r>
      <w:r>
        <w:rPr>
          <w:rFonts w:ascii="Times New Roman" w:hAnsi="Times New Roman"/>
          <w:i/>
          <w:sz w:val="24"/>
        </w:rPr>
        <w:t xml:space="preserve">G. malaccensis </w:t>
      </w:r>
      <w:r>
        <w:rPr>
          <w:rFonts w:ascii="Times New Roman" w:hAnsi="Times New Roman"/>
          <w:sz w:val="24"/>
        </w:rPr>
        <w:t xml:space="preserve">and </w:t>
      </w:r>
      <w:r>
        <w:rPr>
          <w:rFonts w:ascii="Times New Roman" w:hAnsi="Times New Roman"/>
          <w:i/>
          <w:sz w:val="24"/>
        </w:rPr>
        <w:t>G. hombrioniana</w:t>
      </w:r>
      <w:r>
        <w:rPr>
          <w:rFonts w:ascii="Times New Roman" w:hAnsi="Times New Roman"/>
          <w:sz w:val="24"/>
        </w:rPr>
        <w:t xml:space="preserve">) as previously thought. Southeast Asia, including Indonesia, is a center of diversity for </w:t>
      </w:r>
      <w:r>
        <w:rPr>
          <w:rFonts w:ascii="Times New Roman" w:hAnsi="Times New Roman"/>
          <w:i/>
          <w:sz w:val="24"/>
        </w:rPr>
        <w:t>Garcinia</w:t>
      </w:r>
      <w:r>
        <w:rPr>
          <w:rFonts w:ascii="Times New Roman" w:hAnsi="Times New Roman"/>
          <w:sz w:val="24"/>
        </w:rPr>
        <w:t>, and this would most likely explain the variation among mangosteen populations (Sobir</w:t>
      </w:r>
      <w:r>
        <w:rPr>
          <w:rFonts w:ascii="Times New Roman" w:hAnsi="Times New Roman"/>
          <w:i/>
          <w:sz w:val="24"/>
        </w:rPr>
        <w:t xml:space="preserve"> et al.</w:t>
      </w:r>
      <w:r>
        <w:rPr>
          <w:rFonts w:ascii="Times New Roman" w:hAnsi="Times New Roman"/>
          <w:sz w:val="24"/>
        </w:rPr>
        <w:t xml:space="preserve"> 2011).</w:t>
      </w:r>
    </w:p>
    <w:p w14:paraId="36540DC0" w14:textId="77777777" w:rsidR="009D3DC8" w:rsidRDefault="009D3DC8">
      <w:pPr>
        <w:spacing w:before="180" w:line="280" w:lineRule="atLeast"/>
        <w:rPr>
          <w:rFonts w:ascii="Times New Roman" w:hAnsi="Times New Roman"/>
        </w:rPr>
      </w:pPr>
      <w:r>
        <w:rPr>
          <w:rFonts w:ascii="Times New Roman" w:hAnsi="Times New Roman"/>
          <w:sz w:val="24"/>
        </w:rPr>
        <w:t xml:space="preserve">Mansyah </w:t>
      </w:r>
      <w:r>
        <w:rPr>
          <w:rFonts w:ascii="Times New Roman" w:hAnsi="Times New Roman"/>
          <w:i/>
          <w:sz w:val="24"/>
        </w:rPr>
        <w:t>et al</w:t>
      </w:r>
      <w:r>
        <w:rPr>
          <w:rFonts w:ascii="Times New Roman" w:hAnsi="Times New Roman"/>
          <w:sz w:val="24"/>
        </w:rPr>
        <w:t>. (2010) identified eleven morphological characteristics that can be used to distinguish mangosteen varieties in Indonesia, these being: canopy shape; leaf area; fruit weight; mature leaf colour; number of flowers and fruit per cluster; fruit shape; fruit base shape; stigma lobe shape, size and thickness; number of fruit segments; pedicel length; and rind thickness.</w:t>
      </w:r>
    </w:p>
    <w:p w14:paraId="51A04F86"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There are a number of identified mangosteen varieties that are grown in specific regions of Indonesia: Kaligesing, Wanayasa, Puspahiang, Bogor Raya, Ratu Kamang, Ratu Tembilahan, Marel, Lingsar and Malinau (IAQA 2010). </w:t>
      </w:r>
    </w:p>
    <w:p w14:paraId="0E179A2E" w14:textId="77777777" w:rsidR="009D3DC8" w:rsidRDefault="009D3DC8">
      <w:pPr>
        <w:spacing w:before="180" w:line="280" w:lineRule="atLeast"/>
        <w:rPr>
          <w:rFonts w:ascii="Times New Roman" w:hAnsi="Times New Roman"/>
          <w:sz w:val="24"/>
          <w:highlight w:val="yellow"/>
        </w:rPr>
      </w:pPr>
      <w:r>
        <w:rPr>
          <w:rFonts w:ascii="Times New Roman" w:hAnsi="Times New Roman"/>
          <w:sz w:val="24"/>
        </w:rPr>
        <w:t>Puspahiang, Wanayasa and Bogor Raya are the three main mangosteen varieties commercially grown in Indonesia. The morphological characteristics for these varieties are shown in Table 3.1. The Kaligesing variety is also favoured across Indonesia as it is resistant against fruit borer and fusarium wilt (IAQA 2011).</w:t>
      </w:r>
    </w:p>
    <w:p w14:paraId="3A8289AA" w14:textId="77777777" w:rsidR="009D3DC8" w:rsidRDefault="009D3DC8">
      <w:pPr>
        <w:pStyle w:val="Table"/>
        <w:ind w:left="1440" w:hanging="1440"/>
      </w:pPr>
      <w:bookmarkStart w:id="51" w:name="_Toc325625797"/>
      <w:r>
        <w:t>Table 3.1</w:t>
      </w:r>
      <w:r>
        <w:tab/>
        <w:t>Characteristics of common mangosteen varieties in Indonesia</w:t>
      </w:r>
      <w:bookmarkEnd w:id="51"/>
    </w:p>
    <w:tbl>
      <w:tblPr>
        <w:tblpPr w:leftFromText="180" w:rightFromText="180" w:vertAnchor="text" w:tblpX="115" w:tblpY="1"/>
        <w:tblOverlap w:val="never"/>
        <w:tblW w:w="487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242"/>
        <w:gridCol w:w="2314"/>
        <w:gridCol w:w="2315"/>
        <w:gridCol w:w="2315"/>
      </w:tblGrid>
      <w:tr w:rsidR="009D3DC8" w14:paraId="05293D1F" w14:textId="77777777">
        <w:trPr>
          <w:cantSplit/>
        </w:trPr>
        <w:tc>
          <w:tcPr>
            <w:tcW w:w="2242" w:type="dxa"/>
            <w:vMerge w:val="restart"/>
            <w:shd w:val="clear" w:color="auto" w:fill="D9D9D9"/>
            <w:vAlign w:val="center"/>
          </w:tcPr>
          <w:p w14:paraId="3CE80604" w14:textId="77777777" w:rsidR="009D3DC8" w:rsidRDefault="009D3DC8">
            <w:pPr>
              <w:pStyle w:val="TableText1"/>
              <w:jc w:val="center"/>
              <w:rPr>
                <w:rFonts w:ascii="Arial" w:hAnsi="Arial" w:cs="Arial"/>
                <w:b/>
                <w:szCs w:val="16"/>
              </w:rPr>
            </w:pPr>
            <w:r>
              <w:rPr>
                <w:rFonts w:ascii="Arial" w:hAnsi="Arial" w:cs="Arial"/>
                <w:b/>
                <w:szCs w:val="16"/>
              </w:rPr>
              <w:t>Trait</w:t>
            </w:r>
          </w:p>
        </w:tc>
        <w:tc>
          <w:tcPr>
            <w:tcW w:w="6944" w:type="dxa"/>
            <w:gridSpan w:val="3"/>
            <w:shd w:val="clear" w:color="auto" w:fill="D9D9D9"/>
            <w:vAlign w:val="center"/>
          </w:tcPr>
          <w:p w14:paraId="2C3B9754" w14:textId="77777777" w:rsidR="009D3DC8" w:rsidRDefault="009D3DC8">
            <w:pPr>
              <w:pStyle w:val="TableText1"/>
              <w:jc w:val="center"/>
              <w:rPr>
                <w:rFonts w:ascii="Arial" w:hAnsi="Arial" w:cs="Arial"/>
                <w:b/>
                <w:szCs w:val="16"/>
              </w:rPr>
            </w:pPr>
            <w:r>
              <w:rPr>
                <w:rFonts w:ascii="Arial" w:hAnsi="Arial" w:cs="Arial"/>
                <w:b/>
                <w:szCs w:val="16"/>
              </w:rPr>
              <w:t>Varieties</w:t>
            </w:r>
          </w:p>
        </w:tc>
      </w:tr>
      <w:tr w:rsidR="009D3DC8" w14:paraId="0EE1E408" w14:textId="77777777">
        <w:trPr>
          <w:cantSplit/>
        </w:trPr>
        <w:tc>
          <w:tcPr>
            <w:tcW w:w="2242" w:type="dxa"/>
            <w:vMerge/>
            <w:shd w:val="clear" w:color="auto" w:fill="D9D9D9"/>
            <w:vAlign w:val="center"/>
          </w:tcPr>
          <w:p w14:paraId="1A1A8C4E" w14:textId="77777777" w:rsidR="009D3DC8" w:rsidRDefault="009D3DC8">
            <w:pPr>
              <w:pStyle w:val="TableText1"/>
              <w:jc w:val="center"/>
              <w:rPr>
                <w:rFonts w:ascii="Arial" w:hAnsi="Arial" w:cs="Arial"/>
                <w:b/>
                <w:szCs w:val="16"/>
              </w:rPr>
            </w:pPr>
          </w:p>
        </w:tc>
        <w:tc>
          <w:tcPr>
            <w:tcW w:w="2314" w:type="dxa"/>
            <w:shd w:val="clear" w:color="auto" w:fill="D9D9D9"/>
            <w:vAlign w:val="center"/>
          </w:tcPr>
          <w:p w14:paraId="07854F1A" w14:textId="77777777" w:rsidR="009D3DC8" w:rsidRDefault="009D3DC8">
            <w:pPr>
              <w:pStyle w:val="TableText1"/>
              <w:jc w:val="center"/>
              <w:rPr>
                <w:rFonts w:ascii="Arial" w:hAnsi="Arial" w:cs="Arial"/>
                <w:b/>
                <w:szCs w:val="16"/>
              </w:rPr>
            </w:pPr>
            <w:r>
              <w:rPr>
                <w:rFonts w:ascii="Arial" w:hAnsi="Arial" w:cs="Arial"/>
                <w:b/>
                <w:szCs w:val="16"/>
              </w:rPr>
              <w:t>Puspahiang</w:t>
            </w:r>
          </w:p>
        </w:tc>
        <w:tc>
          <w:tcPr>
            <w:tcW w:w="2315" w:type="dxa"/>
            <w:shd w:val="clear" w:color="auto" w:fill="D9D9D9"/>
            <w:vAlign w:val="center"/>
          </w:tcPr>
          <w:p w14:paraId="203845DB" w14:textId="77777777" w:rsidR="009D3DC8" w:rsidRDefault="009D3DC8">
            <w:pPr>
              <w:pStyle w:val="TableText1"/>
              <w:jc w:val="center"/>
              <w:rPr>
                <w:rFonts w:ascii="Arial" w:hAnsi="Arial" w:cs="Arial"/>
                <w:b/>
                <w:szCs w:val="16"/>
              </w:rPr>
            </w:pPr>
            <w:r>
              <w:rPr>
                <w:rFonts w:ascii="Arial" w:hAnsi="Arial" w:cs="Arial"/>
                <w:b/>
                <w:szCs w:val="16"/>
              </w:rPr>
              <w:t>Wanayasa</w:t>
            </w:r>
          </w:p>
        </w:tc>
        <w:tc>
          <w:tcPr>
            <w:tcW w:w="2315" w:type="dxa"/>
            <w:shd w:val="clear" w:color="auto" w:fill="D9D9D9"/>
            <w:vAlign w:val="center"/>
          </w:tcPr>
          <w:p w14:paraId="29DC98E2" w14:textId="77777777" w:rsidR="009D3DC8" w:rsidRDefault="009D3DC8">
            <w:pPr>
              <w:pStyle w:val="TableText1"/>
              <w:jc w:val="center"/>
              <w:rPr>
                <w:rFonts w:ascii="Arial" w:hAnsi="Arial" w:cs="Arial"/>
                <w:b/>
                <w:szCs w:val="16"/>
              </w:rPr>
            </w:pPr>
            <w:r>
              <w:rPr>
                <w:rFonts w:ascii="Arial" w:hAnsi="Arial" w:cs="Arial"/>
                <w:b/>
                <w:szCs w:val="16"/>
              </w:rPr>
              <w:t>Raya</w:t>
            </w:r>
          </w:p>
        </w:tc>
      </w:tr>
      <w:tr w:rsidR="009D3DC8" w14:paraId="600684FE" w14:textId="77777777">
        <w:trPr>
          <w:cantSplit/>
          <w:trHeight w:val="320"/>
        </w:trPr>
        <w:tc>
          <w:tcPr>
            <w:tcW w:w="2242" w:type="dxa"/>
            <w:vAlign w:val="center"/>
          </w:tcPr>
          <w:p w14:paraId="0AF5B6CA" w14:textId="77777777" w:rsidR="009D3DC8" w:rsidRDefault="009D3DC8">
            <w:pPr>
              <w:pStyle w:val="TableText1"/>
              <w:rPr>
                <w:rFonts w:ascii="Arial" w:hAnsi="Arial" w:cs="Arial"/>
                <w:szCs w:val="16"/>
              </w:rPr>
            </w:pPr>
            <w:r>
              <w:rPr>
                <w:rFonts w:ascii="Arial" w:hAnsi="Arial" w:cs="Arial"/>
                <w:szCs w:val="16"/>
              </w:rPr>
              <w:t>Fruit shape</w:t>
            </w:r>
          </w:p>
        </w:tc>
        <w:tc>
          <w:tcPr>
            <w:tcW w:w="2314" w:type="dxa"/>
            <w:vAlign w:val="center"/>
          </w:tcPr>
          <w:p w14:paraId="0F72197C" w14:textId="77777777" w:rsidR="009D3DC8" w:rsidRDefault="009D3DC8">
            <w:pPr>
              <w:pStyle w:val="TableText1"/>
              <w:rPr>
                <w:rFonts w:ascii="Arial" w:hAnsi="Arial" w:cs="Arial"/>
                <w:szCs w:val="16"/>
              </w:rPr>
            </w:pPr>
            <w:r>
              <w:rPr>
                <w:rFonts w:ascii="Arial" w:hAnsi="Arial" w:cs="Arial"/>
                <w:szCs w:val="16"/>
              </w:rPr>
              <w:t>Oval</w:t>
            </w:r>
          </w:p>
        </w:tc>
        <w:tc>
          <w:tcPr>
            <w:tcW w:w="2315" w:type="dxa"/>
            <w:vAlign w:val="center"/>
          </w:tcPr>
          <w:p w14:paraId="27486312" w14:textId="77777777" w:rsidR="009D3DC8" w:rsidRDefault="009D3DC8">
            <w:pPr>
              <w:pStyle w:val="TableText1"/>
              <w:rPr>
                <w:rFonts w:ascii="Arial" w:hAnsi="Arial" w:cs="Arial"/>
                <w:szCs w:val="16"/>
              </w:rPr>
            </w:pPr>
            <w:r>
              <w:rPr>
                <w:rFonts w:ascii="Arial" w:hAnsi="Arial" w:cs="Arial"/>
                <w:szCs w:val="16"/>
              </w:rPr>
              <w:t>Round</w:t>
            </w:r>
          </w:p>
        </w:tc>
        <w:tc>
          <w:tcPr>
            <w:tcW w:w="2315" w:type="dxa"/>
            <w:vAlign w:val="center"/>
          </w:tcPr>
          <w:p w14:paraId="1F0D65C9" w14:textId="77777777" w:rsidR="009D3DC8" w:rsidRDefault="009D3DC8">
            <w:pPr>
              <w:pStyle w:val="TableText1"/>
              <w:rPr>
                <w:rFonts w:ascii="Arial" w:hAnsi="Arial" w:cs="Arial"/>
                <w:szCs w:val="16"/>
              </w:rPr>
            </w:pPr>
            <w:r>
              <w:rPr>
                <w:rFonts w:ascii="Arial" w:hAnsi="Arial" w:cs="Arial"/>
                <w:szCs w:val="16"/>
              </w:rPr>
              <w:t>Spherical round</w:t>
            </w:r>
          </w:p>
        </w:tc>
      </w:tr>
      <w:tr w:rsidR="009D3DC8" w14:paraId="18E5D63C" w14:textId="77777777">
        <w:trPr>
          <w:cantSplit/>
        </w:trPr>
        <w:tc>
          <w:tcPr>
            <w:tcW w:w="2242" w:type="dxa"/>
            <w:vAlign w:val="center"/>
          </w:tcPr>
          <w:p w14:paraId="7528EE38" w14:textId="77777777" w:rsidR="009D3DC8" w:rsidRDefault="009D3DC8">
            <w:pPr>
              <w:pStyle w:val="TableText1"/>
              <w:rPr>
                <w:rFonts w:ascii="Arial" w:hAnsi="Arial" w:cs="Arial"/>
                <w:szCs w:val="16"/>
              </w:rPr>
            </w:pPr>
            <w:r>
              <w:rPr>
                <w:rFonts w:ascii="Arial" w:hAnsi="Arial" w:cs="Arial"/>
                <w:szCs w:val="16"/>
              </w:rPr>
              <w:t>Fruit size</w:t>
            </w:r>
          </w:p>
        </w:tc>
        <w:tc>
          <w:tcPr>
            <w:tcW w:w="2314" w:type="dxa"/>
            <w:vAlign w:val="center"/>
          </w:tcPr>
          <w:p w14:paraId="3E47D467" w14:textId="77777777" w:rsidR="009D3DC8" w:rsidRDefault="009D3DC8">
            <w:pPr>
              <w:pStyle w:val="TableText1"/>
              <w:rPr>
                <w:rFonts w:ascii="Arial" w:hAnsi="Arial" w:cs="Arial"/>
                <w:szCs w:val="16"/>
              </w:rPr>
            </w:pPr>
            <w:r>
              <w:rPr>
                <w:rFonts w:ascii="Arial" w:hAnsi="Arial" w:cs="Arial"/>
                <w:szCs w:val="16"/>
              </w:rPr>
              <w:t>Height: 41–61 mm</w:t>
            </w:r>
          </w:p>
          <w:p w14:paraId="64AC4935" w14:textId="77777777" w:rsidR="009D3DC8" w:rsidRDefault="009D3DC8">
            <w:pPr>
              <w:pStyle w:val="TableText1"/>
              <w:rPr>
                <w:rFonts w:ascii="Arial" w:hAnsi="Arial" w:cs="Arial"/>
                <w:szCs w:val="16"/>
              </w:rPr>
            </w:pPr>
            <w:r>
              <w:rPr>
                <w:rFonts w:ascii="Arial" w:hAnsi="Arial" w:cs="Arial"/>
                <w:szCs w:val="16"/>
              </w:rPr>
              <w:t>Diameter: 44–64 mm</w:t>
            </w:r>
          </w:p>
        </w:tc>
        <w:tc>
          <w:tcPr>
            <w:tcW w:w="2315" w:type="dxa"/>
            <w:vAlign w:val="center"/>
          </w:tcPr>
          <w:p w14:paraId="408175A2" w14:textId="77777777" w:rsidR="009D3DC8" w:rsidRDefault="009D3DC8">
            <w:pPr>
              <w:pStyle w:val="TableText1"/>
              <w:rPr>
                <w:rFonts w:ascii="Arial" w:hAnsi="Arial" w:cs="Arial"/>
                <w:szCs w:val="16"/>
              </w:rPr>
            </w:pPr>
            <w:r>
              <w:rPr>
                <w:rFonts w:ascii="Arial" w:hAnsi="Arial" w:cs="Arial"/>
                <w:szCs w:val="16"/>
              </w:rPr>
              <w:t>Height: 30–45 mm</w:t>
            </w:r>
          </w:p>
          <w:p w14:paraId="418A9999" w14:textId="77777777" w:rsidR="009D3DC8" w:rsidRDefault="009D3DC8">
            <w:pPr>
              <w:pStyle w:val="TableText1"/>
              <w:rPr>
                <w:rFonts w:ascii="Arial" w:hAnsi="Arial" w:cs="Arial"/>
                <w:szCs w:val="16"/>
              </w:rPr>
            </w:pPr>
            <w:r>
              <w:rPr>
                <w:rFonts w:ascii="Arial" w:hAnsi="Arial" w:cs="Arial"/>
                <w:szCs w:val="16"/>
              </w:rPr>
              <w:t>Diameter: 45–55 mm</w:t>
            </w:r>
          </w:p>
        </w:tc>
        <w:tc>
          <w:tcPr>
            <w:tcW w:w="2315" w:type="dxa"/>
            <w:vAlign w:val="center"/>
          </w:tcPr>
          <w:p w14:paraId="7D3362F0" w14:textId="77777777" w:rsidR="009D3DC8" w:rsidRDefault="009D3DC8">
            <w:pPr>
              <w:pStyle w:val="TableText1"/>
              <w:rPr>
                <w:rFonts w:ascii="Arial" w:hAnsi="Arial" w:cs="Arial"/>
                <w:szCs w:val="16"/>
              </w:rPr>
            </w:pPr>
            <w:r>
              <w:rPr>
                <w:rFonts w:ascii="Arial" w:hAnsi="Arial" w:cs="Arial"/>
                <w:szCs w:val="16"/>
              </w:rPr>
              <w:t>Height: 30–45 mm</w:t>
            </w:r>
          </w:p>
          <w:p w14:paraId="376781A8" w14:textId="77777777" w:rsidR="009D3DC8" w:rsidRDefault="009D3DC8">
            <w:pPr>
              <w:pStyle w:val="TableText1"/>
              <w:rPr>
                <w:rFonts w:ascii="Arial" w:hAnsi="Arial" w:cs="Arial"/>
                <w:szCs w:val="16"/>
              </w:rPr>
            </w:pPr>
            <w:r>
              <w:rPr>
                <w:rFonts w:ascii="Arial" w:hAnsi="Arial" w:cs="Arial"/>
                <w:szCs w:val="16"/>
              </w:rPr>
              <w:t>Diameter: 45–50 mm</w:t>
            </w:r>
          </w:p>
        </w:tc>
      </w:tr>
      <w:tr w:rsidR="009D3DC8" w14:paraId="45661D7B" w14:textId="77777777">
        <w:trPr>
          <w:cantSplit/>
        </w:trPr>
        <w:tc>
          <w:tcPr>
            <w:tcW w:w="2242" w:type="dxa"/>
            <w:vAlign w:val="center"/>
          </w:tcPr>
          <w:p w14:paraId="44588B39" w14:textId="77777777" w:rsidR="009D3DC8" w:rsidRDefault="009D3DC8">
            <w:pPr>
              <w:pStyle w:val="TableText1"/>
              <w:rPr>
                <w:rFonts w:ascii="Arial" w:hAnsi="Arial" w:cs="Arial"/>
                <w:szCs w:val="16"/>
              </w:rPr>
            </w:pPr>
            <w:r>
              <w:rPr>
                <w:rFonts w:ascii="Arial" w:hAnsi="Arial" w:cs="Arial"/>
                <w:szCs w:val="16"/>
              </w:rPr>
              <w:t>Skin colour</w:t>
            </w:r>
          </w:p>
        </w:tc>
        <w:tc>
          <w:tcPr>
            <w:tcW w:w="2314" w:type="dxa"/>
            <w:vAlign w:val="center"/>
          </w:tcPr>
          <w:p w14:paraId="13E1D1DE" w14:textId="77777777" w:rsidR="009D3DC8" w:rsidRDefault="009D3DC8">
            <w:pPr>
              <w:pStyle w:val="TableText1"/>
              <w:rPr>
                <w:rFonts w:ascii="Arial" w:hAnsi="Arial" w:cs="Arial"/>
                <w:szCs w:val="16"/>
              </w:rPr>
            </w:pPr>
            <w:r>
              <w:rPr>
                <w:rFonts w:ascii="Arial" w:hAnsi="Arial" w:cs="Arial"/>
                <w:szCs w:val="16"/>
              </w:rPr>
              <w:t>Dark violet</w:t>
            </w:r>
          </w:p>
        </w:tc>
        <w:tc>
          <w:tcPr>
            <w:tcW w:w="2315" w:type="dxa"/>
            <w:vAlign w:val="center"/>
          </w:tcPr>
          <w:p w14:paraId="593CE20D" w14:textId="77777777" w:rsidR="009D3DC8" w:rsidRDefault="009D3DC8">
            <w:pPr>
              <w:pStyle w:val="TableText1"/>
              <w:rPr>
                <w:rFonts w:ascii="Arial" w:hAnsi="Arial" w:cs="Arial"/>
                <w:szCs w:val="16"/>
              </w:rPr>
            </w:pPr>
            <w:r>
              <w:rPr>
                <w:rFonts w:ascii="Arial" w:hAnsi="Arial" w:cs="Arial"/>
                <w:szCs w:val="16"/>
              </w:rPr>
              <w:t>Red violet</w:t>
            </w:r>
          </w:p>
        </w:tc>
        <w:tc>
          <w:tcPr>
            <w:tcW w:w="2315" w:type="dxa"/>
            <w:vAlign w:val="center"/>
          </w:tcPr>
          <w:p w14:paraId="0FB8F39A" w14:textId="77777777" w:rsidR="009D3DC8" w:rsidRDefault="009D3DC8">
            <w:pPr>
              <w:pStyle w:val="TableText1"/>
              <w:rPr>
                <w:rFonts w:ascii="Arial" w:hAnsi="Arial" w:cs="Arial"/>
                <w:szCs w:val="16"/>
              </w:rPr>
            </w:pPr>
            <w:r>
              <w:rPr>
                <w:rFonts w:ascii="Arial" w:hAnsi="Arial" w:cs="Arial"/>
                <w:szCs w:val="16"/>
              </w:rPr>
              <w:t>Red violet</w:t>
            </w:r>
          </w:p>
        </w:tc>
      </w:tr>
      <w:tr w:rsidR="009D3DC8" w14:paraId="7DADFB1D" w14:textId="77777777">
        <w:trPr>
          <w:cantSplit/>
        </w:trPr>
        <w:tc>
          <w:tcPr>
            <w:tcW w:w="2242" w:type="dxa"/>
            <w:vAlign w:val="center"/>
          </w:tcPr>
          <w:p w14:paraId="7985DCE9" w14:textId="77777777" w:rsidR="009D3DC8" w:rsidRDefault="009D3DC8">
            <w:pPr>
              <w:pStyle w:val="TableText1"/>
              <w:rPr>
                <w:rFonts w:ascii="Arial" w:hAnsi="Arial" w:cs="Arial"/>
                <w:szCs w:val="16"/>
              </w:rPr>
            </w:pPr>
            <w:r>
              <w:rPr>
                <w:rFonts w:ascii="Arial" w:hAnsi="Arial" w:cs="Arial"/>
                <w:szCs w:val="16"/>
              </w:rPr>
              <w:t>Skin thickness</w:t>
            </w:r>
          </w:p>
        </w:tc>
        <w:tc>
          <w:tcPr>
            <w:tcW w:w="2314" w:type="dxa"/>
            <w:vAlign w:val="center"/>
          </w:tcPr>
          <w:p w14:paraId="1F78BFB2" w14:textId="77777777" w:rsidR="009D3DC8" w:rsidRDefault="009D3DC8">
            <w:pPr>
              <w:pStyle w:val="TableText1"/>
              <w:rPr>
                <w:rFonts w:ascii="Arial" w:hAnsi="Arial" w:cs="Arial"/>
                <w:szCs w:val="16"/>
              </w:rPr>
            </w:pPr>
            <w:r>
              <w:rPr>
                <w:rFonts w:ascii="Arial" w:hAnsi="Arial" w:cs="Arial"/>
                <w:szCs w:val="16"/>
              </w:rPr>
              <w:t>Medium</w:t>
            </w:r>
          </w:p>
        </w:tc>
        <w:tc>
          <w:tcPr>
            <w:tcW w:w="2315" w:type="dxa"/>
            <w:vAlign w:val="center"/>
          </w:tcPr>
          <w:p w14:paraId="765EDC9D" w14:textId="77777777" w:rsidR="009D3DC8" w:rsidRDefault="009D3DC8">
            <w:pPr>
              <w:pStyle w:val="TableText1"/>
              <w:rPr>
                <w:rFonts w:ascii="Arial" w:hAnsi="Arial" w:cs="Arial"/>
                <w:szCs w:val="16"/>
              </w:rPr>
            </w:pPr>
            <w:r>
              <w:rPr>
                <w:rFonts w:ascii="Arial" w:hAnsi="Arial" w:cs="Arial"/>
                <w:szCs w:val="16"/>
              </w:rPr>
              <w:t>3–5 mm</w:t>
            </w:r>
          </w:p>
        </w:tc>
        <w:tc>
          <w:tcPr>
            <w:tcW w:w="2315" w:type="dxa"/>
            <w:vAlign w:val="center"/>
          </w:tcPr>
          <w:p w14:paraId="304261C8" w14:textId="77777777" w:rsidR="009D3DC8" w:rsidRDefault="009D3DC8">
            <w:pPr>
              <w:pStyle w:val="TableText1"/>
              <w:rPr>
                <w:rFonts w:ascii="Arial" w:hAnsi="Arial" w:cs="Arial"/>
                <w:szCs w:val="16"/>
              </w:rPr>
            </w:pPr>
            <w:r>
              <w:rPr>
                <w:rFonts w:ascii="Arial" w:hAnsi="Arial" w:cs="Arial"/>
                <w:szCs w:val="16"/>
              </w:rPr>
              <w:t>6–9 mm</w:t>
            </w:r>
          </w:p>
        </w:tc>
      </w:tr>
      <w:tr w:rsidR="009D3DC8" w14:paraId="6C251B81" w14:textId="77777777">
        <w:trPr>
          <w:cantSplit/>
        </w:trPr>
        <w:tc>
          <w:tcPr>
            <w:tcW w:w="2242" w:type="dxa"/>
            <w:vAlign w:val="center"/>
          </w:tcPr>
          <w:p w14:paraId="16876FFD" w14:textId="77777777" w:rsidR="009D3DC8" w:rsidRDefault="009D3DC8">
            <w:pPr>
              <w:pStyle w:val="TableText1"/>
              <w:rPr>
                <w:rFonts w:ascii="Arial" w:hAnsi="Arial" w:cs="Arial"/>
                <w:szCs w:val="16"/>
              </w:rPr>
            </w:pPr>
            <w:r>
              <w:rPr>
                <w:rFonts w:ascii="Arial" w:hAnsi="Arial" w:cs="Arial"/>
                <w:szCs w:val="16"/>
              </w:rPr>
              <w:t>Flesh colour</w:t>
            </w:r>
          </w:p>
        </w:tc>
        <w:tc>
          <w:tcPr>
            <w:tcW w:w="2314" w:type="dxa"/>
            <w:vAlign w:val="center"/>
          </w:tcPr>
          <w:p w14:paraId="64DFF87A" w14:textId="77777777" w:rsidR="009D3DC8" w:rsidRDefault="009D3DC8">
            <w:pPr>
              <w:pStyle w:val="TableText1"/>
              <w:rPr>
                <w:rFonts w:ascii="Arial" w:hAnsi="Arial" w:cs="Arial"/>
                <w:szCs w:val="16"/>
              </w:rPr>
            </w:pPr>
            <w:r>
              <w:rPr>
                <w:rFonts w:ascii="Arial" w:hAnsi="Arial" w:cs="Arial"/>
                <w:szCs w:val="16"/>
              </w:rPr>
              <w:t>White</w:t>
            </w:r>
          </w:p>
        </w:tc>
        <w:tc>
          <w:tcPr>
            <w:tcW w:w="2315" w:type="dxa"/>
            <w:vAlign w:val="center"/>
          </w:tcPr>
          <w:p w14:paraId="7F4C49AA" w14:textId="77777777" w:rsidR="009D3DC8" w:rsidRDefault="009D3DC8">
            <w:pPr>
              <w:pStyle w:val="TableText1"/>
              <w:rPr>
                <w:rFonts w:ascii="Arial" w:hAnsi="Arial" w:cs="Arial"/>
                <w:szCs w:val="16"/>
              </w:rPr>
            </w:pPr>
            <w:r>
              <w:rPr>
                <w:rFonts w:ascii="Arial" w:hAnsi="Arial" w:cs="Arial"/>
                <w:szCs w:val="16"/>
              </w:rPr>
              <w:t>Milk white</w:t>
            </w:r>
          </w:p>
        </w:tc>
        <w:tc>
          <w:tcPr>
            <w:tcW w:w="2315" w:type="dxa"/>
            <w:vAlign w:val="center"/>
          </w:tcPr>
          <w:p w14:paraId="2CB30DCC" w14:textId="77777777" w:rsidR="009D3DC8" w:rsidRDefault="009D3DC8">
            <w:pPr>
              <w:pStyle w:val="TableText1"/>
              <w:rPr>
                <w:rFonts w:ascii="Arial" w:hAnsi="Arial" w:cs="Arial"/>
                <w:szCs w:val="16"/>
              </w:rPr>
            </w:pPr>
            <w:r>
              <w:rPr>
                <w:rFonts w:ascii="Arial" w:hAnsi="Arial" w:cs="Arial"/>
                <w:szCs w:val="16"/>
              </w:rPr>
              <w:t>Snow white</w:t>
            </w:r>
          </w:p>
        </w:tc>
      </w:tr>
      <w:tr w:rsidR="009D3DC8" w14:paraId="70B6AFC1" w14:textId="77777777">
        <w:trPr>
          <w:cantSplit/>
        </w:trPr>
        <w:tc>
          <w:tcPr>
            <w:tcW w:w="2242" w:type="dxa"/>
            <w:vAlign w:val="center"/>
          </w:tcPr>
          <w:p w14:paraId="669D203E" w14:textId="77777777" w:rsidR="009D3DC8" w:rsidRDefault="009D3DC8">
            <w:pPr>
              <w:pStyle w:val="TableText1"/>
              <w:rPr>
                <w:rFonts w:ascii="Arial" w:hAnsi="Arial" w:cs="Arial"/>
                <w:szCs w:val="16"/>
              </w:rPr>
            </w:pPr>
            <w:r>
              <w:rPr>
                <w:rFonts w:ascii="Arial" w:hAnsi="Arial" w:cs="Arial"/>
                <w:szCs w:val="16"/>
              </w:rPr>
              <w:t>Flesh texture</w:t>
            </w:r>
          </w:p>
        </w:tc>
        <w:tc>
          <w:tcPr>
            <w:tcW w:w="2314" w:type="dxa"/>
            <w:vAlign w:val="center"/>
          </w:tcPr>
          <w:p w14:paraId="34EAD872" w14:textId="77777777" w:rsidR="009D3DC8" w:rsidRDefault="009D3DC8">
            <w:pPr>
              <w:pStyle w:val="TableText1"/>
              <w:rPr>
                <w:rFonts w:ascii="Arial" w:hAnsi="Arial" w:cs="Arial"/>
                <w:szCs w:val="16"/>
              </w:rPr>
            </w:pPr>
            <w:r>
              <w:rPr>
                <w:rFonts w:ascii="Arial" w:hAnsi="Arial" w:cs="Arial"/>
                <w:szCs w:val="16"/>
              </w:rPr>
              <w:t>Soft</w:t>
            </w:r>
          </w:p>
        </w:tc>
        <w:tc>
          <w:tcPr>
            <w:tcW w:w="2315" w:type="dxa"/>
            <w:vAlign w:val="center"/>
          </w:tcPr>
          <w:p w14:paraId="307E52CD" w14:textId="77777777" w:rsidR="009D3DC8" w:rsidRDefault="009D3DC8">
            <w:pPr>
              <w:pStyle w:val="TableText1"/>
              <w:rPr>
                <w:rFonts w:ascii="Arial" w:hAnsi="Arial" w:cs="Arial"/>
                <w:szCs w:val="16"/>
              </w:rPr>
            </w:pPr>
            <w:r>
              <w:rPr>
                <w:rFonts w:ascii="Arial" w:hAnsi="Arial" w:cs="Arial"/>
                <w:szCs w:val="16"/>
              </w:rPr>
              <w:t>Soft</w:t>
            </w:r>
          </w:p>
        </w:tc>
        <w:tc>
          <w:tcPr>
            <w:tcW w:w="2315" w:type="dxa"/>
            <w:vAlign w:val="center"/>
          </w:tcPr>
          <w:p w14:paraId="793B3D97" w14:textId="77777777" w:rsidR="009D3DC8" w:rsidRDefault="009D3DC8">
            <w:pPr>
              <w:pStyle w:val="TableText1"/>
              <w:rPr>
                <w:rFonts w:ascii="Arial" w:hAnsi="Arial" w:cs="Arial"/>
                <w:szCs w:val="16"/>
              </w:rPr>
            </w:pPr>
            <w:r>
              <w:rPr>
                <w:rFonts w:ascii="Arial" w:hAnsi="Arial" w:cs="Arial"/>
                <w:szCs w:val="16"/>
              </w:rPr>
              <w:t>Soft not fibrous</w:t>
            </w:r>
          </w:p>
        </w:tc>
      </w:tr>
      <w:tr w:rsidR="009D3DC8" w14:paraId="57409CEF" w14:textId="77777777">
        <w:trPr>
          <w:cantSplit/>
        </w:trPr>
        <w:tc>
          <w:tcPr>
            <w:tcW w:w="2242" w:type="dxa"/>
            <w:vAlign w:val="center"/>
          </w:tcPr>
          <w:p w14:paraId="2B818084" w14:textId="77777777" w:rsidR="009D3DC8" w:rsidRDefault="009D3DC8">
            <w:pPr>
              <w:pStyle w:val="TableText1"/>
              <w:rPr>
                <w:rFonts w:ascii="Arial" w:hAnsi="Arial" w:cs="Arial"/>
                <w:szCs w:val="16"/>
              </w:rPr>
            </w:pPr>
            <w:r>
              <w:rPr>
                <w:rFonts w:ascii="Arial" w:hAnsi="Arial" w:cs="Arial"/>
                <w:szCs w:val="16"/>
              </w:rPr>
              <w:t>Flesh taste</w:t>
            </w:r>
          </w:p>
        </w:tc>
        <w:tc>
          <w:tcPr>
            <w:tcW w:w="2314" w:type="dxa"/>
            <w:vAlign w:val="center"/>
          </w:tcPr>
          <w:p w14:paraId="222C161B" w14:textId="77777777" w:rsidR="009D3DC8" w:rsidRDefault="009D3DC8">
            <w:pPr>
              <w:pStyle w:val="TableText1"/>
              <w:rPr>
                <w:rFonts w:ascii="Arial" w:hAnsi="Arial" w:cs="Arial"/>
                <w:szCs w:val="16"/>
              </w:rPr>
            </w:pPr>
            <w:r>
              <w:rPr>
                <w:rFonts w:ascii="Arial" w:hAnsi="Arial" w:cs="Arial"/>
                <w:szCs w:val="16"/>
              </w:rPr>
              <w:t>Fresh sweet</w:t>
            </w:r>
          </w:p>
        </w:tc>
        <w:tc>
          <w:tcPr>
            <w:tcW w:w="2315" w:type="dxa"/>
            <w:vAlign w:val="center"/>
          </w:tcPr>
          <w:p w14:paraId="1058CE99" w14:textId="77777777" w:rsidR="009D3DC8" w:rsidRDefault="009D3DC8">
            <w:pPr>
              <w:pStyle w:val="TableText1"/>
              <w:rPr>
                <w:rFonts w:ascii="Arial" w:hAnsi="Arial" w:cs="Arial"/>
                <w:szCs w:val="16"/>
              </w:rPr>
            </w:pPr>
            <w:r>
              <w:rPr>
                <w:rFonts w:ascii="Arial" w:hAnsi="Arial" w:cs="Arial"/>
                <w:szCs w:val="16"/>
              </w:rPr>
              <w:t>Fresh sweet</w:t>
            </w:r>
          </w:p>
        </w:tc>
        <w:tc>
          <w:tcPr>
            <w:tcW w:w="2315" w:type="dxa"/>
            <w:vAlign w:val="center"/>
          </w:tcPr>
          <w:p w14:paraId="39FA6D51" w14:textId="77777777" w:rsidR="009D3DC8" w:rsidRDefault="009D3DC8">
            <w:pPr>
              <w:pStyle w:val="TableText1"/>
              <w:rPr>
                <w:rFonts w:ascii="Arial" w:hAnsi="Arial" w:cs="Arial"/>
                <w:szCs w:val="16"/>
              </w:rPr>
            </w:pPr>
            <w:r>
              <w:rPr>
                <w:rFonts w:ascii="Arial" w:hAnsi="Arial" w:cs="Arial"/>
                <w:szCs w:val="16"/>
              </w:rPr>
              <w:t>Sweet acid</w:t>
            </w:r>
          </w:p>
        </w:tc>
      </w:tr>
      <w:tr w:rsidR="009D3DC8" w14:paraId="244644A2" w14:textId="77777777">
        <w:trPr>
          <w:cantSplit/>
        </w:trPr>
        <w:tc>
          <w:tcPr>
            <w:tcW w:w="2242" w:type="dxa"/>
            <w:vAlign w:val="center"/>
          </w:tcPr>
          <w:p w14:paraId="64D154DD" w14:textId="77777777" w:rsidR="009D3DC8" w:rsidRDefault="009D3DC8">
            <w:pPr>
              <w:pStyle w:val="TableText1"/>
              <w:rPr>
                <w:rFonts w:ascii="Arial" w:hAnsi="Arial" w:cs="Arial"/>
                <w:szCs w:val="16"/>
              </w:rPr>
            </w:pPr>
            <w:r>
              <w:rPr>
                <w:rFonts w:ascii="Arial" w:hAnsi="Arial" w:cs="Arial"/>
                <w:szCs w:val="16"/>
              </w:rPr>
              <w:t>Sugar content</w:t>
            </w:r>
          </w:p>
        </w:tc>
        <w:tc>
          <w:tcPr>
            <w:tcW w:w="2314" w:type="dxa"/>
            <w:vAlign w:val="center"/>
          </w:tcPr>
          <w:p w14:paraId="4DB18C88" w14:textId="77777777" w:rsidR="009D3DC8" w:rsidRDefault="009D3DC8">
            <w:pPr>
              <w:pStyle w:val="TableText1"/>
              <w:rPr>
                <w:rFonts w:ascii="Arial" w:hAnsi="Arial" w:cs="Arial"/>
                <w:szCs w:val="16"/>
              </w:rPr>
            </w:pPr>
            <w:r>
              <w:rPr>
                <w:rFonts w:ascii="Arial" w:hAnsi="Arial" w:cs="Arial"/>
                <w:szCs w:val="16"/>
              </w:rPr>
              <w:t>15.0 °Bx</w:t>
            </w:r>
          </w:p>
        </w:tc>
        <w:tc>
          <w:tcPr>
            <w:tcW w:w="2315" w:type="dxa"/>
            <w:vAlign w:val="center"/>
          </w:tcPr>
          <w:p w14:paraId="2F692CFA" w14:textId="77777777" w:rsidR="009D3DC8" w:rsidRDefault="009D3DC8">
            <w:pPr>
              <w:pStyle w:val="TableText1"/>
              <w:rPr>
                <w:rFonts w:ascii="Arial" w:hAnsi="Arial" w:cs="Arial"/>
                <w:szCs w:val="16"/>
              </w:rPr>
            </w:pPr>
            <w:r>
              <w:rPr>
                <w:rFonts w:ascii="Arial" w:hAnsi="Arial" w:cs="Arial"/>
                <w:szCs w:val="16"/>
              </w:rPr>
              <w:t>17.75 °Bx</w:t>
            </w:r>
          </w:p>
        </w:tc>
        <w:tc>
          <w:tcPr>
            <w:tcW w:w="2315" w:type="dxa"/>
            <w:vAlign w:val="center"/>
          </w:tcPr>
          <w:p w14:paraId="70EF380D" w14:textId="77777777" w:rsidR="009D3DC8" w:rsidRDefault="009D3DC8">
            <w:pPr>
              <w:pStyle w:val="TableText1"/>
              <w:rPr>
                <w:rFonts w:ascii="Arial" w:hAnsi="Arial" w:cs="Arial"/>
                <w:szCs w:val="16"/>
              </w:rPr>
            </w:pPr>
            <w:r>
              <w:rPr>
                <w:rFonts w:ascii="Arial" w:hAnsi="Arial" w:cs="Arial"/>
                <w:szCs w:val="16"/>
              </w:rPr>
              <w:t>18.65 °Bx</w:t>
            </w:r>
          </w:p>
        </w:tc>
      </w:tr>
      <w:tr w:rsidR="009D3DC8" w14:paraId="709E41A4" w14:textId="77777777">
        <w:trPr>
          <w:cantSplit/>
        </w:trPr>
        <w:tc>
          <w:tcPr>
            <w:tcW w:w="2242" w:type="dxa"/>
            <w:vAlign w:val="center"/>
          </w:tcPr>
          <w:p w14:paraId="36C3C2B5" w14:textId="77777777" w:rsidR="009D3DC8" w:rsidRDefault="009D3DC8">
            <w:pPr>
              <w:pStyle w:val="TableText1"/>
              <w:rPr>
                <w:rFonts w:ascii="Arial" w:hAnsi="Arial" w:cs="Arial"/>
                <w:szCs w:val="16"/>
              </w:rPr>
            </w:pPr>
            <w:r>
              <w:rPr>
                <w:rFonts w:ascii="Arial" w:hAnsi="Arial" w:cs="Arial"/>
                <w:szCs w:val="16"/>
              </w:rPr>
              <w:t>Weight per fruit</w:t>
            </w:r>
          </w:p>
        </w:tc>
        <w:tc>
          <w:tcPr>
            <w:tcW w:w="2314" w:type="dxa"/>
            <w:vAlign w:val="center"/>
          </w:tcPr>
          <w:p w14:paraId="0F117B04" w14:textId="77777777" w:rsidR="009D3DC8" w:rsidRDefault="009D3DC8">
            <w:pPr>
              <w:pStyle w:val="TableText1"/>
              <w:rPr>
                <w:rFonts w:ascii="Arial" w:hAnsi="Arial" w:cs="Arial"/>
                <w:szCs w:val="16"/>
              </w:rPr>
            </w:pPr>
            <w:r>
              <w:rPr>
                <w:rFonts w:ascii="Arial" w:hAnsi="Arial" w:cs="Arial"/>
                <w:szCs w:val="16"/>
              </w:rPr>
              <w:t>50–131 g</w:t>
            </w:r>
          </w:p>
        </w:tc>
        <w:tc>
          <w:tcPr>
            <w:tcW w:w="2315" w:type="dxa"/>
            <w:vAlign w:val="center"/>
          </w:tcPr>
          <w:p w14:paraId="2CA8F317" w14:textId="77777777" w:rsidR="009D3DC8" w:rsidRDefault="009D3DC8">
            <w:pPr>
              <w:pStyle w:val="TableText1"/>
              <w:rPr>
                <w:rFonts w:ascii="Arial" w:hAnsi="Arial" w:cs="Arial"/>
                <w:szCs w:val="16"/>
              </w:rPr>
            </w:pPr>
            <w:r>
              <w:rPr>
                <w:rFonts w:ascii="Arial" w:hAnsi="Arial" w:cs="Arial"/>
                <w:szCs w:val="16"/>
              </w:rPr>
              <w:t>90–110 g</w:t>
            </w:r>
          </w:p>
        </w:tc>
        <w:tc>
          <w:tcPr>
            <w:tcW w:w="2315" w:type="dxa"/>
            <w:vAlign w:val="center"/>
          </w:tcPr>
          <w:p w14:paraId="68827A64" w14:textId="77777777" w:rsidR="009D3DC8" w:rsidRDefault="009D3DC8">
            <w:pPr>
              <w:pStyle w:val="TableText1"/>
              <w:rPr>
                <w:rFonts w:ascii="Arial" w:hAnsi="Arial" w:cs="Arial"/>
                <w:szCs w:val="16"/>
              </w:rPr>
            </w:pPr>
            <w:r>
              <w:rPr>
                <w:rFonts w:ascii="Arial" w:hAnsi="Arial" w:cs="Arial"/>
                <w:szCs w:val="16"/>
              </w:rPr>
              <w:t>75–94 g</w:t>
            </w:r>
          </w:p>
        </w:tc>
      </w:tr>
      <w:tr w:rsidR="009D3DC8" w14:paraId="2F5CADB5" w14:textId="77777777">
        <w:trPr>
          <w:cantSplit/>
        </w:trPr>
        <w:tc>
          <w:tcPr>
            <w:tcW w:w="2242" w:type="dxa"/>
            <w:vAlign w:val="center"/>
          </w:tcPr>
          <w:p w14:paraId="02491F54" w14:textId="77777777" w:rsidR="009D3DC8" w:rsidRDefault="009D3DC8">
            <w:pPr>
              <w:pStyle w:val="TableText1"/>
              <w:rPr>
                <w:rFonts w:ascii="Arial" w:hAnsi="Arial" w:cs="Arial"/>
                <w:szCs w:val="16"/>
              </w:rPr>
            </w:pPr>
            <w:r>
              <w:rPr>
                <w:rFonts w:ascii="Arial" w:hAnsi="Arial" w:cs="Arial"/>
                <w:szCs w:val="16"/>
              </w:rPr>
              <w:t>Growing region</w:t>
            </w:r>
          </w:p>
        </w:tc>
        <w:tc>
          <w:tcPr>
            <w:tcW w:w="2314" w:type="dxa"/>
            <w:vAlign w:val="center"/>
          </w:tcPr>
          <w:p w14:paraId="4A43789C" w14:textId="77777777" w:rsidR="009D3DC8" w:rsidRDefault="009D3DC8">
            <w:pPr>
              <w:pStyle w:val="TableText1"/>
              <w:rPr>
                <w:rFonts w:ascii="Arial" w:hAnsi="Arial" w:cs="Arial"/>
                <w:szCs w:val="16"/>
              </w:rPr>
            </w:pPr>
            <w:r>
              <w:rPr>
                <w:rFonts w:ascii="Arial" w:hAnsi="Arial" w:cs="Arial"/>
                <w:szCs w:val="16"/>
              </w:rPr>
              <w:t>Tasikmalaya District</w:t>
            </w:r>
          </w:p>
        </w:tc>
        <w:tc>
          <w:tcPr>
            <w:tcW w:w="2315" w:type="dxa"/>
            <w:vAlign w:val="center"/>
          </w:tcPr>
          <w:p w14:paraId="1976E120" w14:textId="77777777" w:rsidR="009D3DC8" w:rsidRDefault="009D3DC8">
            <w:pPr>
              <w:pStyle w:val="TableText1"/>
              <w:rPr>
                <w:rFonts w:ascii="Arial" w:hAnsi="Arial" w:cs="Arial"/>
                <w:szCs w:val="16"/>
              </w:rPr>
            </w:pPr>
            <w:r>
              <w:rPr>
                <w:rFonts w:ascii="Arial" w:hAnsi="Arial" w:cs="Arial"/>
                <w:szCs w:val="16"/>
              </w:rPr>
              <w:t>Purwakarta District</w:t>
            </w:r>
          </w:p>
        </w:tc>
        <w:tc>
          <w:tcPr>
            <w:tcW w:w="2315" w:type="dxa"/>
            <w:vAlign w:val="center"/>
          </w:tcPr>
          <w:p w14:paraId="00A75B0D" w14:textId="77777777" w:rsidR="009D3DC8" w:rsidRDefault="009D3DC8">
            <w:pPr>
              <w:pStyle w:val="TableText1"/>
              <w:rPr>
                <w:rFonts w:ascii="Arial" w:hAnsi="Arial" w:cs="Arial"/>
                <w:szCs w:val="16"/>
              </w:rPr>
            </w:pPr>
            <w:r>
              <w:rPr>
                <w:rFonts w:ascii="Arial" w:hAnsi="Arial" w:cs="Arial"/>
                <w:szCs w:val="16"/>
              </w:rPr>
              <w:t>Bogor and Sukabumi District</w:t>
            </w:r>
          </w:p>
        </w:tc>
      </w:tr>
      <w:tr w:rsidR="009D3DC8" w14:paraId="593B1DB3" w14:textId="77777777">
        <w:trPr>
          <w:cantSplit/>
        </w:trPr>
        <w:tc>
          <w:tcPr>
            <w:tcW w:w="2242" w:type="dxa"/>
            <w:vAlign w:val="center"/>
          </w:tcPr>
          <w:p w14:paraId="1180C423" w14:textId="77777777" w:rsidR="009D3DC8" w:rsidRDefault="009D3DC8">
            <w:pPr>
              <w:pStyle w:val="TableText1"/>
              <w:rPr>
                <w:rFonts w:ascii="Arial" w:hAnsi="Arial" w:cs="Arial"/>
                <w:szCs w:val="16"/>
              </w:rPr>
            </w:pPr>
            <w:r>
              <w:rPr>
                <w:rFonts w:ascii="Arial" w:hAnsi="Arial" w:cs="Arial"/>
                <w:szCs w:val="16"/>
              </w:rPr>
              <w:t>Harvest season</w:t>
            </w:r>
          </w:p>
        </w:tc>
        <w:tc>
          <w:tcPr>
            <w:tcW w:w="2314" w:type="dxa"/>
            <w:vAlign w:val="center"/>
          </w:tcPr>
          <w:p w14:paraId="13F1275B" w14:textId="77777777" w:rsidR="009D3DC8" w:rsidRDefault="009D3DC8">
            <w:pPr>
              <w:pStyle w:val="TableText1"/>
              <w:rPr>
                <w:rFonts w:ascii="Arial" w:hAnsi="Arial" w:cs="Arial"/>
                <w:szCs w:val="16"/>
              </w:rPr>
            </w:pPr>
            <w:r>
              <w:rPr>
                <w:rFonts w:ascii="Arial" w:hAnsi="Arial" w:cs="Arial"/>
                <w:szCs w:val="16"/>
              </w:rPr>
              <w:t>September to April</w:t>
            </w:r>
          </w:p>
        </w:tc>
        <w:tc>
          <w:tcPr>
            <w:tcW w:w="2315" w:type="dxa"/>
            <w:vAlign w:val="center"/>
          </w:tcPr>
          <w:p w14:paraId="257F8578" w14:textId="77777777" w:rsidR="009D3DC8" w:rsidRDefault="009D3DC8">
            <w:pPr>
              <w:pStyle w:val="TableText1"/>
              <w:rPr>
                <w:rFonts w:ascii="Arial" w:hAnsi="Arial" w:cs="Arial"/>
                <w:szCs w:val="16"/>
              </w:rPr>
            </w:pPr>
            <w:r>
              <w:rPr>
                <w:rFonts w:ascii="Arial" w:hAnsi="Arial" w:cs="Arial"/>
                <w:szCs w:val="16"/>
              </w:rPr>
              <w:t>December to April</w:t>
            </w:r>
          </w:p>
        </w:tc>
        <w:tc>
          <w:tcPr>
            <w:tcW w:w="2315" w:type="dxa"/>
            <w:vAlign w:val="center"/>
          </w:tcPr>
          <w:p w14:paraId="28301FA7" w14:textId="77777777" w:rsidR="009D3DC8" w:rsidRDefault="009D3DC8">
            <w:pPr>
              <w:pStyle w:val="TableText1"/>
              <w:rPr>
                <w:rFonts w:ascii="Arial" w:hAnsi="Arial" w:cs="Arial"/>
                <w:szCs w:val="16"/>
              </w:rPr>
            </w:pPr>
            <w:r>
              <w:rPr>
                <w:rFonts w:ascii="Arial" w:hAnsi="Arial" w:cs="Arial"/>
                <w:szCs w:val="16"/>
              </w:rPr>
              <w:t>October to February</w:t>
            </w:r>
          </w:p>
        </w:tc>
      </w:tr>
    </w:tbl>
    <w:p w14:paraId="4BEF3DEC" w14:textId="77777777" w:rsidR="009D3DC8" w:rsidRDefault="009D3DC8">
      <w:pPr>
        <w:pStyle w:val="Heading3"/>
        <w:numPr>
          <w:ilvl w:val="2"/>
          <w:numId w:val="8"/>
        </w:numPr>
        <w:spacing w:line="240" w:lineRule="auto"/>
      </w:pPr>
      <w:r>
        <w:t>Cultivation practices</w:t>
      </w:r>
    </w:p>
    <w:p w14:paraId="34275975" w14:textId="77777777" w:rsidR="009D3DC8" w:rsidRDefault="009D3DC8">
      <w:pPr>
        <w:spacing w:before="180" w:line="280" w:lineRule="atLeast"/>
        <w:rPr>
          <w:rFonts w:ascii="Times New Roman" w:hAnsi="Times New Roman"/>
          <w:sz w:val="24"/>
        </w:rPr>
      </w:pPr>
      <w:r>
        <w:rPr>
          <w:rFonts w:ascii="Times New Roman" w:hAnsi="Times New Roman"/>
          <w:sz w:val="24"/>
        </w:rPr>
        <w:t>Mangosteen production in Indonesia is usually of small scale, and trees are often grown in backyard gardens and on steep slopes. Mangosteens are usually grown as an opportunistic crop and co-cultivated with other crops such as banana (</w:t>
      </w:r>
      <w:r>
        <w:rPr>
          <w:rFonts w:ascii="Times New Roman" w:hAnsi="Times New Roman"/>
          <w:i/>
          <w:sz w:val="24"/>
        </w:rPr>
        <w:t>Musa</w:t>
      </w:r>
      <w:r>
        <w:rPr>
          <w:rFonts w:ascii="Times New Roman" w:hAnsi="Times New Roman"/>
          <w:sz w:val="24"/>
        </w:rPr>
        <w:t xml:space="preserve"> spp.), durian (</w:t>
      </w:r>
      <w:r>
        <w:rPr>
          <w:rFonts w:ascii="Times New Roman" w:hAnsi="Times New Roman"/>
          <w:i/>
          <w:sz w:val="24"/>
        </w:rPr>
        <w:t>Durio zibethinus</w:t>
      </w:r>
      <w:r>
        <w:rPr>
          <w:rFonts w:ascii="Times New Roman" w:hAnsi="Times New Roman"/>
          <w:sz w:val="24"/>
        </w:rPr>
        <w:t>), coconut (</w:t>
      </w:r>
      <w:r>
        <w:rPr>
          <w:rFonts w:ascii="Times New Roman" w:hAnsi="Times New Roman"/>
          <w:i/>
          <w:sz w:val="24"/>
        </w:rPr>
        <w:t>Cocos nucifera</w:t>
      </w:r>
      <w:r>
        <w:rPr>
          <w:rFonts w:ascii="Times New Roman" w:hAnsi="Times New Roman"/>
          <w:sz w:val="24"/>
        </w:rPr>
        <w:t>), papaya (</w:t>
      </w:r>
      <w:r>
        <w:rPr>
          <w:rFonts w:ascii="Times New Roman" w:hAnsi="Times New Roman"/>
          <w:i/>
          <w:sz w:val="24"/>
        </w:rPr>
        <w:t>Carica papaya</w:t>
      </w:r>
      <w:r>
        <w:rPr>
          <w:rFonts w:ascii="Times New Roman" w:hAnsi="Times New Roman"/>
          <w:sz w:val="24"/>
        </w:rPr>
        <w:t>), cassava (</w:t>
      </w:r>
      <w:r>
        <w:rPr>
          <w:rFonts w:ascii="Times New Roman" w:hAnsi="Times New Roman"/>
          <w:i/>
          <w:sz w:val="24"/>
        </w:rPr>
        <w:t>Manihot esculenta</w:t>
      </w:r>
      <w:r>
        <w:rPr>
          <w:rFonts w:ascii="Times New Roman" w:hAnsi="Times New Roman"/>
          <w:sz w:val="24"/>
        </w:rPr>
        <w:t>), and duku (</w:t>
      </w:r>
      <w:r>
        <w:rPr>
          <w:rFonts w:ascii="Times New Roman" w:hAnsi="Times New Roman"/>
          <w:i/>
          <w:sz w:val="24"/>
        </w:rPr>
        <w:t>Lansium domesticum</w:t>
      </w:r>
      <w:r>
        <w:rPr>
          <w:rFonts w:ascii="Times New Roman" w:hAnsi="Times New Roman"/>
          <w:sz w:val="24"/>
        </w:rPr>
        <w:t>).</w:t>
      </w:r>
    </w:p>
    <w:p w14:paraId="649FA55C"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Mangosteens are propagated from seed or by vegetative methods such as grafting and budding. New mangosteen varieties and planting material are propagated from certified seeds registered with Indonesia’s Department of Agriculture (IAQA 2008). Vegetative material used for new plantings is generally one to two years of age and around 30 cm high. Mangosteen trees are slow</w:t>
      </w:r>
      <w:r>
        <w:rPr>
          <w:rFonts w:ascii="Times New Roman" w:hAnsi="Times New Roman"/>
          <w:b/>
          <w:sz w:val="24"/>
        </w:rPr>
        <w:t>-</w:t>
      </w:r>
      <w:r>
        <w:rPr>
          <w:rFonts w:ascii="Times New Roman" w:hAnsi="Times New Roman"/>
          <w:sz w:val="24"/>
        </w:rPr>
        <w:t>growing, and it takes a minimum of six years for the tree to reach maturity and commence bearing fruit.</w:t>
      </w:r>
    </w:p>
    <w:p w14:paraId="5B979BAD" w14:textId="77777777" w:rsidR="009D3DC8" w:rsidRDefault="009D3DC8">
      <w:pPr>
        <w:spacing w:before="180" w:line="280" w:lineRule="atLeast"/>
        <w:rPr>
          <w:rFonts w:ascii="Times New Roman" w:hAnsi="Times New Roman"/>
          <w:sz w:val="24"/>
        </w:rPr>
      </w:pPr>
      <w:r>
        <w:rPr>
          <w:rFonts w:ascii="Times New Roman" w:hAnsi="Times New Roman"/>
          <w:sz w:val="24"/>
        </w:rPr>
        <w:t>Orchards usually consist of one mangosteen variety, and young trees are commonly planted at the beginning of the rainy season. Plants are typically spaced at a distance of 10 m by 10 m with other plants such as banana and coconut planted in between to provide shade. On steep land, plots are terraced (Figure 6). At the base of each terrace is a trough to collect fallen leaves and debris during the fruiting and harvest period.</w:t>
      </w:r>
    </w:p>
    <w:p w14:paraId="623C3335" w14:textId="77777777" w:rsidR="009D3DC8" w:rsidRDefault="009D3DC8">
      <w:r>
        <w:rPr>
          <w:noProof/>
          <w:lang w:eastAsia="en-AU"/>
        </w:rPr>
        <w:pict w14:anchorId="7C428426">
          <v:shape id="_x0000_i1033" type="#_x0000_t75" style="width:222pt;height:192pt;visibility:visible">
            <v:imagedata r:id="rId35" o:title="Jakarta 2011 047" blacklevel="3277f"/>
          </v:shape>
        </w:pict>
      </w:r>
      <w:r>
        <w:t xml:space="preserve"> </w:t>
      </w:r>
      <w:r>
        <w:rPr>
          <w:noProof/>
          <w:lang w:eastAsia="en-AU"/>
        </w:rPr>
        <w:pict w14:anchorId="1ED49A9F">
          <v:shape id="_x0000_i1034" type="#_x0000_t75" style="width:222.75pt;height:191.25pt;visibility:visible">
            <v:imagedata r:id="rId36" o:title="Jakarta 2011 049" gain="109227f" blacklevel="9830f"/>
          </v:shape>
        </w:pict>
      </w:r>
    </w:p>
    <w:p w14:paraId="3A855FA8" w14:textId="77777777" w:rsidR="009D3DC8" w:rsidRDefault="009D3DC8">
      <w:pPr>
        <w:pStyle w:val="Figure"/>
      </w:pPr>
      <w:bookmarkStart w:id="52" w:name="_Toc318962125"/>
      <w:r>
        <w:t>Figure 6</w:t>
      </w:r>
      <w:r>
        <w:tab/>
        <w:t>Terrace planting and trough</w:t>
      </w:r>
      <w:bookmarkEnd w:id="52"/>
    </w:p>
    <w:p w14:paraId="29B37CFC" w14:textId="77777777" w:rsidR="009D3DC8" w:rsidRDefault="009D3DC8">
      <w:pPr>
        <w:spacing w:before="180" w:line="280" w:lineRule="atLeast"/>
        <w:rPr>
          <w:rFonts w:ascii="Times New Roman" w:hAnsi="Times New Roman"/>
          <w:sz w:val="24"/>
        </w:rPr>
      </w:pPr>
      <w:r>
        <w:rPr>
          <w:rFonts w:ascii="Times New Roman" w:hAnsi="Times New Roman"/>
          <w:sz w:val="24"/>
        </w:rPr>
        <w:t>There are no specific horticultural techniques required to produce mangosteens. Trees require little care until flowering begins when the tree reaches 6 to10 years of age.</w:t>
      </w:r>
    </w:p>
    <w:p w14:paraId="65CE97ED" w14:textId="77777777" w:rsidR="009D3DC8" w:rsidRDefault="009D3DC8">
      <w:pPr>
        <w:spacing w:before="180" w:line="280" w:lineRule="atLeast"/>
        <w:rPr>
          <w:rFonts w:ascii="Times New Roman" w:hAnsi="Times New Roman"/>
          <w:sz w:val="24"/>
        </w:rPr>
      </w:pPr>
      <w:r>
        <w:rPr>
          <w:rFonts w:ascii="Times New Roman" w:hAnsi="Times New Roman"/>
          <w:sz w:val="24"/>
        </w:rPr>
        <w:t>Mangosteen trees require adequate moisture and good drainage, especially during the early stage of establishment. Mulch is spread around the base of young trees to keep the soil moist. The mulch also acts as an organic fertiliser, enriching the soil with nutrients. As the tree matures, the ground is mulched naturally by falling leaves and debris from surrounding plants. The ground is cleared of excess leaves every two months or so, and leaves are burned. During the fruiting and harvest period, the orchard is cleared of debris more regularly.</w:t>
      </w:r>
    </w:p>
    <w:p w14:paraId="41A74AC5" w14:textId="77777777" w:rsidR="009D3DC8" w:rsidRDefault="009D3DC8">
      <w:pPr>
        <w:spacing w:before="180" w:line="280" w:lineRule="atLeast"/>
        <w:rPr>
          <w:rFonts w:ascii="Times New Roman" w:hAnsi="Times New Roman"/>
          <w:sz w:val="24"/>
        </w:rPr>
      </w:pPr>
      <w:r>
        <w:rPr>
          <w:rFonts w:ascii="Times New Roman" w:hAnsi="Times New Roman"/>
          <w:sz w:val="24"/>
        </w:rPr>
        <w:t>Trees are lightly pruned before flowering to enable more sunlight to penetrate. Trees are again pruned after harvesting to promote new growth. Growers prune old, diseased and damaged branches, branches that touch the soil and suckers that grow up from the base of the trunk.</w:t>
      </w:r>
    </w:p>
    <w:p w14:paraId="49EC4214" w14:textId="77777777" w:rsidR="009D3DC8" w:rsidRDefault="009D3DC8">
      <w:pPr>
        <w:spacing w:before="180" w:line="280" w:lineRule="atLeast"/>
        <w:rPr>
          <w:rFonts w:ascii="Times New Roman" w:hAnsi="Times New Roman"/>
          <w:sz w:val="24"/>
        </w:rPr>
      </w:pPr>
      <w:r>
        <w:rPr>
          <w:rFonts w:ascii="Times New Roman" w:hAnsi="Times New Roman"/>
          <w:sz w:val="24"/>
        </w:rPr>
        <w:t>Weeds are controlled manually or naturally through mulching. Chemical sprays are not a common practice for the management of weeds.</w:t>
      </w:r>
    </w:p>
    <w:p w14:paraId="07AFE34B" w14:textId="77777777" w:rsidR="009D3DC8" w:rsidRDefault="009D3DC8">
      <w:pPr>
        <w:spacing w:before="180" w:line="280" w:lineRule="atLeast"/>
        <w:rPr>
          <w:rFonts w:ascii="Times New Roman" w:hAnsi="Times New Roman"/>
          <w:sz w:val="24"/>
        </w:rPr>
      </w:pPr>
      <w:r>
        <w:rPr>
          <w:rFonts w:ascii="Times New Roman" w:hAnsi="Times New Roman"/>
          <w:sz w:val="24"/>
        </w:rPr>
        <w:t>Irrigation is not required as the natural rainfall provides enough water for the plants. Additionally, shade from surrounding vegetation prevents water loss and mulching keeps the ground moist.</w:t>
      </w:r>
    </w:p>
    <w:p w14:paraId="01AF688D" w14:textId="77777777" w:rsidR="009D3DC8" w:rsidRDefault="009D3DC8">
      <w:pPr>
        <w:pStyle w:val="Heading3"/>
        <w:numPr>
          <w:ilvl w:val="2"/>
          <w:numId w:val="8"/>
        </w:numPr>
        <w:spacing w:line="240" w:lineRule="auto"/>
      </w:pPr>
      <w:r>
        <w:lastRenderedPageBreak/>
        <w:t>Pest management</w:t>
      </w:r>
    </w:p>
    <w:p w14:paraId="414A9475" w14:textId="77777777" w:rsidR="009D3DC8" w:rsidRDefault="009D3DC8">
      <w:pPr>
        <w:spacing w:before="180" w:line="280" w:lineRule="atLeast"/>
        <w:rPr>
          <w:rFonts w:ascii="Times New Roman" w:hAnsi="Times New Roman"/>
          <w:sz w:val="24"/>
        </w:rPr>
      </w:pPr>
      <w:r>
        <w:rPr>
          <w:rFonts w:ascii="Times New Roman" w:hAnsi="Times New Roman"/>
          <w:sz w:val="24"/>
        </w:rPr>
        <w:t>The following information on pest and disease management was provided by Indonesia (IAQA 2010). All export mangosteen fruit are produced in orchards registered by Indonesia’s Department of Agriculture which are certified to operate in accordance with Indonesia’s farm certification scheme for Good Agricultural Practice (GAP) (IAQA 2011).</w:t>
      </w:r>
    </w:p>
    <w:p w14:paraId="652E1EED" w14:textId="77777777" w:rsidR="009D3DC8" w:rsidRDefault="009D3DC8">
      <w:pPr>
        <w:spacing w:before="180" w:line="280" w:lineRule="atLeast"/>
        <w:rPr>
          <w:rFonts w:ascii="Times New Roman" w:hAnsi="Times New Roman"/>
          <w:sz w:val="24"/>
        </w:rPr>
      </w:pPr>
      <w:r>
        <w:rPr>
          <w:rFonts w:ascii="Times New Roman" w:hAnsi="Times New Roman"/>
          <w:sz w:val="24"/>
        </w:rPr>
        <w:t>Each registered orchard follows the national guidelines developed by the Directorate of Horticulture Crop Protection and the Directorate of Food Crop Protection, covering pest monitoring and surveillance. The two directorates are responsible for instructing and overseeing the implementation of these guidelines. The pest monitoring and surveillance plan ensures orchards are monitored and inspected for pest and diseases by trained pest observers. Regional and central Food Crop and Horticulture Protection Centres are responsible for maintaining the inspection records and associated laboratories manage the diagnostics of arthropods and pathogens.</w:t>
      </w:r>
    </w:p>
    <w:p w14:paraId="35655373" w14:textId="77777777" w:rsidR="009D3DC8" w:rsidRDefault="009D3DC8">
      <w:pPr>
        <w:spacing w:before="180" w:line="280" w:lineRule="atLeast"/>
        <w:rPr>
          <w:rFonts w:ascii="Times New Roman" w:hAnsi="Times New Roman"/>
          <w:sz w:val="24"/>
        </w:rPr>
      </w:pPr>
      <w:r>
        <w:rPr>
          <w:rFonts w:ascii="Times New Roman" w:hAnsi="Times New Roman"/>
          <w:sz w:val="24"/>
        </w:rPr>
        <w:t>The Integrated Pest Management (IPM) program used by mangosteen growers includes a range of agronomic practices to reduce the number of arthropod and pathogen pests, namely mulching, pruning, fruit thinning, and field sanitisation practices such as collecting fallen leaves, weeding and ‘smoke-sanitising’ the orchard.</w:t>
      </w:r>
    </w:p>
    <w:p w14:paraId="0B3F2518" w14:textId="77777777" w:rsidR="009D3DC8" w:rsidRDefault="009D3DC8">
      <w:pPr>
        <w:spacing w:before="180" w:line="280" w:lineRule="atLeast"/>
        <w:rPr>
          <w:rFonts w:ascii="Times New Roman" w:hAnsi="Times New Roman"/>
          <w:sz w:val="24"/>
        </w:rPr>
      </w:pPr>
      <w:r>
        <w:rPr>
          <w:rFonts w:ascii="Times New Roman" w:hAnsi="Times New Roman"/>
          <w:sz w:val="24"/>
        </w:rPr>
        <w:t>Only a relatively small number of pests and diseases are associated with mangosteen production. Pesticides are not commonly used to control pests and diseases, but rather pest management measures such as orchard hygiene and pruning. Table 3.2 outlines the pest control measures for mangosteen production as provided by Indonesia (IAQA 2010).</w:t>
      </w:r>
    </w:p>
    <w:p w14:paraId="107EB3AF" w14:textId="77777777" w:rsidR="009D3DC8" w:rsidRDefault="009D3DC8">
      <w:pPr>
        <w:pStyle w:val="Table"/>
        <w:ind w:left="1440" w:hanging="1440"/>
      </w:pPr>
      <w:bookmarkStart w:id="53" w:name="_Toc325625798"/>
      <w:r>
        <w:t>Table 3.2</w:t>
      </w:r>
      <w:r>
        <w:tab/>
        <w:t>Pest and disease control practices for mangosteen production in Indonesia (IAQA 2010)</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25"/>
        <w:gridCol w:w="1701"/>
        <w:gridCol w:w="5196"/>
      </w:tblGrid>
      <w:tr w:rsidR="009D3DC8" w14:paraId="3B610AA8" w14:textId="77777777">
        <w:trPr>
          <w:tblHeader/>
        </w:trPr>
        <w:tc>
          <w:tcPr>
            <w:tcW w:w="2525" w:type="dxa"/>
            <w:tcBorders>
              <w:bottom w:val="single" w:sz="4" w:space="0" w:color="auto"/>
              <w:right w:val="single" w:sz="4" w:space="0" w:color="auto"/>
            </w:tcBorders>
            <w:shd w:val="clear" w:color="auto" w:fill="D9D9D9"/>
            <w:vAlign w:val="bottom"/>
          </w:tcPr>
          <w:p w14:paraId="67BFE942" w14:textId="77777777" w:rsidR="009D3DC8" w:rsidRDefault="009D3DC8">
            <w:pPr>
              <w:pStyle w:val="TableText1"/>
              <w:keepNext w:val="0"/>
              <w:rPr>
                <w:rFonts w:ascii="Arial" w:hAnsi="Arial" w:cs="Arial"/>
                <w:b/>
                <w:bCs/>
                <w:szCs w:val="16"/>
              </w:rPr>
            </w:pPr>
            <w:r>
              <w:rPr>
                <w:rFonts w:ascii="Arial" w:hAnsi="Arial" w:cs="Arial"/>
                <w:b/>
                <w:bCs/>
                <w:szCs w:val="16"/>
              </w:rPr>
              <w:t>Pest/disease</w:t>
            </w:r>
          </w:p>
        </w:tc>
        <w:tc>
          <w:tcPr>
            <w:tcW w:w="1701" w:type="dxa"/>
            <w:tcBorders>
              <w:left w:val="single" w:sz="4" w:space="0" w:color="auto"/>
              <w:bottom w:val="single" w:sz="4" w:space="0" w:color="auto"/>
              <w:right w:val="single" w:sz="4" w:space="0" w:color="auto"/>
            </w:tcBorders>
            <w:shd w:val="clear" w:color="auto" w:fill="D9D9D9"/>
            <w:vAlign w:val="bottom"/>
          </w:tcPr>
          <w:p w14:paraId="48647B04" w14:textId="77777777" w:rsidR="009D3DC8" w:rsidRDefault="009D3DC8">
            <w:pPr>
              <w:pStyle w:val="TableText1"/>
              <w:keepNext w:val="0"/>
              <w:rPr>
                <w:rFonts w:ascii="Arial" w:hAnsi="Arial" w:cs="Arial"/>
                <w:b/>
                <w:bCs/>
                <w:szCs w:val="16"/>
              </w:rPr>
            </w:pPr>
            <w:r>
              <w:rPr>
                <w:rFonts w:ascii="Arial" w:hAnsi="Arial" w:cs="Arial"/>
                <w:b/>
                <w:bCs/>
                <w:szCs w:val="16"/>
              </w:rPr>
              <w:t>Common name</w:t>
            </w:r>
          </w:p>
        </w:tc>
        <w:tc>
          <w:tcPr>
            <w:tcW w:w="5196" w:type="dxa"/>
            <w:tcBorders>
              <w:left w:val="single" w:sz="4" w:space="0" w:color="auto"/>
              <w:bottom w:val="single" w:sz="4" w:space="0" w:color="auto"/>
            </w:tcBorders>
            <w:shd w:val="clear" w:color="auto" w:fill="D9D9D9"/>
            <w:vAlign w:val="bottom"/>
          </w:tcPr>
          <w:p w14:paraId="51D033D3" w14:textId="77777777" w:rsidR="009D3DC8" w:rsidRDefault="009D3DC8">
            <w:pPr>
              <w:pStyle w:val="TableText1"/>
              <w:keepNext w:val="0"/>
              <w:rPr>
                <w:rFonts w:ascii="Arial" w:hAnsi="Arial" w:cs="Arial"/>
                <w:b/>
                <w:bCs/>
                <w:szCs w:val="16"/>
              </w:rPr>
            </w:pPr>
            <w:r>
              <w:rPr>
                <w:rFonts w:ascii="Arial" w:hAnsi="Arial" w:cs="Arial"/>
                <w:b/>
                <w:bCs/>
                <w:szCs w:val="16"/>
              </w:rPr>
              <w:t>Indonesia’s control measures</w:t>
            </w:r>
          </w:p>
        </w:tc>
      </w:tr>
      <w:tr w:rsidR="009D3DC8" w14:paraId="559ACE83" w14:textId="77777777">
        <w:tc>
          <w:tcPr>
            <w:tcW w:w="9422" w:type="dxa"/>
            <w:gridSpan w:val="3"/>
            <w:tcBorders>
              <w:top w:val="single" w:sz="4" w:space="0" w:color="auto"/>
              <w:bottom w:val="single" w:sz="4" w:space="0" w:color="auto"/>
            </w:tcBorders>
            <w:shd w:val="clear" w:color="auto" w:fill="D9D9D9"/>
          </w:tcPr>
          <w:p w14:paraId="14E2A32E" w14:textId="77777777" w:rsidR="009D3DC8" w:rsidRDefault="009D3DC8">
            <w:pPr>
              <w:pStyle w:val="TableText1"/>
              <w:keepNext w:val="0"/>
              <w:rPr>
                <w:rFonts w:ascii="Arial" w:hAnsi="Arial" w:cs="Arial"/>
                <w:b/>
                <w:bCs/>
                <w:szCs w:val="16"/>
              </w:rPr>
            </w:pPr>
            <w:r>
              <w:rPr>
                <w:rFonts w:ascii="Arial" w:hAnsi="Arial" w:cs="Arial"/>
                <w:b/>
                <w:bCs/>
                <w:szCs w:val="16"/>
              </w:rPr>
              <w:t>Arthropod</w:t>
            </w:r>
          </w:p>
        </w:tc>
      </w:tr>
      <w:tr w:rsidR="009D3DC8" w14:paraId="0F6C32A4" w14:textId="77777777">
        <w:trPr>
          <w:cantSplit/>
        </w:trPr>
        <w:tc>
          <w:tcPr>
            <w:tcW w:w="2525" w:type="dxa"/>
            <w:tcBorders>
              <w:top w:val="single" w:sz="4" w:space="0" w:color="auto"/>
              <w:left w:val="single" w:sz="4" w:space="0" w:color="auto"/>
              <w:bottom w:val="single" w:sz="4" w:space="0" w:color="auto"/>
              <w:right w:val="single" w:sz="4" w:space="0" w:color="auto"/>
            </w:tcBorders>
          </w:tcPr>
          <w:p w14:paraId="2EF15746" w14:textId="77777777" w:rsidR="009D3DC8" w:rsidRDefault="009D3DC8">
            <w:pPr>
              <w:pStyle w:val="TableText1"/>
              <w:keepNext w:val="0"/>
              <w:rPr>
                <w:rFonts w:ascii="Arial" w:hAnsi="Arial" w:cs="Arial"/>
                <w:szCs w:val="16"/>
              </w:rPr>
            </w:pPr>
            <w:r>
              <w:rPr>
                <w:rFonts w:ascii="Arial" w:hAnsi="Arial" w:cs="Arial"/>
                <w:i/>
                <w:szCs w:val="16"/>
              </w:rPr>
              <w:t>Tetranychus</w:t>
            </w:r>
            <w:r>
              <w:rPr>
                <w:rFonts w:ascii="Arial" w:hAnsi="Arial" w:cs="Arial"/>
                <w:szCs w:val="16"/>
              </w:rPr>
              <w:t xml:space="preserve"> spp.</w:t>
            </w:r>
          </w:p>
        </w:tc>
        <w:tc>
          <w:tcPr>
            <w:tcW w:w="1701" w:type="dxa"/>
            <w:tcBorders>
              <w:top w:val="single" w:sz="4" w:space="0" w:color="auto"/>
              <w:left w:val="single" w:sz="4" w:space="0" w:color="auto"/>
              <w:bottom w:val="single" w:sz="4" w:space="0" w:color="auto"/>
              <w:right w:val="single" w:sz="4" w:space="0" w:color="auto"/>
            </w:tcBorders>
          </w:tcPr>
          <w:p w14:paraId="7BADF08B" w14:textId="77777777" w:rsidR="009D3DC8" w:rsidRDefault="009D3DC8">
            <w:pPr>
              <w:pStyle w:val="TableText1"/>
              <w:keepNext w:val="0"/>
              <w:rPr>
                <w:rFonts w:ascii="Arial" w:hAnsi="Arial" w:cs="Arial"/>
                <w:szCs w:val="16"/>
              </w:rPr>
            </w:pPr>
            <w:r>
              <w:rPr>
                <w:rFonts w:ascii="Arial" w:hAnsi="Arial" w:cs="Arial"/>
                <w:szCs w:val="16"/>
              </w:rPr>
              <w:t>Spider mites</w:t>
            </w:r>
          </w:p>
        </w:tc>
        <w:tc>
          <w:tcPr>
            <w:tcW w:w="5196" w:type="dxa"/>
            <w:tcBorders>
              <w:left w:val="single" w:sz="4" w:space="0" w:color="auto"/>
              <w:right w:val="single" w:sz="4" w:space="0" w:color="auto"/>
            </w:tcBorders>
          </w:tcPr>
          <w:p w14:paraId="5AF1F5B6"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and overlapping; fruit thinning; field hygiene; natural enemies (Coccinellidae, Chrysophidae)</w:t>
            </w:r>
          </w:p>
        </w:tc>
      </w:tr>
      <w:tr w:rsidR="009D3DC8" w14:paraId="664454CC" w14:textId="77777777">
        <w:trPr>
          <w:cantSplit/>
        </w:trPr>
        <w:tc>
          <w:tcPr>
            <w:tcW w:w="2525" w:type="dxa"/>
            <w:tcBorders>
              <w:top w:val="single" w:sz="4" w:space="0" w:color="auto"/>
              <w:left w:val="single" w:sz="4" w:space="0" w:color="auto"/>
              <w:bottom w:val="single" w:sz="4" w:space="0" w:color="auto"/>
              <w:right w:val="single" w:sz="4" w:space="0" w:color="auto"/>
            </w:tcBorders>
          </w:tcPr>
          <w:p w14:paraId="44DF8A28" w14:textId="77777777" w:rsidR="009D3DC8" w:rsidRDefault="009D3DC8">
            <w:pPr>
              <w:pStyle w:val="TableText1"/>
              <w:keepNext w:val="0"/>
              <w:rPr>
                <w:rFonts w:ascii="Arial" w:hAnsi="Arial" w:cs="Arial"/>
                <w:i/>
                <w:szCs w:val="16"/>
              </w:rPr>
            </w:pPr>
            <w:r>
              <w:rPr>
                <w:rFonts w:ascii="Arial" w:hAnsi="Arial" w:cs="Arial"/>
                <w:i/>
                <w:szCs w:val="16"/>
              </w:rPr>
              <w:t>Icerya seychellarum</w:t>
            </w:r>
          </w:p>
        </w:tc>
        <w:tc>
          <w:tcPr>
            <w:tcW w:w="1701" w:type="dxa"/>
            <w:tcBorders>
              <w:top w:val="single" w:sz="4" w:space="0" w:color="auto"/>
              <w:left w:val="single" w:sz="4" w:space="0" w:color="auto"/>
              <w:bottom w:val="single" w:sz="4" w:space="0" w:color="auto"/>
              <w:right w:val="single" w:sz="4" w:space="0" w:color="auto"/>
            </w:tcBorders>
          </w:tcPr>
          <w:p w14:paraId="4EC3EC6F" w14:textId="77777777" w:rsidR="009D3DC8" w:rsidRDefault="009D3DC8">
            <w:pPr>
              <w:pStyle w:val="TableText1"/>
              <w:keepNext w:val="0"/>
              <w:rPr>
                <w:rFonts w:ascii="Arial" w:hAnsi="Arial" w:cs="Arial"/>
                <w:szCs w:val="16"/>
              </w:rPr>
            </w:pPr>
            <w:r>
              <w:rPr>
                <w:rFonts w:ascii="Arial" w:hAnsi="Arial" w:cs="Arial"/>
                <w:szCs w:val="16"/>
              </w:rPr>
              <w:t>Seychelles scale</w:t>
            </w:r>
          </w:p>
        </w:tc>
        <w:tc>
          <w:tcPr>
            <w:tcW w:w="5196" w:type="dxa"/>
            <w:tcBorders>
              <w:left w:val="single" w:sz="4" w:space="0" w:color="auto"/>
              <w:right w:val="single" w:sz="4" w:space="0" w:color="auto"/>
            </w:tcBorders>
          </w:tcPr>
          <w:p w14:paraId="4D52383D"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and overlapping; fruit thinning; field hygiene</w:t>
            </w:r>
          </w:p>
        </w:tc>
      </w:tr>
      <w:tr w:rsidR="009D3DC8" w14:paraId="72AB0ECB" w14:textId="77777777">
        <w:trPr>
          <w:cantSplit/>
        </w:trPr>
        <w:tc>
          <w:tcPr>
            <w:tcW w:w="2525" w:type="dxa"/>
            <w:tcBorders>
              <w:top w:val="single" w:sz="4" w:space="0" w:color="auto"/>
              <w:left w:val="single" w:sz="4" w:space="0" w:color="auto"/>
              <w:bottom w:val="single" w:sz="4" w:space="0" w:color="auto"/>
              <w:right w:val="single" w:sz="4" w:space="0" w:color="auto"/>
            </w:tcBorders>
          </w:tcPr>
          <w:p w14:paraId="667611BD" w14:textId="77777777" w:rsidR="009D3DC8" w:rsidRDefault="009D3DC8">
            <w:pPr>
              <w:pStyle w:val="TableText1"/>
              <w:keepNext w:val="0"/>
              <w:rPr>
                <w:rFonts w:ascii="Arial" w:hAnsi="Arial" w:cs="Arial"/>
                <w:i/>
                <w:szCs w:val="16"/>
              </w:rPr>
            </w:pPr>
            <w:r>
              <w:rPr>
                <w:rFonts w:ascii="Arial" w:hAnsi="Arial" w:cs="Arial"/>
                <w:i/>
                <w:szCs w:val="16"/>
              </w:rPr>
              <w:t>Exallomochlus hispidus</w:t>
            </w:r>
          </w:p>
        </w:tc>
        <w:tc>
          <w:tcPr>
            <w:tcW w:w="1701" w:type="dxa"/>
            <w:tcBorders>
              <w:top w:val="single" w:sz="4" w:space="0" w:color="auto"/>
              <w:left w:val="single" w:sz="4" w:space="0" w:color="auto"/>
              <w:bottom w:val="single" w:sz="4" w:space="0" w:color="auto"/>
              <w:right w:val="single" w:sz="4" w:space="0" w:color="auto"/>
            </w:tcBorders>
          </w:tcPr>
          <w:p w14:paraId="5A93749F" w14:textId="77777777" w:rsidR="009D3DC8" w:rsidRDefault="009D3DC8">
            <w:pPr>
              <w:pStyle w:val="TableText1"/>
              <w:keepNext w:val="0"/>
              <w:rPr>
                <w:rFonts w:ascii="Arial" w:hAnsi="Arial" w:cs="Arial"/>
                <w:szCs w:val="16"/>
              </w:rPr>
            </w:pPr>
            <w:r>
              <w:rPr>
                <w:rFonts w:ascii="Arial" w:hAnsi="Arial" w:cs="Arial"/>
                <w:szCs w:val="16"/>
              </w:rPr>
              <w:t>Cocoa mealybug</w:t>
            </w:r>
          </w:p>
        </w:tc>
        <w:tc>
          <w:tcPr>
            <w:tcW w:w="5196" w:type="dxa"/>
            <w:tcBorders>
              <w:left w:val="single" w:sz="4" w:space="0" w:color="auto"/>
              <w:right w:val="single" w:sz="4" w:space="0" w:color="auto"/>
            </w:tcBorders>
          </w:tcPr>
          <w:p w14:paraId="65EDE65B"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and overlapping; fruit thinning</w:t>
            </w:r>
          </w:p>
        </w:tc>
      </w:tr>
      <w:tr w:rsidR="009D3DC8" w14:paraId="24535171" w14:textId="77777777">
        <w:trPr>
          <w:cantSplit/>
        </w:trPr>
        <w:tc>
          <w:tcPr>
            <w:tcW w:w="2525" w:type="dxa"/>
            <w:tcBorders>
              <w:top w:val="single" w:sz="4" w:space="0" w:color="auto"/>
              <w:left w:val="single" w:sz="4" w:space="0" w:color="auto"/>
              <w:bottom w:val="single" w:sz="4" w:space="0" w:color="auto"/>
              <w:right w:val="single" w:sz="4" w:space="0" w:color="auto"/>
            </w:tcBorders>
          </w:tcPr>
          <w:p w14:paraId="27636481" w14:textId="77777777" w:rsidR="009D3DC8" w:rsidRDefault="009D3DC8">
            <w:pPr>
              <w:pStyle w:val="TableText1"/>
              <w:keepNext w:val="0"/>
              <w:rPr>
                <w:rFonts w:ascii="Arial" w:hAnsi="Arial" w:cs="Arial"/>
                <w:i/>
                <w:szCs w:val="16"/>
                <w:vertAlign w:val="superscript"/>
              </w:rPr>
            </w:pPr>
            <w:r>
              <w:rPr>
                <w:rFonts w:ascii="Arial" w:hAnsi="Arial" w:cs="Arial"/>
                <w:i/>
                <w:szCs w:val="16"/>
              </w:rPr>
              <w:t>Helopeltis antonii</w:t>
            </w:r>
          </w:p>
        </w:tc>
        <w:tc>
          <w:tcPr>
            <w:tcW w:w="1701" w:type="dxa"/>
            <w:tcBorders>
              <w:top w:val="single" w:sz="4" w:space="0" w:color="auto"/>
              <w:left w:val="single" w:sz="4" w:space="0" w:color="auto"/>
              <w:bottom w:val="single" w:sz="4" w:space="0" w:color="auto"/>
              <w:right w:val="single" w:sz="4" w:space="0" w:color="auto"/>
            </w:tcBorders>
          </w:tcPr>
          <w:p w14:paraId="2B136BED" w14:textId="77777777" w:rsidR="009D3DC8" w:rsidRDefault="009D3DC8">
            <w:pPr>
              <w:pStyle w:val="TableText1"/>
              <w:keepNext w:val="0"/>
              <w:rPr>
                <w:rFonts w:ascii="Arial" w:hAnsi="Arial" w:cs="Arial"/>
                <w:szCs w:val="16"/>
              </w:rPr>
            </w:pPr>
            <w:r>
              <w:rPr>
                <w:rFonts w:ascii="Arial" w:hAnsi="Arial" w:cs="Arial"/>
                <w:szCs w:val="16"/>
              </w:rPr>
              <w:t>Leaf and fruit sucker</w:t>
            </w:r>
          </w:p>
        </w:tc>
        <w:tc>
          <w:tcPr>
            <w:tcW w:w="5196" w:type="dxa"/>
            <w:tcBorders>
              <w:left w:val="single" w:sz="4" w:space="0" w:color="auto"/>
              <w:right w:val="single" w:sz="4" w:space="0" w:color="auto"/>
            </w:tcBorders>
          </w:tcPr>
          <w:p w14:paraId="23202C61"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and overlapping; removing heavily infested plants; natural enemies – praying mantises, spiders and ladybugs</w:t>
            </w:r>
          </w:p>
        </w:tc>
      </w:tr>
      <w:tr w:rsidR="009D3DC8" w14:paraId="69CCDCDE" w14:textId="77777777">
        <w:trPr>
          <w:cantSplit/>
        </w:trPr>
        <w:tc>
          <w:tcPr>
            <w:tcW w:w="2525" w:type="dxa"/>
            <w:tcBorders>
              <w:top w:val="single" w:sz="4" w:space="0" w:color="auto"/>
              <w:left w:val="single" w:sz="4" w:space="0" w:color="auto"/>
              <w:bottom w:val="single" w:sz="4" w:space="0" w:color="auto"/>
              <w:right w:val="single" w:sz="4" w:space="0" w:color="auto"/>
            </w:tcBorders>
          </w:tcPr>
          <w:p w14:paraId="2B682B7A" w14:textId="77777777" w:rsidR="009D3DC8" w:rsidRDefault="009D3DC8">
            <w:pPr>
              <w:pStyle w:val="TableText1"/>
              <w:keepNext w:val="0"/>
              <w:rPr>
                <w:rFonts w:ascii="Arial" w:hAnsi="Arial" w:cs="Arial"/>
                <w:i/>
                <w:szCs w:val="16"/>
              </w:rPr>
            </w:pPr>
            <w:r>
              <w:rPr>
                <w:rFonts w:ascii="Arial" w:hAnsi="Arial" w:cs="Arial"/>
                <w:i/>
                <w:szCs w:val="16"/>
              </w:rPr>
              <w:t>Hyposidra talaca</w:t>
            </w:r>
          </w:p>
        </w:tc>
        <w:tc>
          <w:tcPr>
            <w:tcW w:w="1701" w:type="dxa"/>
            <w:tcBorders>
              <w:top w:val="single" w:sz="4" w:space="0" w:color="auto"/>
              <w:left w:val="single" w:sz="4" w:space="0" w:color="auto"/>
              <w:bottom w:val="single" w:sz="4" w:space="0" w:color="auto"/>
              <w:right w:val="single" w:sz="4" w:space="0" w:color="auto"/>
            </w:tcBorders>
          </w:tcPr>
          <w:p w14:paraId="5658AF7A" w14:textId="77777777" w:rsidR="009D3DC8" w:rsidRDefault="009D3DC8">
            <w:pPr>
              <w:pStyle w:val="TableText1"/>
              <w:keepNext w:val="0"/>
              <w:rPr>
                <w:rFonts w:ascii="Arial" w:hAnsi="Arial" w:cs="Arial"/>
                <w:szCs w:val="16"/>
              </w:rPr>
            </w:pPr>
            <w:r>
              <w:rPr>
                <w:rFonts w:ascii="Arial" w:hAnsi="Arial" w:cs="Arial"/>
                <w:szCs w:val="16"/>
              </w:rPr>
              <w:t>Leaf caterpillar</w:t>
            </w:r>
          </w:p>
        </w:tc>
        <w:tc>
          <w:tcPr>
            <w:tcW w:w="5196" w:type="dxa"/>
            <w:tcBorders>
              <w:left w:val="single" w:sz="4" w:space="0" w:color="auto"/>
              <w:right w:val="single" w:sz="4" w:space="0" w:color="auto"/>
            </w:tcBorders>
          </w:tcPr>
          <w:p w14:paraId="2350B217"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Field hygiene; trimming and destroying attacked leaves</w:t>
            </w:r>
          </w:p>
        </w:tc>
      </w:tr>
      <w:tr w:rsidR="009D3DC8" w14:paraId="469DF0AB" w14:textId="77777777">
        <w:trPr>
          <w:cantSplit/>
          <w:trHeight w:val="331"/>
        </w:trPr>
        <w:tc>
          <w:tcPr>
            <w:tcW w:w="2525" w:type="dxa"/>
            <w:tcBorders>
              <w:top w:val="single" w:sz="4" w:space="0" w:color="auto"/>
              <w:left w:val="single" w:sz="4" w:space="0" w:color="auto"/>
              <w:right w:val="single" w:sz="4" w:space="0" w:color="auto"/>
            </w:tcBorders>
          </w:tcPr>
          <w:p w14:paraId="7342198C" w14:textId="77777777" w:rsidR="009D3DC8" w:rsidRDefault="009D3DC8">
            <w:pPr>
              <w:pStyle w:val="TableText1"/>
              <w:keepNext w:val="0"/>
              <w:rPr>
                <w:rFonts w:ascii="Arial" w:hAnsi="Arial" w:cs="Arial"/>
                <w:i/>
                <w:szCs w:val="16"/>
              </w:rPr>
            </w:pPr>
            <w:r>
              <w:rPr>
                <w:rFonts w:ascii="Arial" w:hAnsi="Arial" w:cs="Arial"/>
                <w:i/>
                <w:szCs w:val="16"/>
              </w:rPr>
              <w:t>Phyllocnistis citrella</w:t>
            </w:r>
          </w:p>
        </w:tc>
        <w:tc>
          <w:tcPr>
            <w:tcW w:w="1701" w:type="dxa"/>
            <w:tcBorders>
              <w:top w:val="single" w:sz="4" w:space="0" w:color="auto"/>
              <w:left w:val="single" w:sz="4" w:space="0" w:color="auto"/>
              <w:right w:val="single" w:sz="4" w:space="0" w:color="auto"/>
            </w:tcBorders>
          </w:tcPr>
          <w:p w14:paraId="49DAF516" w14:textId="77777777" w:rsidR="009D3DC8" w:rsidRDefault="009D3DC8">
            <w:pPr>
              <w:pStyle w:val="TableText1"/>
              <w:keepNext w:val="0"/>
              <w:rPr>
                <w:rFonts w:ascii="Arial" w:hAnsi="Arial" w:cs="Arial"/>
                <w:szCs w:val="16"/>
              </w:rPr>
            </w:pPr>
            <w:r>
              <w:rPr>
                <w:rFonts w:ascii="Arial" w:hAnsi="Arial" w:cs="Arial"/>
                <w:szCs w:val="16"/>
              </w:rPr>
              <w:t>Citrus leaf miner</w:t>
            </w:r>
          </w:p>
        </w:tc>
        <w:tc>
          <w:tcPr>
            <w:tcW w:w="5196" w:type="dxa"/>
            <w:tcBorders>
              <w:left w:val="single" w:sz="4" w:space="0" w:color="auto"/>
              <w:right w:val="single" w:sz="4" w:space="0" w:color="auto"/>
            </w:tcBorders>
          </w:tcPr>
          <w:p w14:paraId="6FF9361D"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 xml:space="preserve">Trimming and destroying attacked leaves; natural enemy – </w:t>
            </w:r>
            <w:r>
              <w:rPr>
                <w:rFonts w:ascii="Arial" w:hAnsi="Arial" w:cs="Arial"/>
                <w:i/>
                <w:sz w:val="16"/>
                <w:szCs w:val="16"/>
              </w:rPr>
              <w:t xml:space="preserve">Ageniaspis </w:t>
            </w:r>
            <w:r>
              <w:rPr>
                <w:rFonts w:ascii="Arial" w:hAnsi="Arial" w:cs="Arial"/>
                <w:sz w:val="16"/>
                <w:szCs w:val="16"/>
              </w:rPr>
              <w:t>sp.</w:t>
            </w:r>
          </w:p>
        </w:tc>
      </w:tr>
      <w:tr w:rsidR="009D3DC8" w14:paraId="31654584" w14:textId="77777777">
        <w:trPr>
          <w:cantSplit/>
          <w:trHeight w:val="70"/>
        </w:trPr>
        <w:tc>
          <w:tcPr>
            <w:tcW w:w="2525" w:type="dxa"/>
            <w:tcBorders>
              <w:top w:val="single" w:sz="4" w:space="0" w:color="auto"/>
              <w:left w:val="single" w:sz="4" w:space="0" w:color="auto"/>
              <w:bottom w:val="single" w:sz="4" w:space="0" w:color="auto"/>
              <w:right w:val="single" w:sz="4" w:space="0" w:color="auto"/>
            </w:tcBorders>
          </w:tcPr>
          <w:p w14:paraId="3426ACF5" w14:textId="77777777" w:rsidR="009D3DC8" w:rsidRDefault="009D3DC8">
            <w:pPr>
              <w:pStyle w:val="TableText1"/>
              <w:keepNext w:val="0"/>
              <w:rPr>
                <w:rFonts w:ascii="Arial" w:hAnsi="Arial" w:cs="Arial"/>
                <w:i/>
                <w:szCs w:val="16"/>
              </w:rPr>
            </w:pPr>
            <w:r>
              <w:rPr>
                <w:rFonts w:ascii="Arial" w:hAnsi="Arial" w:cs="Arial"/>
                <w:i/>
                <w:szCs w:val="16"/>
              </w:rPr>
              <w:t>Scirtothrips dorsalis</w:t>
            </w:r>
          </w:p>
        </w:tc>
        <w:tc>
          <w:tcPr>
            <w:tcW w:w="1701" w:type="dxa"/>
            <w:tcBorders>
              <w:top w:val="single" w:sz="4" w:space="0" w:color="auto"/>
              <w:left w:val="single" w:sz="4" w:space="0" w:color="auto"/>
              <w:bottom w:val="single" w:sz="4" w:space="0" w:color="auto"/>
              <w:right w:val="single" w:sz="4" w:space="0" w:color="auto"/>
            </w:tcBorders>
          </w:tcPr>
          <w:p w14:paraId="4AC60EDE" w14:textId="77777777" w:rsidR="009D3DC8" w:rsidRDefault="009D3DC8">
            <w:pPr>
              <w:pStyle w:val="TableText1"/>
              <w:keepNext w:val="0"/>
              <w:rPr>
                <w:rFonts w:ascii="Arial" w:hAnsi="Arial" w:cs="Arial"/>
                <w:szCs w:val="16"/>
              </w:rPr>
            </w:pPr>
            <w:r>
              <w:rPr>
                <w:rFonts w:ascii="Arial" w:hAnsi="Arial" w:cs="Arial"/>
                <w:szCs w:val="16"/>
              </w:rPr>
              <w:t>Chilli thrips</w:t>
            </w:r>
          </w:p>
        </w:tc>
        <w:tc>
          <w:tcPr>
            <w:tcW w:w="5196" w:type="dxa"/>
            <w:tcBorders>
              <w:left w:val="single" w:sz="4" w:space="0" w:color="auto"/>
              <w:right w:val="single" w:sz="4" w:space="0" w:color="auto"/>
            </w:tcBorders>
          </w:tcPr>
          <w:p w14:paraId="2B3528A6"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and overlapping; field hygiene</w:t>
            </w:r>
          </w:p>
        </w:tc>
      </w:tr>
      <w:tr w:rsidR="009D3DC8" w14:paraId="55266A01" w14:textId="77777777">
        <w:tc>
          <w:tcPr>
            <w:tcW w:w="9422" w:type="dxa"/>
            <w:gridSpan w:val="3"/>
            <w:tcBorders>
              <w:top w:val="single" w:sz="4" w:space="0" w:color="auto"/>
              <w:bottom w:val="single" w:sz="4" w:space="0" w:color="auto"/>
            </w:tcBorders>
            <w:shd w:val="clear" w:color="auto" w:fill="D9D9D9"/>
          </w:tcPr>
          <w:p w14:paraId="1528B14C" w14:textId="77777777" w:rsidR="009D3DC8" w:rsidRDefault="009D3DC8">
            <w:pPr>
              <w:pStyle w:val="TableText1"/>
              <w:keepNext w:val="0"/>
              <w:rPr>
                <w:rFonts w:ascii="Arial" w:hAnsi="Arial" w:cs="Arial"/>
                <w:b/>
                <w:bCs/>
                <w:szCs w:val="16"/>
              </w:rPr>
            </w:pPr>
            <w:r>
              <w:rPr>
                <w:rFonts w:ascii="Arial" w:hAnsi="Arial" w:cs="Arial"/>
                <w:b/>
                <w:bCs/>
                <w:szCs w:val="16"/>
              </w:rPr>
              <w:t>Pathogen</w:t>
            </w:r>
          </w:p>
        </w:tc>
      </w:tr>
      <w:tr w:rsidR="009D3DC8" w14:paraId="405354CF" w14:textId="77777777">
        <w:trPr>
          <w:cantSplit/>
          <w:trHeight w:val="70"/>
        </w:trPr>
        <w:tc>
          <w:tcPr>
            <w:tcW w:w="2525" w:type="dxa"/>
            <w:tcBorders>
              <w:top w:val="single" w:sz="4" w:space="0" w:color="auto"/>
              <w:left w:val="single" w:sz="4" w:space="0" w:color="auto"/>
              <w:bottom w:val="single" w:sz="4" w:space="0" w:color="auto"/>
              <w:right w:val="single" w:sz="4" w:space="0" w:color="auto"/>
            </w:tcBorders>
          </w:tcPr>
          <w:p w14:paraId="3DBD8773" w14:textId="77777777" w:rsidR="009D3DC8" w:rsidRDefault="009D3DC8">
            <w:pPr>
              <w:pStyle w:val="TableText1"/>
              <w:keepNext w:val="0"/>
              <w:rPr>
                <w:rFonts w:ascii="Arial" w:hAnsi="Arial" w:cs="Arial"/>
                <w:i/>
                <w:szCs w:val="16"/>
              </w:rPr>
            </w:pPr>
            <w:r>
              <w:rPr>
                <w:rFonts w:ascii="Arial" w:hAnsi="Arial" w:cs="Arial"/>
                <w:i/>
                <w:szCs w:val="16"/>
              </w:rPr>
              <w:t>Corticium salmonicolor</w:t>
            </w:r>
          </w:p>
        </w:tc>
        <w:tc>
          <w:tcPr>
            <w:tcW w:w="1701" w:type="dxa"/>
            <w:tcBorders>
              <w:top w:val="single" w:sz="4" w:space="0" w:color="auto"/>
              <w:left w:val="single" w:sz="4" w:space="0" w:color="auto"/>
              <w:bottom w:val="single" w:sz="4" w:space="0" w:color="auto"/>
              <w:right w:val="single" w:sz="4" w:space="0" w:color="auto"/>
            </w:tcBorders>
          </w:tcPr>
          <w:p w14:paraId="2B020D83" w14:textId="77777777" w:rsidR="009D3DC8" w:rsidRDefault="009D3DC8">
            <w:pPr>
              <w:pStyle w:val="TableText1"/>
              <w:keepNext w:val="0"/>
              <w:rPr>
                <w:rFonts w:ascii="Arial" w:hAnsi="Arial" w:cs="Arial"/>
                <w:szCs w:val="16"/>
              </w:rPr>
            </w:pPr>
            <w:r>
              <w:rPr>
                <w:rFonts w:ascii="Arial" w:hAnsi="Arial" w:cs="Arial"/>
                <w:szCs w:val="16"/>
              </w:rPr>
              <w:t>Pink disease</w:t>
            </w:r>
          </w:p>
        </w:tc>
        <w:tc>
          <w:tcPr>
            <w:tcW w:w="5196" w:type="dxa"/>
            <w:tcBorders>
              <w:left w:val="single" w:sz="4" w:space="0" w:color="auto"/>
              <w:right w:val="single" w:sz="4" w:space="0" w:color="auto"/>
            </w:tcBorders>
          </w:tcPr>
          <w:p w14:paraId="08CD200D"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and overlapping; removing branches 30 cm below the rotted part of the bark; applying bordeaux porridge (</w:t>
            </w:r>
            <w:r>
              <w:rPr>
                <w:rFonts w:ascii="Arial" w:hAnsi="Arial" w:cs="Arial"/>
                <w:i/>
                <w:sz w:val="16"/>
                <w:szCs w:val="16"/>
              </w:rPr>
              <w:t>carbolineum plantarum</w:t>
            </w:r>
            <w:r>
              <w:rPr>
                <w:rFonts w:ascii="Arial" w:hAnsi="Arial" w:cs="Arial"/>
                <w:sz w:val="16"/>
                <w:szCs w:val="16"/>
              </w:rPr>
              <w:t xml:space="preserve">) to affected branch </w:t>
            </w:r>
          </w:p>
        </w:tc>
      </w:tr>
      <w:tr w:rsidR="009D3DC8" w14:paraId="59F3304A" w14:textId="77777777">
        <w:trPr>
          <w:cantSplit/>
          <w:trHeight w:val="70"/>
        </w:trPr>
        <w:tc>
          <w:tcPr>
            <w:tcW w:w="2525" w:type="dxa"/>
            <w:tcBorders>
              <w:top w:val="single" w:sz="4" w:space="0" w:color="auto"/>
              <w:left w:val="single" w:sz="4" w:space="0" w:color="auto"/>
              <w:bottom w:val="single" w:sz="4" w:space="0" w:color="auto"/>
              <w:right w:val="single" w:sz="4" w:space="0" w:color="auto"/>
            </w:tcBorders>
          </w:tcPr>
          <w:p w14:paraId="57E96AFB" w14:textId="77777777" w:rsidR="009D3DC8" w:rsidRDefault="009D3DC8">
            <w:pPr>
              <w:pStyle w:val="TableText1"/>
              <w:keepNext w:val="0"/>
              <w:rPr>
                <w:rFonts w:ascii="Arial" w:hAnsi="Arial" w:cs="Arial"/>
                <w:i/>
                <w:szCs w:val="16"/>
              </w:rPr>
            </w:pPr>
            <w:r>
              <w:rPr>
                <w:rFonts w:ascii="Arial" w:hAnsi="Arial" w:cs="Arial"/>
                <w:i/>
                <w:szCs w:val="16"/>
              </w:rPr>
              <w:t>Colletotrichum gloeosporioides</w:t>
            </w:r>
          </w:p>
        </w:tc>
        <w:tc>
          <w:tcPr>
            <w:tcW w:w="1701" w:type="dxa"/>
            <w:tcBorders>
              <w:top w:val="single" w:sz="4" w:space="0" w:color="auto"/>
              <w:left w:val="single" w:sz="4" w:space="0" w:color="auto"/>
              <w:bottom w:val="single" w:sz="4" w:space="0" w:color="auto"/>
              <w:right w:val="single" w:sz="4" w:space="0" w:color="auto"/>
            </w:tcBorders>
          </w:tcPr>
          <w:p w14:paraId="30B9FA99" w14:textId="77777777" w:rsidR="009D3DC8" w:rsidRDefault="009D3DC8">
            <w:pPr>
              <w:pStyle w:val="TableText1"/>
              <w:keepNext w:val="0"/>
              <w:rPr>
                <w:rFonts w:ascii="Arial" w:hAnsi="Arial" w:cs="Arial"/>
                <w:szCs w:val="16"/>
              </w:rPr>
            </w:pPr>
            <w:r>
              <w:rPr>
                <w:rFonts w:ascii="Arial" w:hAnsi="Arial" w:cs="Arial"/>
                <w:szCs w:val="16"/>
              </w:rPr>
              <w:t>Fruit rot</w:t>
            </w:r>
          </w:p>
        </w:tc>
        <w:tc>
          <w:tcPr>
            <w:tcW w:w="5196" w:type="dxa"/>
            <w:tcBorders>
              <w:left w:val="single" w:sz="4" w:space="0" w:color="auto"/>
              <w:right w:val="single" w:sz="4" w:space="0" w:color="auto"/>
            </w:tcBorders>
          </w:tcPr>
          <w:p w14:paraId="69CF8A22"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Field hygiene; good post-harvest handling practices</w:t>
            </w:r>
          </w:p>
        </w:tc>
      </w:tr>
      <w:tr w:rsidR="009D3DC8" w14:paraId="4922FD26" w14:textId="77777777">
        <w:trPr>
          <w:cantSplit/>
          <w:trHeight w:val="70"/>
        </w:trPr>
        <w:tc>
          <w:tcPr>
            <w:tcW w:w="2525" w:type="dxa"/>
            <w:tcBorders>
              <w:top w:val="single" w:sz="4" w:space="0" w:color="auto"/>
              <w:left w:val="single" w:sz="4" w:space="0" w:color="auto"/>
              <w:bottom w:val="single" w:sz="4" w:space="0" w:color="auto"/>
              <w:right w:val="single" w:sz="4" w:space="0" w:color="auto"/>
            </w:tcBorders>
          </w:tcPr>
          <w:p w14:paraId="61905CF9" w14:textId="77777777" w:rsidR="009D3DC8" w:rsidRDefault="009D3DC8">
            <w:pPr>
              <w:pStyle w:val="TableText1"/>
              <w:keepNext w:val="0"/>
              <w:rPr>
                <w:rFonts w:ascii="Arial" w:hAnsi="Arial" w:cs="Arial"/>
                <w:i/>
                <w:szCs w:val="16"/>
              </w:rPr>
            </w:pPr>
            <w:r>
              <w:rPr>
                <w:rFonts w:ascii="Arial" w:hAnsi="Arial" w:cs="Arial"/>
                <w:i/>
                <w:szCs w:val="16"/>
              </w:rPr>
              <w:t>Pellicularia koleroga</w:t>
            </w:r>
          </w:p>
        </w:tc>
        <w:tc>
          <w:tcPr>
            <w:tcW w:w="1701" w:type="dxa"/>
            <w:tcBorders>
              <w:top w:val="single" w:sz="4" w:space="0" w:color="auto"/>
              <w:left w:val="single" w:sz="4" w:space="0" w:color="auto"/>
              <w:bottom w:val="single" w:sz="4" w:space="0" w:color="auto"/>
              <w:right w:val="single" w:sz="4" w:space="0" w:color="auto"/>
            </w:tcBorders>
          </w:tcPr>
          <w:p w14:paraId="7A4BB158" w14:textId="77777777" w:rsidR="009D3DC8" w:rsidRDefault="009D3DC8">
            <w:pPr>
              <w:pStyle w:val="TableText1"/>
              <w:keepNext w:val="0"/>
              <w:rPr>
                <w:rFonts w:ascii="Arial" w:hAnsi="Arial" w:cs="Arial"/>
                <w:szCs w:val="16"/>
              </w:rPr>
            </w:pPr>
            <w:r>
              <w:rPr>
                <w:rFonts w:ascii="Arial" w:hAnsi="Arial" w:cs="Arial"/>
                <w:szCs w:val="16"/>
              </w:rPr>
              <w:t>Leaf brown spot</w:t>
            </w:r>
          </w:p>
        </w:tc>
        <w:tc>
          <w:tcPr>
            <w:tcW w:w="5196" w:type="dxa"/>
            <w:tcBorders>
              <w:left w:val="single" w:sz="4" w:space="0" w:color="auto"/>
              <w:right w:val="single" w:sz="4" w:space="0" w:color="auto"/>
            </w:tcBorders>
          </w:tcPr>
          <w:p w14:paraId="44DF6498"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and overlapping; removing diseased leaves and twigs; field hygiene</w:t>
            </w:r>
          </w:p>
        </w:tc>
      </w:tr>
      <w:tr w:rsidR="009D3DC8" w14:paraId="43B244CC" w14:textId="77777777">
        <w:trPr>
          <w:cantSplit/>
          <w:trHeight w:val="70"/>
        </w:trPr>
        <w:tc>
          <w:tcPr>
            <w:tcW w:w="2525" w:type="dxa"/>
            <w:tcBorders>
              <w:top w:val="single" w:sz="4" w:space="0" w:color="auto"/>
              <w:left w:val="single" w:sz="4" w:space="0" w:color="auto"/>
              <w:bottom w:val="single" w:sz="4" w:space="0" w:color="auto"/>
              <w:right w:val="single" w:sz="4" w:space="0" w:color="auto"/>
            </w:tcBorders>
          </w:tcPr>
          <w:p w14:paraId="5E568427" w14:textId="77777777" w:rsidR="009D3DC8" w:rsidRDefault="009D3DC8">
            <w:pPr>
              <w:pStyle w:val="TableText1"/>
              <w:keepNext w:val="0"/>
              <w:rPr>
                <w:rFonts w:ascii="Arial" w:hAnsi="Arial" w:cs="Arial"/>
                <w:i/>
                <w:szCs w:val="16"/>
              </w:rPr>
            </w:pPr>
            <w:r>
              <w:rPr>
                <w:rFonts w:ascii="Arial" w:hAnsi="Arial" w:cs="Arial"/>
                <w:i/>
                <w:szCs w:val="16"/>
              </w:rPr>
              <w:t>Pestalotiopsis palmarum</w:t>
            </w:r>
          </w:p>
        </w:tc>
        <w:tc>
          <w:tcPr>
            <w:tcW w:w="1701" w:type="dxa"/>
            <w:tcBorders>
              <w:top w:val="single" w:sz="4" w:space="0" w:color="auto"/>
              <w:left w:val="single" w:sz="4" w:space="0" w:color="auto"/>
              <w:bottom w:val="single" w:sz="4" w:space="0" w:color="auto"/>
              <w:right w:val="single" w:sz="4" w:space="0" w:color="auto"/>
            </w:tcBorders>
          </w:tcPr>
          <w:p w14:paraId="3818B4D8" w14:textId="77777777" w:rsidR="009D3DC8" w:rsidRDefault="009D3DC8">
            <w:pPr>
              <w:pStyle w:val="TableText1"/>
              <w:keepNext w:val="0"/>
              <w:rPr>
                <w:rFonts w:ascii="Arial" w:hAnsi="Arial" w:cs="Arial"/>
                <w:szCs w:val="16"/>
              </w:rPr>
            </w:pPr>
            <w:r>
              <w:rPr>
                <w:rFonts w:ascii="Arial" w:hAnsi="Arial" w:cs="Arial"/>
                <w:szCs w:val="16"/>
              </w:rPr>
              <w:t>Leaf spot</w:t>
            </w:r>
          </w:p>
        </w:tc>
        <w:tc>
          <w:tcPr>
            <w:tcW w:w="5196" w:type="dxa"/>
            <w:tcBorders>
              <w:left w:val="single" w:sz="4" w:space="0" w:color="auto"/>
              <w:right w:val="single" w:sz="4" w:space="0" w:color="auto"/>
            </w:tcBorders>
          </w:tcPr>
          <w:p w14:paraId="26DE92CB" w14:textId="77777777" w:rsidR="009D3DC8" w:rsidRDefault="009D3DC8">
            <w:pPr>
              <w:pStyle w:val="Bullet"/>
              <w:spacing w:before="60" w:after="60" w:line="240" w:lineRule="auto"/>
              <w:rPr>
                <w:rFonts w:ascii="Arial" w:hAnsi="Arial" w:cs="Arial"/>
                <w:sz w:val="16"/>
                <w:szCs w:val="16"/>
              </w:rPr>
            </w:pPr>
            <w:r>
              <w:rPr>
                <w:rFonts w:ascii="Arial" w:hAnsi="Arial" w:cs="Arial"/>
                <w:sz w:val="16"/>
                <w:szCs w:val="16"/>
              </w:rPr>
              <w:t>Pruning canopy to reduce density; removing dead part; pruning sick leaves; field hygiene</w:t>
            </w:r>
          </w:p>
        </w:tc>
      </w:tr>
    </w:tbl>
    <w:p w14:paraId="290611CA" w14:textId="77777777" w:rsidR="009D3DC8" w:rsidRDefault="009D3DC8">
      <w:pPr>
        <w:pStyle w:val="Heading2"/>
        <w:numPr>
          <w:ilvl w:val="1"/>
          <w:numId w:val="8"/>
        </w:numPr>
        <w:spacing w:line="240" w:lineRule="auto"/>
      </w:pPr>
      <w:bookmarkStart w:id="54" w:name="_Toc312317869"/>
      <w:bookmarkStart w:id="55" w:name="_Toc325618437"/>
      <w:bookmarkEnd w:id="54"/>
      <w:r>
        <w:lastRenderedPageBreak/>
        <w:t>Harvesting and handling procedures</w:t>
      </w:r>
      <w:bookmarkEnd w:id="55"/>
    </w:p>
    <w:p w14:paraId="68E53764" w14:textId="77777777" w:rsidR="009D3DC8" w:rsidRDefault="009D3DC8">
      <w:pPr>
        <w:spacing w:before="180" w:line="280" w:lineRule="atLeast"/>
        <w:rPr>
          <w:rFonts w:ascii="Times New Roman" w:hAnsi="Times New Roman"/>
          <w:sz w:val="24"/>
        </w:rPr>
      </w:pPr>
      <w:r>
        <w:rPr>
          <w:rFonts w:ascii="Times New Roman" w:hAnsi="Times New Roman"/>
          <w:sz w:val="24"/>
        </w:rPr>
        <w:t>Indonesian mangosteens are harvested almost all year round, with November through to February as the peak harvest period (IAQA 2011). The harvest period varies across the islands of Indonesia. The main harvest period for the main mangosteen production regions of Indonesia is outlined in Table 3.3.</w:t>
      </w:r>
    </w:p>
    <w:p w14:paraId="3C8ADC55" w14:textId="77777777" w:rsidR="009D3DC8" w:rsidRDefault="009D3DC8">
      <w:pPr>
        <w:pStyle w:val="Table"/>
        <w:ind w:left="1440" w:hanging="1440"/>
      </w:pPr>
      <w:bookmarkStart w:id="56" w:name="_Toc325625799"/>
      <w:r>
        <w:t>Table 3.3</w:t>
      </w:r>
      <w:r>
        <w:tab/>
        <w:t>Harvest period for Indonesia’s main mangosteen production regions (SADI-ACIAR 2008)</w:t>
      </w:r>
      <w:bookmarkEnd w:id="56"/>
    </w:p>
    <w:tbl>
      <w:tblPr>
        <w:tblW w:w="899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9"/>
        <w:gridCol w:w="543"/>
        <w:gridCol w:w="543"/>
        <w:gridCol w:w="544"/>
        <w:gridCol w:w="543"/>
        <w:gridCol w:w="544"/>
        <w:gridCol w:w="543"/>
        <w:gridCol w:w="543"/>
        <w:gridCol w:w="544"/>
        <w:gridCol w:w="543"/>
        <w:gridCol w:w="544"/>
        <w:gridCol w:w="543"/>
        <w:gridCol w:w="544"/>
      </w:tblGrid>
      <w:tr w:rsidR="009D3DC8" w14:paraId="13B0F306"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36337D06" w14:textId="77777777" w:rsidR="009D3DC8" w:rsidRDefault="009D3DC8">
            <w:pPr>
              <w:pStyle w:val="TableText"/>
              <w:rPr>
                <w:b/>
                <w:bCs/>
              </w:rPr>
            </w:pPr>
            <w:r>
              <w:rPr>
                <w:b/>
                <w:bCs/>
              </w:rPr>
              <w:t>States</w:t>
            </w:r>
          </w:p>
        </w:tc>
        <w:tc>
          <w:tcPr>
            <w:tcW w:w="543" w:type="dxa"/>
            <w:tcBorders>
              <w:top w:val="single" w:sz="4" w:space="0" w:color="auto"/>
              <w:left w:val="single" w:sz="4" w:space="0" w:color="auto"/>
              <w:bottom w:val="single" w:sz="4" w:space="0" w:color="auto"/>
              <w:right w:val="single" w:sz="4" w:space="0" w:color="auto"/>
            </w:tcBorders>
          </w:tcPr>
          <w:p w14:paraId="70502857" w14:textId="77777777" w:rsidR="009D3DC8" w:rsidRDefault="009D3DC8">
            <w:pPr>
              <w:pStyle w:val="TableText"/>
              <w:rPr>
                <w:b/>
                <w:bCs/>
              </w:rPr>
            </w:pPr>
            <w:r>
              <w:rPr>
                <w:b/>
                <w:bCs/>
              </w:rPr>
              <w:t>Jan</w:t>
            </w:r>
          </w:p>
        </w:tc>
        <w:tc>
          <w:tcPr>
            <w:tcW w:w="543" w:type="dxa"/>
            <w:tcBorders>
              <w:top w:val="single" w:sz="4" w:space="0" w:color="auto"/>
              <w:left w:val="single" w:sz="4" w:space="0" w:color="auto"/>
              <w:bottom w:val="single" w:sz="4" w:space="0" w:color="auto"/>
              <w:right w:val="single" w:sz="4" w:space="0" w:color="auto"/>
            </w:tcBorders>
          </w:tcPr>
          <w:p w14:paraId="4E2897A7" w14:textId="77777777" w:rsidR="009D3DC8" w:rsidRDefault="009D3DC8">
            <w:pPr>
              <w:pStyle w:val="TableText"/>
              <w:rPr>
                <w:b/>
                <w:bCs/>
              </w:rPr>
            </w:pPr>
            <w:r>
              <w:rPr>
                <w:b/>
                <w:bCs/>
              </w:rPr>
              <w:t>Feb</w:t>
            </w:r>
          </w:p>
        </w:tc>
        <w:tc>
          <w:tcPr>
            <w:tcW w:w="544" w:type="dxa"/>
            <w:tcBorders>
              <w:top w:val="single" w:sz="4" w:space="0" w:color="auto"/>
              <w:left w:val="single" w:sz="4" w:space="0" w:color="auto"/>
              <w:bottom w:val="single" w:sz="4" w:space="0" w:color="auto"/>
              <w:right w:val="single" w:sz="4" w:space="0" w:color="auto"/>
            </w:tcBorders>
          </w:tcPr>
          <w:p w14:paraId="064EB9DD" w14:textId="77777777" w:rsidR="009D3DC8" w:rsidRDefault="009D3DC8">
            <w:pPr>
              <w:pStyle w:val="TableText"/>
              <w:rPr>
                <w:b/>
                <w:bCs/>
              </w:rPr>
            </w:pPr>
            <w:r>
              <w:rPr>
                <w:b/>
                <w:bCs/>
              </w:rPr>
              <w:t>Mar</w:t>
            </w:r>
          </w:p>
        </w:tc>
        <w:tc>
          <w:tcPr>
            <w:tcW w:w="543" w:type="dxa"/>
            <w:tcBorders>
              <w:top w:val="single" w:sz="4" w:space="0" w:color="auto"/>
              <w:left w:val="single" w:sz="4" w:space="0" w:color="auto"/>
              <w:bottom w:val="single" w:sz="4" w:space="0" w:color="auto"/>
              <w:right w:val="single" w:sz="4" w:space="0" w:color="auto"/>
            </w:tcBorders>
          </w:tcPr>
          <w:p w14:paraId="153CFEBF" w14:textId="77777777" w:rsidR="009D3DC8" w:rsidRDefault="009D3DC8">
            <w:pPr>
              <w:pStyle w:val="TableText"/>
              <w:rPr>
                <w:b/>
                <w:bCs/>
              </w:rPr>
            </w:pPr>
            <w:r>
              <w:rPr>
                <w:b/>
                <w:bCs/>
              </w:rPr>
              <w:t>Apr</w:t>
            </w:r>
          </w:p>
        </w:tc>
        <w:tc>
          <w:tcPr>
            <w:tcW w:w="544" w:type="dxa"/>
            <w:tcBorders>
              <w:top w:val="single" w:sz="4" w:space="0" w:color="auto"/>
              <w:left w:val="single" w:sz="4" w:space="0" w:color="auto"/>
              <w:bottom w:val="single" w:sz="4" w:space="0" w:color="auto"/>
              <w:right w:val="single" w:sz="4" w:space="0" w:color="auto"/>
            </w:tcBorders>
          </w:tcPr>
          <w:p w14:paraId="6005A659" w14:textId="77777777" w:rsidR="009D3DC8" w:rsidRDefault="009D3DC8">
            <w:pPr>
              <w:pStyle w:val="TableText"/>
              <w:rPr>
                <w:b/>
                <w:bCs/>
              </w:rPr>
            </w:pPr>
            <w:r>
              <w:rPr>
                <w:b/>
                <w:bCs/>
              </w:rPr>
              <w:t>May</w:t>
            </w:r>
          </w:p>
        </w:tc>
        <w:tc>
          <w:tcPr>
            <w:tcW w:w="543" w:type="dxa"/>
            <w:tcBorders>
              <w:top w:val="single" w:sz="4" w:space="0" w:color="auto"/>
              <w:left w:val="single" w:sz="4" w:space="0" w:color="auto"/>
              <w:bottom w:val="single" w:sz="4" w:space="0" w:color="auto"/>
              <w:right w:val="single" w:sz="4" w:space="0" w:color="auto"/>
            </w:tcBorders>
          </w:tcPr>
          <w:p w14:paraId="53CB90AD" w14:textId="77777777" w:rsidR="009D3DC8" w:rsidRDefault="009D3DC8">
            <w:pPr>
              <w:pStyle w:val="TableText"/>
              <w:rPr>
                <w:b/>
                <w:bCs/>
              </w:rPr>
            </w:pPr>
            <w:r>
              <w:rPr>
                <w:b/>
                <w:bCs/>
              </w:rPr>
              <w:t>Jun</w:t>
            </w:r>
          </w:p>
        </w:tc>
        <w:tc>
          <w:tcPr>
            <w:tcW w:w="543" w:type="dxa"/>
            <w:tcBorders>
              <w:top w:val="single" w:sz="4" w:space="0" w:color="auto"/>
              <w:left w:val="single" w:sz="4" w:space="0" w:color="auto"/>
              <w:bottom w:val="single" w:sz="4" w:space="0" w:color="auto"/>
              <w:right w:val="single" w:sz="4" w:space="0" w:color="auto"/>
            </w:tcBorders>
          </w:tcPr>
          <w:p w14:paraId="437A2FB6" w14:textId="77777777" w:rsidR="009D3DC8" w:rsidRDefault="009D3DC8">
            <w:pPr>
              <w:pStyle w:val="TableText"/>
              <w:rPr>
                <w:b/>
                <w:bCs/>
              </w:rPr>
            </w:pPr>
            <w:r>
              <w:rPr>
                <w:b/>
                <w:bCs/>
              </w:rPr>
              <w:t>Jul</w:t>
            </w:r>
          </w:p>
        </w:tc>
        <w:tc>
          <w:tcPr>
            <w:tcW w:w="544" w:type="dxa"/>
            <w:tcBorders>
              <w:top w:val="single" w:sz="4" w:space="0" w:color="auto"/>
              <w:left w:val="single" w:sz="4" w:space="0" w:color="auto"/>
              <w:bottom w:val="single" w:sz="4" w:space="0" w:color="auto"/>
              <w:right w:val="single" w:sz="4" w:space="0" w:color="auto"/>
            </w:tcBorders>
          </w:tcPr>
          <w:p w14:paraId="4185446A" w14:textId="77777777" w:rsidR="009D3DC8" w:rsidRDefault="009D3DC8">
            <w:pPr>
              <w:pStyle w:val="TableText"/>
              <w:rPr>
                <w:b/>
                <w:bCs/>
              </w:rPr>
            </w:pPr>
            <w:r>
              <w:rPr>
                <w:b/>
                <w:bCs/>
              </w:rPr>
              <w:t>Aug</w:t>
            </w:r>
          </w:p>
        </w:tc>
        <w:tc>
          <w:tcPr>
            <w:tcW w:w="543" w:type="dxa"/>
            <w:tcBorders>
              <w:top w:val="single" w:sz="4" w:space="0" w:color="auto"/>
              <w:left w:val="single" w:sz="4" w:space="0" w:color="auto"/>
              <w:bottom w:val="single" w:sz="4" w:space="0" w:color="auto"/>
              <w:right w:val="single" w:sz="4" w:space="0" w:color="auto"/>
            </w:tcBorders>
          </w:tcPr>
          <w:p w14:paraId="309E748B" w14:textId="77777777" w:rsidR="009D3DC8" w:rsidRDefault="009D3DC8">
            <w:pPr>
              <w:pStyle w:val="TableText"/>
              <w:rPr>
                <w:b/>
                <w:bCs/>
              </w:rPr>
            </w:pPr>
            <w:r>
              <w:rPr>
                <w:b/>
                <w:bCs/>
              </w:rPr>
              <w:t>Sep</w:t>
            </w:r>
          </w:p>
        </w:tc>
        <w:tc>
          <w:tcPr>
            <w:tcW w:w="544" w:type="dxa"/>
            <w:tcBorders>
              <w:top w:val="single" w:sz="4" w:space="0" w:color="auto"/>
              <w:left w:val="single" w:sz="4" w:space="0" w:color="auto"/>
              <w:bottom w:val="single" w:sz="4" w:space="0" w:color="auto"/>
              <w:right w:val="single" w:sz="4" w:space="0" w:color="auto"/>
            </w:tcBorders>
          </w:tcPr>
          <w:p w14:paraId="49E9D0C3" w14:textId="77777777" w:rsidR="009D3DC8" w:rsidRDefault="009D3DC8">
            <w:pPr>
              <w:pStyle w:val="TableText"/>
              <w:rPr>
                <w:b/>
                <w:bCs/>
              </w:rPr>
            </w:pPr>
            <w:r>
              <w:rPr>
                <w:b/>
                <w:bCs/>
              </w:rPr>
              <w:t>Oct</w:t>
            </w:r>
          </w:p>
        </w:tc>
        <w:tc>
          <w:tcPr>
            <w:tcW w:w="543" w:type="dxa"/>
            <w:tcBorders>
              <w:top w:val="single" w:sz="4" w:space="0" w:color="auto"/>
              <w:left w:val="single" w:sz="4" w:space="0" w:color="auto"/>
              <w:bottom w:val="single" w:sz="4" w:space="0" w:color="auto"/>
              <w:right w:val="single" w:sz="4" w:space="0" w:color="auto"/>
            </w:tcBorders>
          </w:tcPr>
          <w:p w14:paraId="29FAA1A2" w14:textId="77777777" w:rsidR="009D3DC8" w:rsidRDefault="009D3DC8">
            <w:pPr>
              <w:pStyle w:val="TableText"/>
              <w:rPr>
                <w:b/>
                <w:bCs/>
              </w:rPr>
            </w:pPr>
            <w:r>
              <w:rPr>
                <w:b/>
                <w:bCs/>
              </w:rPr>
              <w:t>Nov</w:t>
            </w:r>
          </w:p>
        </w:tc>
        <w:tc>
          <w:tcPr>
            <w:tcW w:w="544" w:type="dxa"/>
            <w:tcBorders>
              <w:top w:val="single" w:sz="4" w:space="0" w:color="auto"/>
              <w:left w:val="single" w:sz="4" w:space="0" w:color="auto"/>
              <w:bottom w:val="single" w:sz="4" w:space="0" w:color="auto"/>
              <w:right w:val="single" w:sz="4" w:space="0" w:color="auto"/>
            </w:tcBorders>
          </w:tcPr>
          <w:p w14:paraId="0F1780B2" w14:textId="77777777" w:rsidR="009D3DC8" w:rsidRDefault="009D3DC8">
            <w:pPr>
              <w:pStyle w:val="TableText"/>
              <w:rPr>
                <w:b/>
                <w:bCs/>
              </w:rPr>
            </w:pPr>
            <w:r>
              <w:rPr>
                <w:b/>
                <w:bCs/>
              </w:rPr>
              <w:t>Dec</w:t>
            </w:r>
          </w:p>
        </w:tc>
      </w:tr>
      <w:tr w:rsidR="009D3DC8" w14:paraId="0E6C4657"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0667F62A" w14:textId="77777777" w:rsidR="009D3DC8" w:rsidRDefault="009D3DC8">
            <w:pPr>
              <w:pStyle w:val="TableText"/>
            </w:pPr>
            <w:r>
              <w:t>West Sumatra</w:t>
            </w:r>
          </w:p>
        </w:tc>
        <w:tc>
          <w:tcPr>
            <w:tcW w:w="543" w:type="dxa"/>
            <w:tcBorders>
              <w:top w:val="single" w:sz="4" w:space="0" w:color="auto"/>
              <w:left w:val="single" w:sz="4" w:space="0" w:color="auto"/>
              <w:bottom w:val="single" w:sz="4" w:space="0" w:color="auto"/>
              <w:right w:val="single" w:sz="4" w:space="0" w:color="auto"/>
            </w:tcBorders>
          </w:tcPr>
          <w:p w14:paraId="5D5B5996"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1488AF67"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5ABDC913"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3DD7C2C2"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195752B0"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460BE4FB"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FFFFFF"/>
          </w:tcPr>
          <w:p w14:paraId="515C501E"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5D7A6E0E"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E0E0E0"/>
          </w:tcPr>
          <w:p w14:paraId="3CDD0326"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05CEB082"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65562DB0"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36239733" w14:textId="77777777" w:rsidR="009D3DC8" w:rsidRDefault="009D3DC8">
            <w:pPr>
              <w:pStyle w:val="TableText"/>
            </w:pPr>
          </w:p>
        </w:tc>
      </w:tr>
      <w:tr w:rsidR="009D3DC8" w14:paraId="0786F518"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6AD31DAB" w14:textId="77777777" w:rsidR="009D3DC8" w:rsidRDefault="009D3DC8">
            <w:pPr>
              <w:pStyle w:val="TableText"/>
            </w:pPr>
            <w:r>
              <w:t>Medan (</w:t>
            </w:r>
            <w:smartTag w:uri="urn:schemas-microsoft-com:office:smarttags" w:element="place">
              <w:r>
                <w:t>North Sumatra</w:t>
              </w:r>
            </w:smartTag>
            <w:r>
              <w:t>)</w:t>
            </w:r>
          </w:p>
        </w:tc>
        <w:tc>
          <w:tcPr>
            <w:tcW w:w="543" w:type="dxa"/>
            <w:tcBorders>
              <w:top w:val="single" w:sz="4" w:space="0" w:color="auto"/>
              <w:left w:val="single" w:sz="4" w:space="0" w:color="auto"/>
              <w:bottom w:val="single" w:sz="4" w:space="0" w:color="auto"/>
              <w:right w:val="single" w:sz="4" w:space="0" w:color="auto"/>
            </w:tcBorders>
          </w:tcPr>
          <w:p w14:paraId="40260D73"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0EDED703"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15EB4697"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7DFFC0AE"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578FCB65"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FFFFFF"/>
          </w:tcPr>
          <w:p w14:paraId="427AC905"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FFFFFF"/>
          </w:tcPr>
          <w:p w14:paraId="7B7E8ACC"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FFFFFF"/>
          </w:tcPr>
          <w:p w14:paraId="409FA6FA"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47D589D4"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66156F04"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5F50E6F6"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3DB94488" w14:textId="77777777" w:rsidR="009D3DC8" w:rsidRDefault="009D3DC8">
            <w:pPr>
              <w:pStyle w:val="TableText"/>
            </w:pPr>
          </w:p>
        </w:tc>
      </w:tr>
      <w:tr w:rsidR="009D3DC8" w14:paraId="6E9D8E5A"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5F754B78" w14:textId="77777777" w:rsidR="009D3DC8" w:rsidRDefault="009D3DC8">
            <w:pPr>
              <w:pStyle w:val="TableText"/>
            </w:pPr>
            <w:r>
              <w:t>Central Java</w:t>
            </w: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31DD2BD0"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0CE68FA6"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042198EB"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17F41909"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0A712173"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311CEE94"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FFFFFF"/>
          </w:tcPr>
          <w:p w14:paraId="3DF96747"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FFFFFF"/>
          </w:tcPr>
          <w:p w14:paraId="23FBDB86"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FFFFFF"/>
          </w:tcPr>
          <w:p w14:paraId="10215729"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6A196B33"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6C328347"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68E32F61" w14:textId="77777777" w:rsidR="009D3DC8" w:rsidRDefault="009D3DC8">
            <w:pPr>
              <w:pStyle w:val="TableText"/>
            </w:pPr>
          </w:p>
        </w:tc>
      </w:tr>
      <w:tr w:rsidR="009D3DC8" w14:paraId="13EF5164"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2D6B050A" w14:textId="77777777" w:rsidR="009D3DC8" w:rsidRDefault="009D3DC8">
            <w:pPr>
              <w:pStyle w:val="TableText"/>
            </w:pPr>
            <w:r>
              <w:t>East Java</w:t>
            </w: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7DAD0B4C"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72976B6D"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36012883"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657C036D"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619C64A2"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47CD743E"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FFFFFF"/>
          </w:tcPr>
          <w:p w14:paraId="2FF13CC0"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FFFFFF"/>
          </w:tcPr>
          <w:p w14:paraId="54B45D80"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2673E9D8"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47DEBDFD"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472B676E"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672BBC9A" w14:textId="77777777" w:rsidR="009D3DC8" w:rsidRDefault="009D3DC8">
            <w:pPr>
              <w:pStyle w:val="TableText"/>
            </w:pPr>
          </w:p>
        </w:tc>
      </w:tr>
      <w:tr w:rsidR="009D3DC8" w14:paraId="763E73DE"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5F121CF4" w14:textId="77777777" w:rsidR="009D3DC8" w:rsidRDefault="009D3DC8">
            <w:pPr>
              <w:pStyle w:val="TableText"/>
            </w:pPr>
            <w:r>
              <w:t>Bali</w:t>
            </w: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54ED9C40"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3A901466"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446B5C07"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65B6639D"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21186D88"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412EB8AC"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386F7627"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27147D94"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58224E36"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371F5758"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486689C2"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20BFB98F" w14:textId="77777777" w:rsidR="009D3DC8" w:rsidRDefault="009D3DC8">
            <w:pPr>
              <w:pStyle w:val="TableText"/>
            </w:pPr>
          </w:p>
        </w:tc>
      </w:tr>
      <w:tr w:rsidR="009D3DC8" w14:paraId="52DB57A1"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54F01272" w14:textId="77777777" w:rsidR="009D3DC8" w:rsidRDefault="009D3DC8">
            <w:pPr>
              <w:pStyle w:val="TableText"/>
            </w:pPr>
            <w:r>
              <w:t>Lombok (Nusa Tenggara)</w:t>
            </w: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19007090"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40EB134A"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154FC298"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2FE90A5A"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1A3EDCF7"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78AFA108"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04C19DAE"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12CAD3BC"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0A299DA1"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7990E427"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468DB4FD"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45651B76" w14:textId="77777777" w:rsidR="009D3DC8" w:rsidRDefault="009D3DC8">
            <w:pPr>
              <w:pStyle w:val="TableText"/>
            </w:pPr>
          </w:p>
        </w:tc>
      </w:tr>
      <w:tr w:rsidR="009D3DC8" w14:paraId="3B13C711" w14:textId="77777777">
        <w:trPr>
          <w:cantSplit/>
          <w:trHeight w:val="283"/>
          <w:jc w:val="center"/>
        </w:trPr>
        <w:tc>
          <w:tcPr>
            <w:tcW w:w="2469" w:type="dxa"/>
            <w:tcBorders>
              <w:top w:val="single" w:sz="4" w:space="0" w:color="auto"/>
              <w:left w:val="single" w:sz="4" w:space="0" w:color="auto"/>
              <w:bottom w:val="single" w:sz="4" w:space="0" w:color="auto"/>
              <w:right w:val="single" w:sz="4" w:space="0" w:color="auto"/>
            </w:tcBorders>
          </w:tcPr>
          <w:p w14:paraId="43BDAC8E" w14:textId="77777777" w:rsidR="009D3DC8" w:rsidRDefault="009D3DC8">
            <w:pPr>
              <w:pStyle w:val="TableText"/>
            </w:pPr>
            <w:r>
              <w:t>West Java</w:t>
            </w:r>
          </w:p>
        </w:tc>
        <w:tc>
          <w:tcPr>
            <w:tcW w:w="543" w:type="dxa"/>
            <w:tcBorders>
              <w:top w:val="single" w:sz="4" w:space="0" w:color="auto"/>
              <w:left w:val="single" w:sz="4" w:space="0" w:color="auto"/>
              <w:bottom w:val="single" w:sz="4" w:space="0" w:color="auto"/>
              <w:right w:val="single" w:sz="4" w:space="0" w:color="auto"/>
            </w:tcBorders>
          </w:tcPr>
          <w:p w14:paraId="5E91A118"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13DE09F0"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482FE519"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shd w:val="clear" w:color="auto" w:fill="D9D9D9"/>
          </w:tcPr>
          <w:p w14:paraId="7074D0A9"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shd w:val="clear" w:color="auto" w:fill="D9D9D9"/>
          </w:tcPr>
          <w:p w14:paraId="4C75E8C4"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626F8D54"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6C8DBF75"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14F6D395"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5C1FBA24"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4834EE10" w14:textId="77777777" w:rsidR="009D3DC8" w:rsidRDefault="009D3DC8">
            <w:pPr>
              <w:pStyle w:val="TableText"/>
            </w:pPr>
          </w:p>
        </w:tc>
        <w:tc>
          <w:tcPr>
            <w:tcW w:w="543" w:type="dxa"/>
            <w:tcBorders>
              <w:top w:val="single" w:sz="4" w:space="0" w:color="auto"/>
              <w:left w:val="single" w:sz="4" w:space="0" w:color="auto"/>
              <w:bottom w:val="single" w:sz="4" w:space="0" w:color="auto"/>
              <w:right w:val="single" w:sz="4" w:space="0" w:color="auto"/>
            </w:tcBorders>
          </w:tcPr>
          <w:p w14:paraId="319DC6BD" w14:textId="77777777" w:rsidR="009D3DC8" w:rsidRDefault="009D3DC8">
            <w:pPr>
              <w:pStyle w:val="TableText"/>
            </w:pPr>
          </w:p>
        </w:tc>
        <w:tc>
          <w:tcPr>
            <w:tcW w:w="544" w:type="dxa"/>
            <w:tcBorders>
              <w:top w:val="single" w:sz="4" w:space="0" w:color="auto"/>
              <w:left w:val="single" w:sz="4" w:space="0" w:color="auto"/>
              <w:bottom w:val="single" w:sz="4" w:space="0" w:color="auto"/>
              <w:right w:val="single" w:sz="4" w:space="0" w:color="auto"/>
            </w:tcBorders>
          </w:tcPr>
          <w:p w14:paraId="0CDDFBDB" w14:textId="77777777" w:rsidR="009D3DC8" w:rsidRDefault="009D3DC8">
            <w:pPr>
              <w:pStyle w:val="TableText"/>
            </w:pPr>
          </w:p>
        </w:tc>
      </w:tr>
    </w:tbl>
    <w:p w14:paraId="00C8AE19" w14:textId="77777777" w:rsidR="009D3DC8" w:rsidRDefault="009D3DC8">
      <w:pPr>
        <w:spacing w:before="180" w:line="280" w:lineRule="atLeast"/>
        <w:rPr>
          <w:rFonts w:ascii="Times New Roman" w:hAnsi="Times New Roman"/>
          <w:sz w:val="24"/>
        </w:rPr>
      </w:pPr>
      <w:r>
        <w:rPr>
          <w:rFonts w:ascii="Times New Roman" w:hAnsi="Times New Roman"/>
          <w:sz w:val="24"/>
        </w:rPr>
        <w:t>Mangosteen fruit are harvested from 103 days after flowering. Mangosteens ripen at different rates; therefore harvested fruit from an individual tree may be at various maturity levels. Indonesian mangosteens are generally harvested when the fruit is pink to red in colour (maturity index 4 or 5, see table 3.4) as this is preferred for domestic and current export markets. Indonesia has indicated that undamaged mangosteen fruit at maturity index 2–3 would be exported to Australia. These fruit are considered to be a conditional non-host for fruit flies.</w:t>
      </w:r>
    </w:p>
    <w:p w14:paraId="2DCB9D2C" w14:textId="77777777" w:rsidR="009D3DC8" w:rsidRDefault="009D3DC8">
      <w:pPr>
        <w:pStyle w:val="Table"/>
        <w:ind w:left="1440" w:hanging="1440"/>
      </w:pPr>
      <w:bookmarkStart w:id="57" w:name="_Toc325625800"/>
      <w:r>
        <w:t>Table 3.4</w:t>
      </w:r>
      <w:r>
        <w:tab/>
        <w:t>Indonesia’s mangosteen maturity index (IAQA 2011)</w:t>
      </w:r>
      <w:bookmarkEnd w:id="57"/>
    </w:p>
    <w:p w14:paraId="77595B47" w14:textId="77777777" w:rsidR="009D3DC8" w:rsidRDefault="009D3DC8">
      <w:pPr>
        <w:pStyle w:val="Table"/>
        <w:jc w:val="center"/>
      </w:pPr>
      <w:r>
        <w:rPr>
          <w:noProof/>
          <w:lang w:eastAsia="en-AU"/>
        </w:rPr>
        <w:pict w14:anchorId="5D3C8021">
          <v:shape id="Picture 7" o:spid="_x0000_i1035" type="#_x0000_t75" alt="mangosteen maturity index.jpg" style="width:458.25pt;height:305.25pt;visibility:visible">
            <v:imagedata r:id="rId37" o:title="mangosteen maturity index"/>
          </v:shape>
        </w:pict>
      </w:r>
    </w:p>
    <w:p w14:paraId="3A0FA446" w14:textId="77777777" w:rsidR="009D3DC8" w:rsidRDefault="009D3DC8">
      <w:pPr>
        <w:spacing w:before="180" w:after="240" w:line="280" w:lineRule="atLeast"/>
        <w:rPr>
          <w:rFonts w:ascii="Times New Roman" w:hAnsi="Times New Roman"/>
          <w:sz w:val="24"/>
        </w:rPr>
      </w:pPr>
      <w:r>
        <w:rPr>
          <w:rFonts w:ascii="Times New Roman" w:hAnsi="Times New Roman"/>
          <w:sz w:val="24"/>
        </w:rPr>
        <w:lastRenderedPageBreak/>
        <w:t>Harvesting is done manually using long poles which have a cloth bag attached to catch the fruit, or are forked at the end (Figure 7).</w:t>
      </w:r>
    </w:p>
    <w:p w14:paraId="051DDBD6" w14:textId="77777777" w:rsidR="009D3DC8" w:rsidRDefault="009D3DC8">
      <w:pPr>
        <w:spacing w:after="180"/>
        <w:jc w:val="center"/>
        <w:rPr>
          <w:sz w:val="24"/>
        </w:rPr>
      </w:pPr>
      <w:r>
        <w:rPr>
          <w:noProof/>
          <w:sz w:val="24"/>
          <w:lang w:eastAsia="en-AU"/>
        </w:rPr>
        <w:pict w14:anchorId="750C5EEE">
          <v:shape id="Picture 6" o:spid="_x0000_i1036" type="#_x0000_t75" style="width:190.5pt;height:159pt;visibility:visible">
            <v:imagedata r:id="rId38" o:title="Jakarta 2011 174"/>
          </v:shape>
        </w:pict>
      </w:r>
      <w:r>
        <w:rPr>
          <w:sz w:val="24"/>
        </w:rPr>
        <w:t xml:space="preserve">                </w:t>
      </w:r>
      <w:r>
        <w:rPr>
          <w:noProof/>
          <w:sz w:val="24"/>
          <w:lang w:eastAsia="en-AU"/>
        </w:rPr>
        <w:pict w14:anchorId="76A2D4B5">
          <v:shape id="_x0000_i1037" type="#_x0000_t75" style="width:189pt;height:159.75pt;visibility:visible">
            <v:imagedata r:id="rId39" o:title="Jakarta 2011 287" blacklevel="-6554f"/>
          </v:shape>
        </w:pict>
      </w:r>
    </w:p>
    <w:p w14:paraId="65876261" w14:textId="77777777" w:rsidR="009D3DC8" w:rsidRDefault="009D3DC8">
      <w:pPr>
        <w:pStyle w:val="Figure"/>
        <w:ind w:left="1442" w:hanging="1442"/>
      </w:pPr>
      <w:bookmarkStart w:id="58" w:name="_Toc318962126"/>
      <w:r>
        <w:t>Figure 7</w:t>
      </w:r>
      <w:r>
        <w:tab/>
        <w:t>Different types of harvesting poles. Pole with attached bag (left) and forked pole (right)</w:t>
      </w:r>
      <w:bookmarkEnd w:id="58"/>
    </w:p>
    <w:p w14:paraId="15D60193" w14:textId="77777777" w:rsidR="009D3DC8" w:rsidRDefault="009D3DC8">
      <w:pPr>
        <w:spacing w:before="180" w:after="240" w:line="280" w:lineRule="atLeast"/>
        <w:rPr>
          <w:rFonts w:ascii="Times New Roman" w:hAnsi="Times New Roman"/>
          <w:sz w:val="24"/>
        </w:rPr>
      </w:pPr>
      <w:r>
        <w:rPr>
          <w:rFonts w:ascii="Times New Roman" w:hAnsi="Times New Roman"/>
          <w:sz w:val="24"/>
        </w:rPr>
        <w:t>Generally, a farmer will climb the tree and use the pole to pick the fruit which falls into the attached bag. The harvested fruit is then transferred into bamboo baskets lined with banana leaves (Figure 8) and taken to the collection house for initial sorting.</w:t>
      </w:r>
    </w:p>
    <w:p w14:paraId="4E07322D" w14:textId="77777777" w:rsidR="009D3DC8" w:rsidRDefault="009D3DC8">
      <w:pPr>
        <w:spacing w:after="180"/>
        <w:rPr>
          <w:sz w:val="24"/>
        </w:rPr>
      </w:pPr>
      <w:r>
        <w:rPr>
          <w:noProof/>
          <w:sz w:val="24"/>
          <w:lang w:eastAsia="en-AU"/>
        </w:rPr>
        <w:pict w14:anchorId="5FC71485">
          <v:shape id="_x0000_i1038" type="#_x0000_t75" style="width:199.5pt;height:290.25pt;visibility:visible">
            <v:imagedata r:id="rId40" o:title="Jakarta 2011 119" gain="93623f" blacklevel="3277f"/>
          </v:shape>
        </w:pict>
      </w:r>
      <w:r>
        <w:rPr>
          <w:sz w:val="24"/>
        </w:rPr>
        <w:t xml:space="preserve">                 </w:t>
      </w:r>
      <w:r>
        <w:rPr>
          <w:noProof/>
          <w:sz w:val="24"/>
          <w:lang w:eastAsia="en-AU"/>
        </w:rPr>
        <w:pict w14:anchorId="736B1A64">
          <v:shape id="_x0000_i1039" type="#_x0000_t75" style="width:204pt;height:291pt;visibility:visible">
            <v:imagedata r:id="rId41" o:title="Jakarta 2011 122"/>
          </v:shape>
        </w:pict>
      </w:r>
    </w:p>
    <w:p w14:paraId="051CD705" w14:textId="77777777" w:rsidR="009D3DC8" w:rsidRDefault="009D3DC8">
      <w:pPr>
        <w:pStyle w:val="Figure"/>
        <w:ind w:left="1442" w:hanging="1442"/>
        <w:rPr>
          <w:rStyle w:val="Style9Char"/>
        </w:rPr>
      </w:pPr>
      <w:bookmarkStart w:id="59" w:name="_Toc318962127"/>
      <w:r>
        <w:t>Figure 8</w:t>
      </w:r>
      <w:r>
        <w:tab/>
        <w:t xml:space="preserve">Harvesting of mangosteen fruit </w:t>
      </w:r>
      <w:r>
        <w:rPr>
          <w:rStyle w:val="Style9Char"/>
        </w:rPr>
        <w:t>(left)</w:t>
      </w:r>
      <w:r>
        <w:t xml:space="preserve"> </w:t>
      </w:r>
      <w:r>
        <w:rPr>
          <w:rStyle w:val="Style9Char"/>
        </w:rPr>
        <w:t>and bamboo basket lined with banana leaves (right)</w:t>
      </w:r>
      <w:bookmarkEnd w:id="59"/>
    </w:p>
    <w:p w14:paraId="3E719928" w14:textId="77777777" w:rsidR="009D3DC8" w:rsidRDefault="009D3DC8">
      <w:pPr>
        <w:pStyle w:val="Heading2"/>
        <w:numPr>
          <w:ilvl w:val="1"/>
          <w:numId w:val="8"/>
        </w:numPr>
        <w:spacing w:line="240" w:lineRule="auto"/>
      </w:pPr>
      <w:bookmarkStart w:id="60" w:name="_Toc312317947"/>
      <w:bookmarkStart w:id="61" w:name="_Toc312317948"/>
      <w:bookmarkStart w:id="62" w:name="_Toc312317949"/>
      <w:bookmarkStart w:id="63" w:name="_Toc312317950"/>
      <w:bookmarkStart w:id="64" w:name="_Toc312317951"/>
      <w:bookmarkStart w:id="65" w:name="_Toc312317952"/>
      <w:bookmarkStart w:id="66" w:name="_Toc325618438"/>
      <w:bookmarkEnd w:id="60"/>
      <w:bookmarkEnd w:id="61"/>
      <w:bookmarkEnd w:id="62"/>
      <w:bookmarkEnd w:id="63"/>
      <w:bookmarkEnd w:id="64"/>
      <w:bookmarkEnd w:id="65"/>
      <w:r>
        <w:lastRenderedPageBreak/>
        <w:t>Post-harvest</w:t>
      </w:r>
      <w:bookmarkEnd w:id="66"/>
    </w:p>
    <w:p w14:paraId="270D722B" w14:textId="77777777" w:rsidR="009D3DC8" w:rsidRDefault="009D3DC8">
      <w:pPr>
        <w:pStyle w:val="Heading3"/>
        <w:numPr>
          <w:ilvl w:val="2"/>
          <w:numId w:val="8"/>
        </w:numPr>
        <w:spacing w:line="240" w:lineRule="auto"/>
      </w:pPr>
      <w:r>
        <w:t>Collection house</w:t>
      </w:r>
    </w:p>
    <w:p w14:paraId="49E19EE8" w14:textId="77777777" w:rsidR="009D3DC8" w:rsidRDefault="009D3DC8">
      <w:pPr>
        <w:spacing w:before="180" w:line="280" w:lineRule="atLeast"/>
        <w:rPr>
          <w:rFonts w:ascii="Times New Roman" w:hAnsi="Times New Roman"/>
          <w:sz w:val="24"/>
        </w:rPr>
      </w:pPr>
      <w:r>
        <w:rPr>
          <w:rFonts w:ascii="Times New Roman" w:hAnsi="Times New Roman"/>
          <w:sz w:val="24"/>
        </w:rPr>
        <w:t>Harvested fruit are taken to a collection house which is located close to the orchards. Collection houses are responsible for receiving fruit from registered farmer groups (one group equals about 50 farmers or orchards) from a defined production area.</w:t>
      </w:r>
    </w:p>
    <w:p w14:paraId="6F9A0877" w14:textId="77777777" w:rsidR="009D3DC8" w:rsidRDefault="009D3DC8">
      <w:pPr>
        <w:spacing w:before="180" w:line="280" w:lineRule="atLeast"/>
        <w:rPr>
          <w:rFonts w:ascii="Times New Roman" w:hAnsi="Times New Roman"/>
          <w:sz w:val="24"/>
        </w:rPr>
      </w:pPr>
      <w:r>
        <w:rPr>
          <w:rFonts w:ascii="Times New Roman" w:hAnsi="Times New Roman"/>
          <w:sz w:val="24"/>
        </w:rPr>
        <w:t>The collection house usually consists of an open shed or brick house with a concrete floor. Here, fruit harvested from export-registered farms is separated from that of non-registered farms.</w:t>
      </w:r>
    </w:p>
    <w:p w14:paraId="0343A370" w14:textId="77777777" w:rsidR="009D3DC8" w:rsidRDefault="009D3DC8">
      <w:pPr>
        <w:spacing w:before="180" w:after="240" w:line="280" w:lineRule="atLeast"/>
        <w:rPr>
          <w:rFonts w:ascii="Times New Roman" w:hAnsi="Times New Roman"/>
          <w:sz w:val="24"/>
        </w:rPr>
      </w:pPr>
      <w:r>
        <w:rPr>
          <w:rFonts w:ascii="Times New Roman" w:hAnsi="Times New Roman"/>
          <w:sz w:val="24"/>
        </w:rPr>
        <w:t>The fruit is pre-sorted into colour-coded crates. Blue or green creates are used to identify fruit from registered export orchards (Figure 9). All damaged fruit and fruit that does not meet the export maturity index requirement are removed. Crates are weighed and labelled with a 4-digit collection house code, GAP registration number and 5-digit production number. The production number identifies what farm the fruit was sourced from, harvest date, volume and destination.</w:t>
      </w:r>
    </w:p>
    <w:p w14:paraId="54E1A9DF" w14:textId="77777777" w:rsidR="009D3DC8" w:rsidRDefault="009D3DC8">
      <w:pPr>
        <w:spacing w:after="180"/>
        <w:rPr>
          <w:sz w:val="24"/>
        </w:rPr>
      </w:pPr>
      <w:r>
        <w:rPr>
          <w:noProof/>
          <w:sz w:val="24"/>
          <w:lang w:eastAsia="en-AU"/>
        </w:rPr>
        <w:pict w14:anchorId="6EE053A1">
          <v:shape id="_x0000_i1040" type="#_x0000_t75" style="width:214.5pt;height:184.5pt;visibility:visible">
            <v:imagedata r:id="rId42" o:title="1315374076413" gain="1.25" blacklevel="3277f"/>
          </v:shape>
        </w:pict>
      </w:r>
      <w:r>
        <w:rPr>
          <w:sz w:val="24"/>
        </w:rPr>
        <w:t xml:space="preserve">    </w:t>
      </w:r>
      <w:r>
        <w:rPr>
          <w:noProof/>
          <w:sz w:val="24"/>
          <w:lang w:eastAsia="en-AU"/>
        </w:rPr>
        <w:pict w14:anchorId="2EF53782">
          <v:shape id="Picture 12" o:spid="_x0000_i1041" type="#_x0000_t75" style="width:182.25pt;height:184.5pt;visibility:visible">
            <v:imagedata r:id="rId43" o:title="DSC_0198" gain="58982f"/>
          </v:shape>
        </w:pict>
      </w:r>
    </w:p>
    <w:p w14:paraId="703EB3F7" w14:textId="77777777" w:rsidR="009D3DC8" w:rsidRDefault="009D3DC8">
      <w:pPr>
        <w:pStyle w:val="Figure"/>
      </w:pPr>
      <w:bookmarkStart w:id="67" w:name="_Toc318962128"/>
      <w:r>
        <w:t>Figure 9</w:t>
      </w:r>
      <w:r>
        <w:tab/>
        <w:t>Initial sorting of mangosteen fruit at the collection house</w:t>
      </w:r>
      <w:bookmarkEnd w:id="67"/>
    </w:p>
    <w:p w14:paraId="308B076A" w14:textId="77777777" w:rsidR="009D3DC8" w:rsidRDefault="009D3DC8">
      <w:pPr>
        <w:spacing w:before="180" w:line="280" w:lineRule="atLeast"/>
        <w:rPr>
          <w:rFonts w:ascii="Times New Roman" w:hAnsi="Times New Roman"/>
          <w:sz w:val="24"/>
        </w:rPr>
      </w:pPr>
      <w:r>
        <w:rPr>
          <w:rFonts w:ascii="Times New Roman" w:hAnsi="Times New Roman"/>
          <w:sz w:val="24"/>
        </w:rPr>
        <w:t>There are no storage facilities at the collection house, and the harvested mangosteen fruit are transported daily to the packing house in enclosed trucks. Transport may take up to 3–4 hours.</w:t>
      </w:r>
    </w:p>
    <w:p w14:paraId="60A82A93" w14:textId="77777777" w:rsidR="009D3DC8" w:rsidRDefault="009D3DC8">
      <w:pPr>
        <w:pStyle w:val="Heading3"/>
        <w:numPr>
          <w:ilvl w:val="2"/>
          <w:numId w:val="8"/>
        </w:numPr>
        <w:spacing w:line="240" w:lineRule="auto"/>
      </w:pPr>
      <w:r>
        <w:t>Packing house</w:t>
      </w:r>
    </w:p>
    <w:p w14:paraId="2E7624AB" w14:textId="77777777" w:rsidR="009D3DC8" w:rsidRDefault="009D3DC8">
      <w:pPr>
        <w:spacing w:before="180" w:line="280" w:lineRule="atLeast"/>
        <w:rPr>
          <w:rFonts w:ascii="Times New Roman" w:hAnsi="Times New Roman"/>
          <w:sz w:val="24"/>
        </w:rPr>
      </w:pPr>
      <w:r>
        <w:rPr>
          <w:rFonts w:ascii="Times New Roman" w:hAnsi="Times New Roman"/>
          <w:sz w:val="24"/>
        </w:rPr>
        <w:t>At the time of publication, Indonesia’s Agricultural Quarantine Agency (IAQA) has identified four packing houses, all located in West Java province, which have been registered under the Directorate General of Processing and Marketing of Agricultural Products and are certified to follow Good Handling Practices (GHP) and able to process mangosteen fruit for the export market.</w:t>
      </w:r>
    </w:p>
    <w:p w14:paraId="056970BE" w14:textId="77777777" w:rsidR="009D3DC8" w:rsidRDefault="009D3DC8">
      <w:pPr>
        <w:pStyle w:val="AQISText"/>
        <w:keepNext/>
        <w:tabs>
          <w:tab w:val="left" w:pos="357"/>
        </w:tabs>
        <w:spacing w:before="180"/>
        <w:jc w:val="both"/>
        <w:rPr>
          <w:rFonts w:cs="Arial"/>
          <w:b/>
          <w:bCs/>
          <w:color w:val="000000"/>
          <w:sz w:val="24"/>
          <w:szCs w:val="28"/>
        </w:rPr>
      </w:pPr>
      <w:r>
        <w:rPr>
          <w:rFonts w:cs="Arial"/>
          <w:b/>
          <w:bCs/>
          <w:color w:val="000000"/>
          <w:sz w:val="24"/>
          <w:szCs w:val="28"/>
        </w:rPr>
        <w:t>Sorting and initial grading</w:t>
      </w:r>
    </w:p>
    <w:p w14:paraId="3916DA7A" w14:textId="77777777" w:rsidR="009D3DC8" w:rsidRDefault="009D3DC8">
      <w:pPr>
        <w:spacing w:before="180" w:line="280" w:lineRule="atLeast"/>
        <w:rPr>
          <w:rFonts w:ascii="Times New Roman" w:hAnsi="Times New Roman"/>
          <w:sz w:val="24"/>
        </w:rPr>
      </w:pPr>
      <w:r>
        <w:rPr>
          <w:rFonts w:ascii="Times New Roman" w:hAnsi="Times New Roman"/>
          <w:sz w:val="24"/>
        </w:rPr>
        <w:t>Harvested mangosteen fruit are sorted and graded according to size, uniformity, maturity level and quality of fruit. The fruit is graded into three classes (IAQA 2011), these being:</w:t>
      </w:r>
    </w:p>
    <w:p w14:paraId="3CC84FAA" w14:textId="77777777" w:rsidR="009D3DC8" w:rsidRDefault="009D3DC8">
      <w:pPr>
        <w:pStyle w:val="Bullets"/>
        <w:numPr>
          <w:ilvl w:val="0"/>
          <w:numId w:val="9"/>
        </w:numPr>
        <w:spacing w:before="120"/>
        <w:jc w:val="left"/>
      </w:pPr>
      <w:r>
        <w:lastRenderedPageBreak/>
        <w:t>Super I – Fruit stalk is fresh green in colour, calyx is complete and bright green in colour, and fruit skin is free of damage</w:t>
      </w:r>
    </w:p>
    <w:p w14:paraId="6BA50253" w14:textId="77777777" w:rsidR="009D3DC8" w:rsidRDefault="009D3DC8">
      <w:pPr>
        <w:pStyle w:val="Bullets"/>
        <w:numPr>
          <w:ilvl w:val="0"/>
          <w:numId w:val="9"/>
        </w:numPr>
        <w:spacing w:before="120"/>
        <w:jc w:val="left"/>
      </w:pPr>
      <w:r>
        <w:t>Super II – Fruit stalk is pale green in colour, calyx is incomplete and green with some brown colour, and 30% of fruit skin shows scratch damage</w:t>
      </w:r>
    </w:p>
    <w:p w14:paraId="345714A0" w14:textId="77777777" w:rsidR="009D3DC8" w:rsidRDefault="009D3DC8">
      <w:pPr>
        <w:pStyle w:val="Bullets"/>
        <w:numPr>
          <w:ilvl w:val="0"/>
          <w:numId w:val="9"/>
        </w:numPr>
        <w:spacing w:before="120"/>
        <w:jc w:val="left"/>
      </w:pPr>
      <w:r>
        <w:t>Super III – Fruit stalk is dull green in colour, calyx is incomplete and green with some brown colour, and 30–50% of fruit skin shows scratch damage</w:t>
      </w:r>
    </w:p>
    <w:p w14:paraId="0BBF1C50" w14:textId="77777777" w:rsidR="009D3DC8" w:rsidRDefault="009D3DC8">
      <w:pPr>
        <w:spacing w:before="180" w:line="280" w:lineRule="atLeast"/>
        <w:rPr>
          <w:rFonts w:ascii="Times New Roman" w:hAnsi="Times New Roman"/>
          <w:sz w:val="24"/>
        </w:rPr>
      </w:pPr>
      <w:r>
        <w:rPr>
          <w:rFonts w:ascii="Times New Roman" w:hAnsi="Times New Roman"/>
          <w:sz w:val="24"/>
        </w:rPr>
        <w:t>Any damaged or defective fruit are downgraded and removed by the packing house staff before packing for export. Indonesia has advised that mangosteens classified as ’Super I and II’ would be exported to Australia.</w:t>
      </w:r>
    </w:p>
    <w:p w14:paraId="3DADE8E7" w14:textId="77777777" w:rsidR="009D3DC8" w:rsidRDefault="009D3DC8">
      <w:pPr>
        <w:pStyle w:val="AQISText"/>
        <w:keepNext/>
        <w:tabs>
          <w:tab w:val="left" w:pos="357"/>
        </w:tabs>
        <w:spacing w:before="180"/>
        <w:jc w:val="both"/>
        <w:rPr>
          <w:rFonts w:cs="Arial"/>
          <w:b/>
          <w:bCs/>
          <w:color w:val="000000"/>
          <w:sz w:val="24"/>
          <w:szCs w:val="28"/>
        </w:rPr>
      </w:pPr>
      <w:r>
        <w:rPr>
          <w:rFonts w:cs="Arial"/>
          <w:b/>
          <w:bCs/>
          <w:color w:val="000000"/>
          <w:sz w:val="24"/>
          <w:szCs w:val="28"/>
        </w:rPr>
        <w:t>Cleaning and final grading</w:t>
      </w:r>
    </w:p>
    <w:p w14:paraId="53CCB677" w14:textId="77777777" w:rsidR="009D3DC8" w:rsidRDefault="009D3DC8">
      <w:pPr>
        <w:spacing w:before="180" w:line="280" w:lineRule="atLeast"/>
        <w:rPr>
          <w:rFonts w:ascii="Times New Roman" w:hAnsi="Times New Roman"/>
          <w:sz w:val="24"/>
        </w:rPr>
      </w:pPr>
      <w:r>
        <w:rPr>
          <w:rFonts w:ascii="Times New Roman" w:hAnsi="Times New Roman"/>
          <w:sz w:val="24"/>
        </w:rPr>
        <w:t>Each individual mangosteen is manually cleaned with air pressure guns to remove any debris or insects hidden under the calyx of the fruit. The individual cleaning is conducted by a team of workers over sticky traps or water baths to collect the material and prevent contamination. Following the air pressure cleaning, mangosteens are individually brushed to remove any pests adhering to the fruit.</w:t>
      </w:r>
    </w:p>
    <w:p w14:paraId="6F80D72F" w14:textId="77777777" w:rsidR="009D3DC8" w:rsidRDefault="009D3DC8">
      <w:pPr>
        <w:spacing w:before="180" w:line="280" w:lineRule="atLeast"/>
        <w:rPr>
          <w:sz w:val="24"/>
        </w:rPr>
      </w:pPr>
      <w:r>
        <w:rPr>
          <w:rFonts w:ascii="Times New Roman" w:hAnsi="Times New Roman"/>
          <w:sz w:val="24"/>
        </w:rPr>
        <w:t>Any fruit damaged during the cleaning process is removed and the fruit is then sorted by weight into further classes, depending on export destination and market requirements</w:t>
      </w:r>
      <w:r>
        <w:rPr>
          <w:sz w:val="24"/>
        </w:rPr>
        <w:t>.</w:t>
      </w:r>
    </w:p>
    <w:p w14:paraId="3CCC0BC1" w14:textId="77777777" w:rsidR="009D3DC8" w:rsidRDefault="009D3DC8">
      <w:pPr>
        <w:pStyle w:val="AQISText"/>
        <w:keepNext/>
        <w:tabs>
          <w:tab w:val="left" w:pos="357"/>
        </w:tabs>
        <w:spacing w:before="180"/>
        <w:jc w:val="both"/>
        <w:rPr>
          <w:rFonts w:cs="Arial"/>
          <w:b/>
          <w:bCs/>
          <w:color w:val="000000"/>
          <w:sz w:val="24"/>
          <w:szCs w:val="28"/>
        </w:rPr>
      </w:pPr>
      <w:r>
        <w:rPr>
          <w:rFonts w:cs="Arial"/>
          <w:b/>
          <w:bCs/>
          <w:color w:val="000000"/>
          <w:sz w:val="24"/>
          <w:szCs w:val="28"/>
        </w:rPr>
        <w:t>Packaging and storage</w:t>
      </w:r>
    </w:p>
    <w:p w14:paraId="7AEBB151" w14:textId="77777777" w:rsidR="009D3DC8" w:rsidRDefault="009D3DC8">
      <w:pPr>
        <w:spacing w:before="180" w:line="280" w:lineRule="atLeast"/>
        <w:rPr>
          <w:rFonts w:ascii="Times New Roman" w:hAnsi="Times New Roman"/>
          <w:sz w:val="24"/>
        </w:rPr>
      </w:pPr>
      <w:r>
        <w:rPr>
          <w:rFonts w:ascii="Times New Roman" w:hAnsi="Times New Roman"/>
          <w:sz w:val="24"/>
        </w:rPr>
        <w:t>Mangosteens are generally packed into 8 kg plastic crates lined with paper. A lightly wet foam sheet is placed on top of each crate to maintain the moisture level, and the crate is sealed. However, the packaging material may differ according to the importing country’s requirements.</w:t>
      </w:r>
    </w:p>
    <w:p w14:paraId="3EFE7832" w14:textId="77777777" w:rsidR="009D3DC8" w:rsidRDefault="009D3DC8">
      <w:pPr>
        <w:spacing w:before="180" w:line="280" w:lineRule="atLeast"/>
        <w:rPr>
          <w:rFonts w:ascii="Times New Roman" w:hAnsi="Times New Roman"/>
          <w:sz w:val="24"/>
        </w:rPr>
      </w:pPr>
      <w:r>
        <w:rPr>
          <w:rFonts w:ascii="Times New Roman" w:hAnsi="Times New Roman"/>
          <w:sz w:val="24"/>
        </w:rPr>
        <w:t>The plastic crates are clearly labelled with the packing house and farm registration number, product quality and class, packing date and export destination for quality assurance and quarantine trace</w:t>
      </w:r>
      <w:r>
        <w:rPr>
          <w:rFonts w:ascii="Times New Roman" w:hAnsi="Times New Roman"/>
          <w:b/>
          <w:sz w:val="24"/>
        </w:rPr>
        <w:t>-</w:t>
      </w:r>
      <w:r>
        <w:rPr>
          <w:rFonts w:ascii="Times New Roman" w:hAnsi="Times New Roman"/>
          <w:sz w:val="24"/>
        </w:rPr>
        <w:t>back purposes.</w:t>
      </w:r>
    </w:p>
    <w:p w14:paraId="4355F519" w14:textId="77777777" w:rsidR="009D3DC8" w:rsidRDefault="009D3DC8">
      <w:pPr>
        <w:spacing w:before="180" w:line="280" w:lineRule="atLeast"/>
        <w:rPr>
          <w:rFonts w:ascii="Times New Roman" w:hAnsi="Times New Roman"/>
          <w:sz w:val="24"/>
        </w:rPr>
      </w:pPr>
      <w:r>
        <w:rPr>
          <w:rFonts w:ascii="Times New Roman" w:hAnsi="Times New Roman"/>
          <w:sz w:val="24"/>
        </w:rPr>
        <w:t>Packed and sealed crates are stacked (maximum 12 crates high) into cold rooms, where they are stored for a short period of time at ~ 13 °C. Fruit for domestic and export markets are stored separately.</w:t>
      </w:r>
    </w:p>
    <w:p w14:paraId="53A89F3D" w14:textId="77777777" w:rsidR="009D3DC8" w:rsidRDefault="009D3DC8">
      <w:pPr>
        <w:pStyle w:val="Heading3"/>
        <w:numPr>
          <w:ilvl w:val="2"/>
          <w:numId w:val="8"/>
        </w:numPr>
        <w:spacing w:line="240" w:lineRule="auto"/>
      </w:pPr>
      <w:r>
        <w:t>Phytosanitary inspection</w:t>
      </w:r>
    </w:p>
    <w:p w14:paraId="06F1DB3A" w14:textId="77777777" w:rsidR="009D3DC8" w:rsidRDefault="009D3DC8">
      <w:pPr>
        <w:spacing w:before="180" w:line="280" w:lineRule="atLeast"/>
        <w:rPr>
          <w:rFonts w:ascii="Times New Roman" w:hAnsi="Times New Roman"/>
          <w:sz w:val="24"/>
        </w:rPr>
      </w:pPr>
      <w:r>
        <w:rPr>
          <w:rFonts w:ascii="Times New Roman" w:hAnsi="Times New Roman"/>
          <w:sz w:val="24"/>
        </w:rPr>
        <w:t>Packed mangosteen fruit is inspected in designated quarantine inspection facilities by IAQA inspectors to meet the phytosanitary requirements of the importing country. Only mangosteens that meet the requirements of the importing country are issued with a phytosanitary certificate for export.</w:t>
      </w:r>
    </w:p>
    <w:p w14:paraId="07740169" w14:textId="77777777" w:rsidR="009D3DC8" w:rsidRDefault="009D3DC8">
      <w:pPr>
        <w:pStyle w:val="Heading3"/>
        <w:numPr>
          <w:ilvl w:val="2"/>
          <w:numId w:val="8"/>
        </w:numPr>
        <w:spacing w:line="240" w:lineRule="auto"/>
      </w:pPr>
      <w:r>
        <w:t>Loading and transportation</w:t>
      </w:r>
    </w:p>
    <w:p w14:paraId="0866DB9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Packed fruit is loaded from the cold storage facility into closed refrigerated trucks or containers and sealed. Refrigerated containers are transported directly from the packing house to the port or airport. Although airfreight is the preferred means of transport, mangosteens may also be exported to Australia by sea in refrigerated shipping containers. </w:t>
      </w:r>
    </w:p>
    <w:p w14:paraId="6D03A791"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The transportation of mangosteen fruit from Indonesia to Australia, i.e. from packing house to arrival, may take upto 7 days by air and 16</w:t>
      </w:r>
      <w:r>
        <w:rPr>
          <w:rFonts w:ascii="Times New Roman" w:hAnsi="Times New Roman"/>
          <w:b/>
          <w:sz w:val="24"/>
        </w:rPr>
        <w:t>–</w:t>
      </w:r>
      <w:r>
        <w:rPr>
          <w:rFonts w:ascii="Times New Roman" w:hAnsi="Times New Roman"/>
          <w:sz w:val="24"/>
        </w:rPr>
        <w:t>19 days by sea (Australia Trade and Shipping 2012).</w:t>
      </w:r>
    </w:p>
    <w:p w14:paraId="404052D9" w14:textId="77777777" w:rsidR="009D3DC8" w:rsidRDefault="009D3DC8">
      <w:pPr>
        <w:spacing w:before="180" w:line="280" w:lineRule="atLeast"/>
        <w:rPr>
          <w:rFonts w:ascii="Times New Roman" w:hAnsi="Times New Roman"/>
          <w:sz w:val="24"/>
        </w:rPr>
      </w:pPr>
      <w:r>
        <w:rPr>
          <w:rFonts w:ascii="Times New Roman" w:hAnsi="Times New Roman"/>
          <w:sz w:val="24"/>
        </w:rPr>
        <w:t>Figure 10 summarises the post-harvest steps (collection house, packing house and distribution) for mangosteen fruit grown in Indonesia for export (adapted from IAQA 2011).</w:t>
      </w:r>
    </w:p>
    <w:p w14:paraId="7EB71B55" w14:textId="77777777" w:rsidR="009D3DC8" w:rsidRDefault="009D3DC8">
      <w:pPr>
        <w:spacing w:after="180"/>
        <w:jc w:val="center"/>
        <w:rPr>
          <w:sz w:val="24"/>
          <w:highlight w:val="yellow"/>
        </w:rPr>
      </w:pPr>
      <w:r>
        <w:rPr>
          <w:noProof/>
          <w:sz w:val="24"/>
          <w:lang w:eastAsia="en-AU"/>
        </w:rPr>
        <w:lastRenderedPageBreak/>
        <w:pict w14:anchorId="105F3EFC">
          <v:shape id="_x0000_i1042" type="#_x0000_t75" alt="Mangosteen production flow chart.jpg" style="width:459.75pt;height:657pt;visibility:visible">
            <v:imagedata r:id="rId44" o:title="Mangosteen production flow chart"/>
          </v:shape>
        </w:pict>
      </w:r>
    </w:p>
    <w:p w14:paraId="51A0772D" w14:textId="77777777" w:rsidR="009D3DC8" w:rsidRDefault="009D3DC8">
      <w:pPr>
        <w:pStyle w:val="Figure"/>
        <w:ind w:left="1442" w:hanging="1442"/>
      </w:pPr>
      <w:bookmarkStart w:id="68" w:name="_Toc318962129"/>
      <w:r>
        <w:t>Figure 10</w:t>
      </w:r>
      <w:r>
        <w:tab/>
        <w:t>Summary of orchard and post-harvest steps for mangosteen fruit grown in Indonesia for export</w:t>
      </w:r>
      <w:bookmarkEnd w:id="68"/>
    </w:p>
    <w:p w14:paraId="1408D763" w14:textId="77777777" w:rsidR="009D3DC8" w:rsidRDefault="009D3DC8">
      <w:pPr>
        <w:pStyle w:val="Heading2"/>
        <w:numPr>
          <w:ilvl w:val="1"/>
          <w:numId w:val="8"/>
        </w:numPr>
        <w:spacing w:line="240" w:lineRule="auto"/>
      </w:pPr>
      <w:bookmarkStart w:id="69" w:name="_Toc325618439"/>
      <w:r>
        <w:lastRenderedPageBreak/>
        <w:t>Production and export statistics</w:t>
      </w:r>
      <w:bookmarkEnd w:id="69"/>
    </w:p>
    <w:p w14:paraId="323BA2DE" w14:textId="77777777" w:rsidR="009D3DC8" w:rsidRDefault="009D3DC8">
      <w:pPr>
        <w:spacing w:before="180" w:line="280" w:lineRule="atLeast"/>
        <w:rPr>
          <w:rFonts w:ascii="Times New Roman" w:hAnsi="Times New Roman"/>
          <w:sz w:val="24"/>
        </w:rPr>
      </w:pPr>
      <w:r>
        <w:rPr>
          <w:rFonts w:ascii="Times New Roman" w:hAnsi="Times New Roman"/>
          <w:sz w:val="24"/>
        </w:rPr>
        <w:t>In 2010, Indonesia produced around 84 500 tonnes of mangosteens, with the majority of production in West Java. East Java, North Sumatra and provinces along the south-western coast of Sumatra (IAQA 2011). Of these, only 2450 tonnes of mangosteens was exported. The main export markets are China, the Middle East and Europe (IAQA 2011). However, these markets do not require specific phytosanitary measures for the importation of mangosteens from Indonesia.</w:t>
      </w:r>
    </w:p>
    <w:p w14:paraId="34E3F771" w14:textId="77777777" w:rsidR="009D3DC8" w:rsidRDefault="009D3DC8">
      <w:pPr>
        <w:spacing w:before="180" w:line="280" w:lineRule="atLeast"/>
        <w:rPr>
          <w:rFonts w:ascii="Times New Roman" w:hAnsi="Times New Roman"/>
          <w:sz w:val="24"/>
          <w:highlight w:val="yellow"/>
        </w:rPr>
      </w:pPr>
      <w:r>
        <w:rPr>
          <w:rFonts w:ascii="Times New Roman" w:hAnsi="Times New Roman"/>
          <w:sz w:val="24"/>
        </w:rPr>
        <w:t>The Indonesian government has advised that initially, around 2–4 tonnes of mangosteens are likely to be exported annually to Australia. However, this amount may increase in following years.</w:t>
      </w:r>
    </w:p>
    <w:p w14:paraId="289866E5" w14:textId="77777777" w:rsidR="009D3DC8" w:rsidRDefault="009D3DC8">
      <w:pPr>
        <w:pStyle w:val="Body"/>
      </w:pPr>
    </w:p>
    <w:p w14:paraId="79B0258C" w14:textId="77777777" w:rsidR="009D3DC8" w:rsidRDefault="009D3DC8">
      <w:pPr>
        <w:sectPr w:rsidR="009D3DC8">
          <w:headerReference w:type="default" r:id="rId45"/>
          <w:type w:val="oddPage"/>
          <w:pgSz w:w="11906" w:h="16838"/>
          <w:pgMar w:top="1440" w:right="1274" w:bottom="1440" w:left="1440" w:header="708" w:footer="708" w:gutter="0"/>
          <w:cols w:space="708"/>
          <w:docGrid w:linePitch="360"/>
        </w:sectPr>
      </w:pPr>
    </w:p>
    <w:p w14:paraId="759D5B33" w14:textId="77777777" w:rsidR="009D3DC8" w:rsidRDefault="009D3DC8">
      <w:pPr>
        <w:pStyle w:val="Heading1"/>
        <w:numPr>
          <w:ilvl w:val="0"/>
          <w:numId w:val="8"/>
        </w:numPr>
        <w:spacing w:before="120" w:line="240" w:lineRule="auto"/>
      </w:pPr>
      <w:bookmarkStart w:id="70" w:name="_Toc325618440"/>
      <w:r>
        <w:lastRenderedPageBreak/>
        <w:t>Pest risk assessments for quarantine pests</w:t>
      </w:r>
      <w:bookmarkEnd w:id="70"/>
    </w:p>
    <w:p w14:paraId="30C0B0BC" w14:textId="77777777" w:rsidR="009D3DC8" w:rsidRDefault="009D3DC8">
      <w:pPr>
        <w:pStyle w:val="Body"/>
        <w:spacing w:before="180"/>
        <w:jc w:val="left"/>
        <w:rPr>
          <w:rFonts w:ascii="Times New Roman" w:hAnsi="Times New Roman"/>
        </w:rPr>
      </w:pPr>
      <w:bookmarkStart w:id="71" w:name="_Toc214375728"/>
      <w:r>
        <w:rPr>
          <w:rFonts w:ascii="Times New Roman" w:hAnsi="Times New Roman"/>
        </w:rPr>
        <w:t>Quarantine pests associated with fresh mangosteen fruit from Indonesia are identified in the pest categorisation process (Appendix A). This chapter assesses the probability of the entry, establishment and spread of these pests and the likelihood of associated potential economic, including environmental, consequences.</w:t>
      </w:r>
    </w:p>
    <w:p w14:paraId="6B48E3DA" w14:textId="77777777" w:rsidR="009D3DC8" w:rsidRDefault="009D3DC8">
      <w:pPr>
        <w:pStyle w:val="Body"/>
        <w:spacing w:before="180"/>
        <w:jc w:val="left"/>
        <w:rPr>
          <w:rFonts w:ascii="Times New Roman" w:hAnsi="Times New Roman"/>
        </w:rPr>
      </w:pPr>
      <w:r>
        <w:rPr>
          <w:rFonts w:ascii="Times New Roman" w:hAnsi="Times New Roman"/>
        </w:rPr>
        <w:t>Pest categorisation identified 33 quarantine pests associated with mangosteen fruit from Indonesia. Of these, 29 pests are of national concern and four are of regional concern. Table 4.1 identifies these quarantine pests, and full details of the pest categorisation are given in Appendix A. Additional quarantine pest data are given in Appendix B.</w:t>
      </w:r>
    </w:p>
    <w:p w14:paraId="665A0DF1" w14:textId="77777777" w:rsidR="009D3DC8" w:rsidRDefault="009D3DC8">
      <w:pPr>
        <w:pStyle w:val="Body"/>
        <w:spacing w:before="180"/>
        <w:jc w:val="left"/>
        <w:rPr>
          <w:rFonts w:ascii="Times New Roman" w:hAnsi="Times New Roman"/>
        </w:rPr>
      </w:pPr>
      <w:r>
        <w:rPr>
          <w:rFonts w:ascii="Times New Roman" w:hAnsi="Times New Roman"/>
        </w:rPr>
        <w:t>Assessments of risks associated with these pests are presented in this chapter. Pests are listed or grouped according to their taxonomic classification, consistent with Appendix A and Appendix B.</w:t>
      </w:r>
    </w:p>
    <w:p w14:paraId="27D5B82F" w14:textId="77777777" w:rsidR="009D3DC8" w:rsidRDefault="009D3DC8">
      <w:pPr>
        <w:pStyle w:val="Body"/>
        <w:spacing w:before="180"/>
        <w:jc w:val="left"/>
      </w:pPr>
      <w:bookmarkStart w:id="72" w:name="_Toc261004353"/>
      <w:bookmarkStart w:id="73" w:name="_Toc67287592"/>
      <w:bookmarkEnd w:id="71"/>
      <w:r>
        <w:rPr>
          <w:rFonts w:ascii="Times New Roman" w:hAnsi="Times New Roman"/>
        </w:rPr>
        <w:t>Pest risk assessments were completed to determine whether the risk posed by each pest exceeds Australia’s ALOP and thus whether phytosanitary measures are required to manage the risk. Pest risk assessments already exist for some of the pests considered here as they have been assessed previously by DAFF Biosecurity. For these pests, the likelihood of entry (importation and/or distribution) is re-assessed due to the differences in the commodity and/or country assessed. This type of assessment is reflected in the introduction and layout of the risk assessments that follow. In this report, the superscript ‘EP’ (existing policy) is used for pests that have previously been assessed and where a policy already exists. Some pests identified in this assessment have been recorded in some regions of Australia, and due to interstate quarantine regulations are considered pests of regional concern. These organisms are identified with a superscript, such as ‘WA’ (Western Australia), for the state for which the regional pest status is considered.</w:t>
      </w:r>
    </w:p>
    <w:p w14:paraId="4D07B08D" w14:textId="77777777" w:rsidR="009D3DC8" w:rsidRDefault="009D3DC8">
      <w:pPr>
        <w:pStyle w:val="Body"/>
        <w:spacing w:before="180"/>
        <w:jc w:val="left"/>
        <w:rPr>
          <w:rFonts w:ascii="Times New Roman" w:hAnsi="Times New Roman"/>
        </w:rPr>
      </w:pPr>
      <w:r>
        <w:rPr>
          <w:rFonts w:ascii="Times New Roman" w:hAnsi="Times New Roman"/>
        </w:rPr>
        <w:t>Mangosteens harvested, packed, stored and transported for export to Australia may need to travel variable distances to ports. Depending on the port of departure and arrival it could take up to three weeks for general sea freight from Indonesia to Australia. Mangosteen fruit could also potentially be air</w:t>
      </w:r>
      <w:r>
        <w:rPr>
          <w:rFonts w:ascii="Times New Roman" w:hAnsi="Times New Roman"/>
          <w:b/>
        </w:rPr>
        <w:t>-</w:t>
      </w:r>
      <w:r>
        <w:rPr>
          <w:rFonts w:ascii="Times New Roman" w:hAnsi="Times New Roman"/>
        </w:rPr>
        <w:t>freighted from Indonesia to Australia within about a week from harvest. While the unrestricted risk assessments undertaken in this risk analysis do not impose any mandatory measures during storage and transport, common commercial practices may impact on the survival of some pests. If these conditions are applied to all consignments for a minimum period of time, then they could be considered as part of the unrestricted risk assessment.</w:t>
      </w:r>
    </w:p>
    <w:p w14:paraId="3B0CE405" w14:textId="77777777" w:rsidR="009D3DC8" w:rsidRDefault="009D3DC8">
      <w:pPr>
        <w:rPr>
          <w:rFonts w:ascii="Times" w:hAnsi="Times"/>
          <w:sz w:val="24"/>
        </w:rPr>
      </w:pPr>
      <w:r>
        <w:br w:type="page"/>
      </w:r>
    </w:p>
    <w:p w14:paraId="789462A3" w14:textId="77777777" w:rsidR="009D3DC8" w:rsidRDefault="009D3DC8">
      <w:pPr>
        <w:pStyle w:val="Table"/>
      </w:pPr>
      <w:bookmarkStart w:id="74" w:name="_Toc325625801"/>
      <w:r>
        <w:t>Table 4.1</w:t>
      </w:r>
      <w:r>
        <w:tab/>
        <w:t>Quarantine pests for mangosteen fruit from Indonesia</w:t>
      </w:r>
      <w:bookmarkEnd w:id="72"/>
      <w:bookmarkEnd w:id="74"/>
    </w:p>
    <w:tbl>
      <w:tblPr>
        <w:tblW w:w="4821" w:type="pct"/>
        <w:tblInd w:w="115" w:type="dxa"/>
        <w:tblBorders>
          <w:top w:val="single" w:sz="12" w:space="0" w:color="008000"/>
          <w:bottom w:val="single" w:sz="12" w:space="0" w:color="008000"/>
        </w:tblBorders>
        <w:tblLayout w:type="fixed"/>
        <w:tblCellMar>
          <w:left w:w="115" w:type="dxa"/>
          <w:right w:w="115" w:type="dxa"/>
        </w:tblCellMar>
        <w:tblLook w:val="01E0" w:firstRow="1" w:lastRow="1" w:firstColumn="1" w:lastColumn="1" w:noHBand="0" w:noVBand="0"/>
      </w:tblPr>
      <w:tblGrid>
        <w:gridCol w:w="5890"/>
        <w:gridCol w:w="3195"/>
      </w:tblGrid>
      <w:tr w:rsidR="009D3DC8" w14:paraId="03677206" w14:textId="77777777">
        <w:trPr>
          <w:cantSplit/>
        </w:trPr>
        <w:tc>
          <w:tcPr>
            <w:tcW w:w="5890" w:type="dxa"/>
            <w:tcBorders>
              <w:top w:val="single" w:sz="4" w:space="0" w:color="auto"/>
              <w:left w:val="single" w:sz="4" w:space="0" w:color="auto"/>
              <w:bottom w:val="single" w:sz="4" w:space="0" w:color="auto"/>
              <w:right w:val="single" w:sz="4" w:space="0" w:color="auto"/>
            </w:tcBorders>
            <w:shd w:val="clear" w:color="auto" w:fill="D9D9D9"/>
            <w:tcMar>
              <w:top w:w="57" w:type="dxa"/>
            </w:tcMar>
          </w:tcPr>
          <w:bookmarkEnd w:id="73"/>
          <w:p w14:paraId="6F990AB6" w14:textId="77777777" w:rsidR="009D3DC8" w:rsidRDefault="009D3DC8">
            <w:pPr>
              <w:pStyle w:val="TableText"/>
              <w:rPr>
                <w:b/>
                <w:highlight w:val="cyan"/>
              </w:rPr>
            </w:pPr>
            <w:r>
              <w:rPr>
                <w:b/>
              </w:rPr>
              <w:t>Pest</w:t>
            </w:r>
          </w:p>
        </w:tc>
        <w:tc>
          <w:tcPr>
            <w:tcW w:w="3195" w:type="dxa"/>
            <w:tcBorders>
              <w:top w:val="single" w:sz="4" w:space="0" w:color="auto"/>
              <w:left w:val="single" w:sz="4" w:space="0" w:color="auto"/>
              <w:bottom w:val="single" w:sz="4" w:space="0" w:color="auto"/>
              <w:right w:val="single" w:sz="4" w:space="0" w:color="auto"/>
            </w:tcBorders>
            <w:shd w:val="clear" w:color="auto" w:fill="D9D9D9"/>
            <w:tcMar>
              <w:top w:w="57" w:type="dxa"/>
            </w:tcMar>
          </w:tcPr>
          <w:p w14:paraId="5D3CDFED" w14:textId="77777777" w:rsidR="009D3DC8" w:rsidRDefault="009D3DC8">
            <w:pPr>
              <w:pStyle w:val="TableText"/>
              <w:rPr>
                <w:b/>
                <w:highlight w:val="cyan"/>
              </w:rPr>
            </w:pPr>
            <w:r>
              <w:rPr>
                <w:b/>
              </w:rPr>
              <w:t>Common name</w:t>
            </w:r>
          </w:p>
        </w:tc>
      </w:tr>
      <w:tr w:rsidR="009D3DC8" w14:paraId="40B50E85" w14:textId="77777777">
        <w:trPr>
          <w:cantSplit/>
        </w:trPr>
        <w:tc>
          <w:tcPr>
            <w:tcW w:w="5890" w:type="dxa"/>
            <w:tcBorders>
              <w:top w:val="single" w:sz="4" w:space="0" w:color="auto"/>
              <w:left w:val="single" w:sz="4" w:space="0" w:color="auto"/>
              <w:bottom w:val="single" w:sz="4" w:space="0" w:color="999999"/>
              <w:right w:val="single" w:sz="4" w:space="0" w:color="999999"/>
            </w:tcBorders>
            <w:shd w:val="clear" w:color="auto" w:fill="E6E6E6"/>
          </w:tcPr>
          <w:p w14:paraId="328E0B60" w14:textId="77777777" w:rsidR="009D3DC8" w:rsidRDefault="009D3DC8">
            <w:pPr>
              <w:pStyle w:val="TableText"/>
              <w:rPr>
                <w:b/>
                <w:highlight w:val="yellow"/>
              </w:rPr>
            </w:pPr>
            <w:r>
              <w:rPr>
                <w:b/>
              </w:rPr>
              <w:t xml:space="preserve">Spider mites [Prostigmata: Tetranychidae] </w:t>
            </w:r>
          </w:p>
        </w:tc>
        <w:tc>
          <w:tcPr>
            <w:tcW w:w="3195" w:type="dxa"/>
            <w:tcBorders>
              <w:top w:val="single" w:sz="4" w:space="0" w:color="auto"/>
              <w:left w:val="single" w:sz="4" w:space="0" w:color="999999"/>
              <w:bottom w:val="single" w:sz="4" w:space="0" w:color="999999"/>
              <w:right w:val="single" w:sz="4" w:space="0" w:color="auto"/>
            </w:tcBorders>
            <w:shd w:val="clear" w:color="auto" w:fill="E6E6E6"/>
          </w:tcPr>
          <w:p w14:paraId="0E572863" w14:textId="77777777" w:rsidR="009D3DC8" w:rsidRDefault="009D3DC8">
            <w:pPr>
              <w:pStyle w:val="TableText"/>
              <w:rPr>
                <w:highlight w:val="yellow"/>
              </w:rPr>
            </w:pPr>
          </w:p>
        </w:tc>
      </w:tr>
      <w:tr w:rsidR="009D3DC8" w14:paraId="3AD9A30D"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7CFAD2C3" w14:textId="77777777" w:rsidR="009D3DC8" w:rsidRDefault="009D3DC8">
            <w:pPr>
              <w:pStyle w:val="TableText"/>
            </w:pPr>
            <w:r>
              <w:rPr>
                <w:i/>
              </w:rPr>
              <w:t>Tetranychus</w:t>
            </w:r>
            <w:r>
              <w:t xml:space="preserve"> spp. </w:t>
            </w:r>
          </w:p>
        </w:tc>
        <w:tc>
          <w:tcPr>
            <w:tcW w:w="3195" w:type="dxa"/>
            <w:tcBorders>
              <w:top w:val="single" w:sz="4" w:space="0" w:color="999999"/>
              <w:left w:val="single" w:sz="4" w:space="0" w:color="999999"/>
              <w:bottom w:val="single" w:sz="4" w:space="0" w:color="999999"/>
              <w:right w:val="single" w:sz="4" w:space="0" w:color="auto"/>
            </w:tcBorders>
          </w:tcPr>
          <w:p w14:paraId="3D7489DC" w14:textId="77777777" w:rsidR="009D3DC8" w:rsidRDefault="009D3DC8">
            <w:pPr>
              <w:pStyle w:val="TableText"/>
            </w:pPr>
            <w:r>
              <w:t>Spider mites</w:t>
            </w:r>
          </w:p>
        </w:tc>
      </w:tr>
      <w:tr w:rsidR="009D3DC8" w14:paraId="7DD1E6A9" w14:textId="77777777">
        <w:trPr>
          <w:cantSplit/>
        </w:trPr>
        <w:tc>
          <w:tcPr>
            <w:tcW w:w="5890" w:type="dxa"/>
            <w:tcBorders>
              <w:top w:val="single" w:sz="4" w:space="0" w:color="999999"/>
              <w:left w:val="single" w:sz="4" w:space="0" w:color="auto"/>
              <w:bottom w:val="single" w:sz="4" w:space="0" w:color="999999"/>
              <w:right w:val="single" w:sz="4" w:space="0" w:color="999999"/>
            </w:tcBorders>
            <w:shd w:val="clear" w:color="auto" w:fill="E6E6E6"/>
          </w:tcPr>
          <w:p w14:paraId="4A50F34D" w14:textId="77777777" w:rsidR="009D3DC8" w:rsidRDefault="009D3DC8">
            <w:pPr>
              <w:pStyle w:val="TableText"/>
              <w:rPr>
                <w:b/>
                <w:highlight w:val="yellow"/>
              </w:rPr>
            </w:pPr>
            <w:r>
              <w:rPr>
                <w:b/>
              </w:rPr>
              <w:t>Weevils [Coleoptera: Curculionidae]</w:t>
            </w:r>
          </w:p>
        </w:tc>
        <w:tc>
          <w:tcPr>
            <w:tcW w:w="3195" w:type="dxa"/>
            <w:tcBorders>
              <w:top w:val="single" w:sz="4" w:space="0" w:color="999999"/>
              <w:left w:val="single" w:sz="4" w:space="0" w:color="999999"/>
              <w:bottom w:val="single" w:sz="4" w:space="0" w:color="999999"/>
              <w:right w:val="single" w:sz="4" w:space="0" w:color="auto"/>
            </w:tcBorders>
            <w:shd w:val="clear" w:color="auto" w:fill="E6E6E6"/>
          </w:tcPr>
          <w:p w14:paraId="1E92B90D" w14:textId="77777777" w:rsidR="009D3DC8" w:rsidRDefault="009D3DC8">
            <w:pPr>
              <w:pStyle w:val="TableText"/>
            </w:pPr>
          </w:p>
        </w:tc>
      </w:tr>
      <w:tr w:rsidR="009D3DC8" w14:paraId="462E2A91"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788AD169" w14:textId="77777777" w:rsidR="009D3DC8" w:rsidRDefault="009D3DC8">
            <w:pPr>
              <w:pStyle w:val="TableText"/>
              <w:rPr>
                <w:highlight w:val="yellow"/>
              </w:rPr>
            </w:pPr>
            <w:r>
              <w:rPr>
                <w:i/>
              </w:rPr>
              <w:t xml:space="preserve">Curculio </w:t>
            </w:r>
            <w:r>
              <w:t>sp.</w:t>
            </w:r>
          </w:p>
        </w:tc>
        <w:tc>
          <w:tcPr>
            <w:tcW w:w="3195" w:type="dxa"/>
            <w:tcBorders>
              <w:top w:val="single" w:sz="4" w:space="0" w:color="999999"/>
              <w:left w:val="single" w:sz="4" w:space="0" w:color="999999"/>
              <w:bottom w:val="single" w:sz="4" w:space="0" w:color="999999"/>
              <w:right w:val="single" w:sz="4" w:space="0" w:color="auto"/>
            </w:tcBorders>
          </w:tcPr>
          <w:p w14:paraId="00909844" w14:textId="77777777" w:rsidR="009D3DC8" w:rsidRDefault="009D3DC8">
            <w:pPr>
              <w:pStyle w:val="TableText"/>
            </w:pPr>
          </w:p>
        </w:tc>
      </w:tr>
      <w:tr w:rsidR="009D3DC8" w14:paraId="17F5ABCC" w14:textId="77777777">
        <w:trPr>
          <w:cantSplit/>
        </w:trPr>
        <w:tc>
          <w:tcPr>
            <w:tcW w:w="5890" w:type="dxa"/>
            <w:tcBorders>
              <w:top w:val="single" w:sz="4" w:space="0" w:color="999999"/>
              <w:left w:val="single" w:sz="4" w:space="0" w:color="auto"/>
              <w:bottom w:val="single" w:sz="4" w:space="0" w:color="999999"/>
              <w:right w:val="single" w:sz="4" w:space="0" w:color="999999"/>
            </w:tcBorders>
            <w:shd w:val="clear" w:color="auto" w:fill="E6E6E6"/>
          </w:tcPr>
          <w:p w14:paraId="7423C98D" w14:textId="77777777" w:rsidR="009D3DC8" w:rsidRDefault="009D3DC8">
            <w:pPr>
              <w:pStyle w:val="TableText"/>
              <w:rPr>
                <w:b/>
                <w:highlight w:val="yellow"/>
              </w:rPr>
            </w:pPr>
            <w:r>
              <w:rPr>
                <w:b/>
              </w:rPr>
              <w:t>Fruit flies [Diptera: Tephritidae]</w:t>
            </w:r>
          </w:p>
        </w:tc>
        <w:tc>
          <w:tcPr>
            <w:tcW w:w="3195" w:type="dxa"/>
            <w:tcBorders>
              <w:top w:val="single" w:sz="4" w:space="0" w:color="999999"/>
              <w:left w:val="single" w:sz="4" w:space="0" w:color="999999"/>
              <w:bottom w:val="single" w:sz="4" w:space="0" w:color="999999"/>
              <w:right w:val="single" w:sz="4" w:space="0" w:color="auto"/>
            </w:tcBorders>
            <w:shd w:val="clear" w:color="auto" w:fill="E6E6E6"/>
          </w:tcPr>
          <w:p w14:paraId="1BF81977" w14:textId="77777777" w:rsidR="009D3DC8" w:rsidRDefault="009D3DC8">
            <w:pPr>
              <w:pStyle w:val="TableText"/>
            </w:pPr>
          </w:p>
        </w:tc>
      </w:tr>
      <w:tr w:rsidR="009D3DC8" w14:paraId="15689E42"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46CC621D" w14:textId="77777777" w:rsidR="009D3DC8" w:rsidRDefault="009D3DC8">
            <w:pPr>
              <w:pStyle w:val="AQISNum"/>
              <w:numPr>
                <w:ilvl w:val="0"/>
                <w:numId w:val="0"/>
              </w:numPr>
              <w:spacing w:after="60" w:line="0" w:lineRule="atLeast"/>
              <w:rPr>
                <w:rFonts w:ascii="Arial" w:hAnsi="Arial" w:cs="Arial"/>
                <w:sz w:val="16"/>
                <w:szCs w:val="16"/>
                <w:lang w:eastAsia="en-AU"/>
              </w:rPr>
            </w:pPr>
            <w:r>
              <w:rPr>
                <w:rFonts w:ascii="Arial" w:hAnsi="Arial" w:cs="Arial"/>
                <w:i/>
                <w:sz w:val="16"/>
                <w:szCs w:val="16"/>
                <w:lang w:eastAsia="en-AU"/>
              </w:rPr>
              <w:t xml:space="preserve">Bactrocera carambolae </w:t>
            </w:r>
            <w:r>
              <w:rPr>
                <w:rFonts w:ascii="Arial" w:hAnsi="Arial" w:cs="Arial"/>
                <w:sz w:val="16"/>
                <w:szCs w:val="16"/>
                <w:lang w:eastAsia="en-AU"/>
              </w:rPr>
              <w:t xml:space="preserve">Drew &amp; Hancock, 1994 </w:t>
            </w:r>
            <w:r>
              <w:rPr>
                <w:rFonts w:ascii="Arial" w:hAnsi="Arial" w:cs="Arial"/>
                <w:b/>
                <w:sz w:val="16"/>
                <w:szCs w:val="16"/>
                <w:vertAlign w:val="superscript"/>
              </w:rPr>
              <w:t>EP</w:t>
            </w:r>
          </w:p>
        </w:tc>
        <w:tc>
          <w:tcPr>
            <w:tcW w:w="3195" w:type="dxa"/>
            <w:tcBorders>
              <w:top w:val="single" w:sz="4" w:space="0" w:color="999999"/>
              <w:left w:val="single" w:sz="4" w:space="0" w:color="999999"/>
              <w:bottom w:val="single" w:sz="4" w:space="0" w:color="999999"/>
              <w:right w:val="single" w:sz="4" w:space="0" w:color="auto"/>
            </w:tcBorders>
          </w:tcPr>
          <w:p w14:paraId="29DCC46F" w14:textId="77777777" w:rsidR="009D3DC8" w:rsidRDefault="009D3DC8">
            <w:pPr>
              <w:pStyle w:val="TableText"/>
            </w:pPr>
            <w:r>
              <w:rPr>
                <w:rFonts w:cs="Arial"/>
                <w:szCs w:val="16"/>
                <w:lang w:eastAsia="en-AU"/>
              </w:rPr>
              <w:t>Carambola fruit fly</w:t>
            </w:r>
          </w:p>
        </w:tc>
      </w:tr>
      <w:tr w:rsidR="009D3DC8" w14:paraId="21389BF6"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698C0BD6" w14:textId="77777777" w:rsidR="009D3DC8" w:rsidRDefault="009D3DC8">
            <w:pPr>
              <w:pStyle w:val="TableText"/>
              <w:rPr>
                <w:highlight w:val="yellow"/>
              </w:rPr>
            </w:pPr>
            <w:r>
              <w:rPr>
                <w:rFonts w:cs="Arial"/>
                <w:i/>
                <w:szCs w:val="16"/>
                <w:lang w:eastAsia="en-AU"/>
              </w:rPr>
              <w:t xml:space="preserve">Bactrocera papayae </w:t>
            </w:r>
            <w:r>
              <w:rPr>
                <w:rFonts w:cs="Arial"/>
                <w:szCs w:val="16"/>
                <w:lang w:eastAsia="en-AU"/>
              </w:rPr>
              <w:t xml:space="preserve">Drew &amp; Hancock, 1994 </w:t>
            </w:r>
            <w:r>
              <w:rPr>
                <w:rFonts w:cs="Arial"/>
                <w:b/>
                <w:szCs w:val="16"/>
                <w:vertAlign w:val="superscript"/>
              </w:rPr>
              <w:t>EP</w:t>
            </w:r>
          </w:p>
        </w:tc>
        <w:tc>
          <w:tcPr>
            <w:tcW w:w="3195" w:type="dxa"/>
            <w:tcBorders>
              <w:top w:val="single" w:sz="4" w:space="0" w:color="999999"/>
              <w:left w:val="single" w:sz="4" w:space="0" w:color="999999"/>
              <w:bottom w:val="single" w:sz="4" w:space="0" w:color="999999"/>
              <w:right w:val="single" w:sz="4" w:space="0" w:color="auto"/>
            </w:tcBorders>
          </w:tcPr>
          <w:p w14:paraId="3CAF03FC" w14:textId="77777777" w:rsidR="009D3DC8" w:rsidRDefault="009D3DC8">
            <w:pPr>
              <w:pStyle w:val="TableText"/>
            </w:pPr>
            <w:r>
              <w:t>Papaya fruit fly</w:t>
            </w:r>
          </w:p>
        </w:tc>
      </w:tr>
      <w:tr w:rsidR="009D3DC8" w14:paraId="67A0F76E" w14:textId="77777777">
        <w:trPr>
          <w:cantSplit/>
        </w:trPr>
        <w:tc>
          <w:tcPr>
            <w:tcW w:w="5890" w:type="dxa"/>
            <w:tcBorders>
              <w:top w:val="single" w:sz="4" w:space="0" w:color="999999"/>
              <w:left w:val="single" w:sz="4" w:space="0" w:color="auto"/>
              <w:bottom w:val="single" w:sz="4" w:space="0" w:color="999999"/>
              <w:right w:val="single" w:sz="4" w:space="0" w:color="999999"/>
            </w:tcBorders>
            <w:shd w:val="clear" w:color="auto" w:fill="E6E6E6"/>
          </w:tcPr>
          <w:p w14:paraId="13C3F5CD" w14:textId="77777777" w:rsidR="009D3DC8" w:rsidRDefault="009D3DC8">
            <w:pPr>
              <w:pStyle w:val="TableText"/>
              <w:rPr>
                <w:b/>
                <w:highlight w:val="yellow"/>
              </w:rPr>
            </w:pPr>
            <w:r>
              <w:rPr>
                <w:b/>
              </w:rPr>
              <w:t>Soft scales [Hemiptera: Coccidae]</w:t>
            </w:r>
          </w:p>
        </w:tc>
        <w:tc>
          <w:tcPr>
            <w:tcW w:w="3195" w:type="dxa"/>
            <w:tcBorders>
              <w:top w:val="single" w:sz="4" w:space="0" w:color="999999"/>
              <w:left w:val="single" w:sz="4" w:space="0" w:color="999999"/>
              <w:bottom w:val="single" w:sz="4" w:space="0" w:color="999999"/>
              <w:right w:val="single" w:sz="4" w:space="0" w:color="auto"/>
            </w:tcBorders>
            <w:shd w:val="clear" w:color="auto" w:fill="E6E6E6"/>
          </w:tcPr>
          <w:p w14:paraId="5FB96D3F" w14:textId="77777777" w:rsidR="009D3DC8" w:rsidRDefault="009D3DC8">
            <w:pPr>
              <w:pStyle w:val="TableText"/>
            </w:pPr>
          </w:p>
        </w:tc>
      </w:tr>
      <w:tr w:rsidR="009D3DC8" w14:paraId="5BEF638F"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2541263B" w14:textId="77777777" w:rsidR="009D3DC8" w:rsidRDefault="009D3DC8">
            <w:pPr>
              <w:pStyle w:val="TableText"/>
            </w:pPr>
            <w:r>
              <w:rPr>
                <w:i/>
                <w:iCs/>
                <w:szCs w:val="16"/>
              </w:rPr>
              <w:t xml:space="preserve">Drepanococcus chiton </w:t>
            </w:r>
            <w:r>
              <w:rPr>
                <w:iCs/>
                <w:szCs w:val="16"/>
              </w:rPr>
              <w:t>(Green, 1909)</w:t>
            </w:r>
            <w:r>
              <w:rPr>
                <w:iCs/>
                <w:szCs w:val="16"/>
                <w:vertAlign w:val="superscript"/>
              </w:rPr>
              <w:t xml:space="preserve"> EP</w:t>
            </w:r>
          </w:p>
        </w:tc>
        <w:tc>
          <w:tcPr>
            <w:tcW w:w="3195" w:type="dxa"/>
            <w:tcBorders>
              <w:top w:val="single" w:sz="4" w:space="0" w:color="999999"/>
              <w:left w:val="single" w:sz="4" w:space="0" w:color="999999"/>
              <w:bottom w:val="single" w:sz="4" w:space="0" w:color="999999"/>
              <w:right w:val="single" w:sz="4" w:space="0" w:color="auto"/>
            </w:tcBorders>
          </w:tcPr>
          <w:p w14:paraId="4F647528" w14:textId="77777777" w:rsidR="009D3DC8" w:rsidRDefault="009D3DC8">
            <w:pPr>
              <w:pStyle w:val="TableText"/>
            </w:pPr>
            <w:r>
              <w:t xml:space="preserve">Soft scale </w:t>
            </w:r>
          </w:p>
        </w:tc>
      </w:tr>
      <w:tr w:rsidR="009D3DC8" w14:paraId="7D83CE07" w14:textId="77777777">
        <w:trPr>
          <w:cantSplit/>
        </w:trPr>
        <w:tc>
          <w:tcPr>
            <w:tcW w:w="5890" w:type="dxa"/>
            <w:tcBorders>
              <w:top w:val="single" w:sz="4" w:space="0" w:color="999999"/>
              <w:left w:val="single" w:sz="4" w:space="0" w:color="auto"/>
              <w:bottom w:val="single" w:sz="4" w:space="0" w:color="999999"/>
              <w:right w:val="single" w:sz="4" w:space="0" w:color="999999"/>
            </w:tcBorders>
            <w:shd w:val="clear" w:color="auto" w:fill="E6E6E6"/>
          </w:tcPr>
          <w:p w14:paraId="09CB5199" w14:textId="77777777" w:rsidR="009D3DC8" w:rsidRDefault="009D3DC8">
            <w:pPr>
              <w:pStyle w:val="TableText"/>
              <w:rPr>
                <w:b/>
              </w:rPr>
            </w:pPr>
            <w:r>
              <w:rPr>
                <w:b/>
              </w:rPr>
              <w:t>Armoured scales [Hemiptera: Diaspididae]</w:t>
            </w:r>
          </w:p>
        </w:tc>
        <w:tc>
          <w:tcPr>
            <w:tcW w:w="3195" w:type="dxa"/>
            <w:tcBorders>
              <w:top w:val="single" w:sz="4" w:space="0" w:color="999999"/>
              <w:left w:val="single" w:sz="4" w:space="0" w:color="999999"/>
              <w:bottom w:val="single" w:sz="4" w:space="0" w:color="999999"/>
              <w:right w:val="single" w:sz="4" w:space="0" w:color="auto"/>
            </w:tcBorders>
            <w:shd w:val="clear" w:color="auto" w:fill="E6E6E6"/>
          </w:tcPr>
          <w:p w14:paraId="58061C98" w14:textId="77777777" w:rsidR="009D3DC8" w:rsidRDefault="009D3DC8">
            <w:pPr>
              <w:pStyle w:val="TableText"/>
            </w:pPr>
          </w:p>
        </w:tc>
      </w:tr>
      <w:tr w:rsidR="009D3DC8" w14:paraId="2433E767"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4483E871" w14:textId="77777777" w:rsidR="009D3DC8" w:rsidRDefault="009D3DC8">
            <w:pPr>
              <w:pStyle w:val="TableText"/>
            </w:pPr>
            <w:r>
              <w:rPr>
                <w:i/>
                <w:iCs/>
                <w:szCs w:val="16"/>
              </w:rPr>
              <w:t xml:space="preserve">Diaspis boisduvalii </w:t>
            </w:r>
            <w:r>
              <w:rPr>
                <w:iCs/>
                <w:szCs w:val="16"/>
              </w:rPr>
              <w:t xml:space="preserve">Signoret, 1869 </w:t>
            </w:r>
            <w:r>
              <w:rPr>
                <w:iCs/>
                <w:szCs w:val="16"/>
                <w:vertAlign w:val="superscript"/>
              </w:rPr>
              <w:t>WA</w:t>
            </w:r>
          </w:p>
        </w:tc>
        <w:tc>
          <w:tcPr>
            <w:tcW w:w="3195" w:type="dxa"/>
            <w:tcBorders>
              <w:top w:val="single" w:sz="4" w:space="0" w:color="999999"/>
              <w:left w:val="single" w:sz="4" w:space="0" w:color="999999"/>
              <w:bottom w:val="single" w:sz="4" w:space="0" w:color="999999"/>
              <w:right w:val="single" w:sz="4" w:space="0" w:color="auto"/>
            </w:tcBorders>
          </w:tcPr>
          <w:p w14:paraId="1379014F" w14:textId="77777777" w:rsidR="009D3DC8" w:rsidRDefault="009D3DC8">
            <w:pPr>
              <w:pStyle w:val="TableText"/>
            </w:pPr>
            <w:r>
              <w:t xml:space="preserve">Boisduval scale </w:t>
            </w:r>
          </w:p>
        </w:tc>
      </w:tr>
      <w:tr w:rsidR="009D3DC8" w14:paraId="47C7D816"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76411AA1" w14:textId="77777777" w:rsidR="009D3DC8" w:rsidRDefault="009D3DC8">
            <w:pPr>
              <w:pStyle w:val="TableText"/>
            </w:pPr>
            <w:r>
              <w:rPr>
                <w:i/>
                <w:iCs/>
                <w:szCs w:val="16"/>
              </w:rPr>
              <w:t xml:space="preserve">Ischnaspis longirostris </w:t>
            </w:r>
            <w:r>
              <w:rPr>
                <w:iCs/>
                <w:szCs w:val="16"/>
              </w:rPr>
              <w:t>(Signoret, 1882)</w:t>
            </w:r>
            <w:r>
              <w:rPr>
                <w:iCs/>
                <w:szCs w:val="16"/>
                <w:vertAlign w:val="superscript"/>
              </w:rPr>
              <w:t xml:space="preserve"> EP, WA</w:t>
            </w:r>
          </w:p>
        </w:tc>
        <w:tc>
          <w:tcPr>
            <w:tcW w:w="3195" w:type="dxa"/>
            <w:tcBorders>
              <w:top w:val="single" w:sz="4" w:space="0" w:color="999999"/>
              <w:left w:val="single" w:sz="4" w:space="0" w:color="999999"/>
              <w:bottom w:val="single" w:sz="4" w:space="0" w:color="999999"/>
              <w:right w:val="single" w:sz="4" w:space="0" w:color="auto"/>
            </w:tcBorders>
          </w:tcPr>
          <w:p w14:paraId="3AA785E1" w14:textId="77777777" w:rsidR="009D3DC8" w:rsidRDefault="009D3DC8">
            <w:pPr>
              <w:pStyle w:val="TableText"/>
            </w:pPr>
            <w:r>
              <w:t>Black thread scale</w:t>
            </w:r>
          </w:p>
        </w:tc>
      </w:tr>
      <w:tr w:rsidR="009D3DC8" w14:paraId="48586C1A"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58B9AB8B" w14:textId="77777777" w:rsidR="009D3DC8" w:rsidRDefault="009D3DC8">
            <w:pPr>
              <w:pStyle w:val="TableText"/>
              <w:rPr>
                <w:i/>
                <w:iCs/>
                <w:szCs w:val="16"/>
              </w:rPr>
            </w:pPr>
            <w:r>
              <w:rPr>
                <w:i/>
                <w:iCs/>
                <w:szCs w:val="16"/>
              </w:rPr>
              <w:t xml:space="preserve">Pseudaonidia trilobitiformis </w:t>
            </w:r>
            <w:r>
              <w:rPr>
                <w:iCs/>
                <w:szCs w:val="16"/>
              </w:rPr>
              <w:t>(Green, 1896)</w:t>
            </w:r>
            <w:r>
              <w:rPr>
                <w:iCs/>
                <w:szCs w:val="16"/>
                <w:vertAlign w:val="superscript"/>
              </w:rPr>
              <w:t xml:space="preserve"> EP, WA</w:t>
            </w:r>
          </w:p>
        </w:tc>
        <w:tc>
          <w:tcPr>
            <w:tcW w:w="3195" w:type="dxa"/>
            <w:tcBorders>
              <w:top w:val="single" w:sz="4" w:space="0" w:color="999999"/>
              <w:left w:val="single" w:sz="4" w:space="0" w:color="999999"/>
              <w:bottom w:val="single" w:sz="4" w:space="0" w:color="999999"/>
              <w:right w:val="single" w:sz="4" w:space="0" w:color="auto"/>
            </w:tcBorders>
          </w:tcPr>
          <w:p w14:paraId="65F6CE62" w14:textId="77777777" w:rsidR="009D3DC8" w:rsidRDefault="009D3DC8">
            <w:pPr>
              <w:pStyle w:val="TableText"/>
            </w:pPr>
            <w:r>
              <w:t>Trilobite scale</w:t>
            </w:r>
          </w:p>
        </w:tc>
      </w:tr>
      <w:tr w:rsidR="009D3DC8" w14:paraId="6DFB5313" w14:textId="77777777">
        <w:trPr>
          <w:cantSplit/>
        </w:trPr>
        <w:tc>
          <w:tcPr>
            <w:tcW w:w="5890" w:type="dxa"/>
            <w:tcBorders>
              <w:top w:val="single" w:sz="4" w:space="0" w:color="999999"/>
              <w:left w:val="single" w:sz="4" w:space="0" w:color="auto"/>
              <w:bottom w:val="single" w:sz="4" w:space="0" w:color="999999"/>
              <w:right w:val="single" w:sz="4" w:space="0" w:color="999999"/>
            </w:tcBorders>
            <w:shd w:val="clear" w:color="auto" w:fill="E6E6E6"/>
          </w:tcPr>
          <w:p w14:paraId="03380DDF" w14:textId="77777777" w:rsidR="009D3DC8" w:rsidRDefault="009D3DC8">
            <w:pPr>
              <w:pStyle w:val="TableText"/>
              <w:rPr>
                <w:b/>
              </w:rPr>
            </w:pPr>
            <w:r>
              <w:rPr>
                <w:b/>
              </w:rPr>
              <w:t>Mealybugs [Hemiptera: Pseudococcidae]</w:t>
            </w:r>
          </w:p>
        </w:tc>
        <w:tc>
          <w:tcPr>
            <w:tcW w:w="3195" w:type="dxa"/>
            <w:tcBorders>
              <w:top w:val="single" w:sz="4" w:space="0" w:color="999999"/>
              <w:left w:val="single" w:sz="4" w:space="0" w:color="999999"/>
              <w:bottom w:val="single" w:sz="4" w:space="0" w:color="999999"/>
              <w:right w:val="single" w:sz="4" w:space="0" w:color="auto"/>
            </w:tcBorders>
            <w:shd w:val="clear" w:color="auto" w:fill="E6E6E6"/>
          </w:tcPr>
          <w:p w14:paraId="1878D11F" w14:textId="77777777" w:rsidR="009D3DC8" w:rsidRDefault="009D3DC8">
            <w:pPr>
              <w:pStyle w:val="TableText"/>
            </w:pPr>
          </w:p>
        </w:tc>
      </w:tr>
      <w:tr w:rsidR="009D3DC8" w14:paraId="2ADBE0B1"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5DAEF550" w14:textId="77777777" w:rsidR="009D3DC8" w:rsidRDefault="009D3DC8">
            <w:pPr>
              <w:pStyle w:val="TableText"/>
            </w:pPr>
            <w:r>
              <w:rPr>
                <w:rFonts w:cs="Arial"/>
                <w:i/>
                <w:szCs w:val="16"/>
              </w:rPr>
              <w:t>Dysmicoccus lepelleyi</w:t>
            </w:r>
            <w:r>
              <w:rPr>
                <w:rFonts w:cs="Arial"/>
                <w:szCs w:val="16"/>
              </w:rPr>
              <w:t xml:space="preserve"> (Betrem, 1937) </w:t>
            </w:r>
          </w:p>
        </w:tc>
        <w:tc>
          <w:tcPr>
            <w:tcW w:w="3195" w:type="dxa"/>
            <w:tcBorders>
              <w:top w:val="single" w:sz="4" w:space="0" w:color="999999"/>
              <w:left w:val="single" w:sz="4" w:space="0" w:color="999999"/>
              <w:bottom w:val="single" w:sz="4" w:space="0" w:color="999999"/>
              <w:right w:val="single" w:sz="4" w:space="0" w:color="auto"/>
            </w:tcBorders>
          </w:tcPr>
          <w:p w14:paraId="1C05F02E" w14:textId="77777777" w:rsidR="009D3DC8" w:rsidRDefault="009D3DC8">
            <w:pPr>
              <w:pStyle w:val="TableText"/>
            </w:pPr>
            <w:r>
              <w:rPr>
                <w:rFonts w:cs="Arial"/>
                <w:szCs w:val="16"/>
              </w:rPr>
              <w:t>Annona mealybug</w:t>
            </w:r>
          </w:p>
        </w:tc>
      </w:tr>
      <w:tr w:rsidR="009D3DC8" w14:paraId="56E816D7"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5047A0D2" w14:textId="77777777" w:rsidR="009D3DC8" w:rsidRDefault="009D3DC8">
            <w:pPr>
              <w:pStyle w:val="TableText"/>
            </w:pPr>
            <w:r>
              <w:rPr>
                <w:rFonts w:cs="Arial"/>
                <w:i/>
                <w:szCs w:val="16"/>
              </w:rPr>
              <w:t>Exallomochlus hispidus</w:t>
            </w:r>
            <w:r>
              <w:rPr>
                <w:rFonts w:cs="Arial"/>
                <w:szCs w:val="16"/>
              </w:rPr>
              <w:t xml:space="preserve"> (Morrison, 1921) </w:t>
            </w:r>
          </w:p>
        </w:tc>
        <w:tc>
          <w:tcPr>
            <w:tcW w:w="3195" w:type="dxa"/>
            <w:tcBorders>
              <w:top w:val="single" w:sz="4" w:space="0" w:color="999999"/>
              <w:left w:val="single" w:sz="4" w:space="0" w:color="999999"/>
              <w:bottom w:val="single" w:sz="4" w:space="0" w:color="999999"/>
              <w:right w:val="single" w:sz="4" w:space="0" w:color="auto"/>
            </w:tcBorders>
          </w:tcPr>
          <w:p w14:paraId="66F16CCE" w14:textId="77777777" w:rsidR="009D3DC8" w:rsidRDefault="009D3DC8">
            <w:pPr>
              <w:pStyle w:val="TableText"/>
            </w:pPr>
            <w:r>
              <w:rPr>
                <w:rFonts w:cs="Arial"/>
                <w:szCs w:val="16"/>
              </w:rPr>
              <w:t>Cocoa mealybug</w:t>
            </w:r>
          </w:p>
        </w:tc>
      </w:tr>
      <w:tr w:rsidR="009D3DC8" w14:paraId="66620770"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20C1278D" w14:textId="77777777" w:rsidR="009D3DC8" w:rsidRDefault="009D3DC8">
            <w:pPr>
              <w:pStyle w:val="TableText"/>
            </w:pPr>
            <w:r>
              <w:rPr>
                <w:rFonts w:cs="Arial"/>
                <w:i/>
                <w:szCs w:val="16"/>
              </w:rPr>
              <w:t>Hordeolicoccus heterotrichus</w:t>
            </w:r>
            <w:r>
              <w:rPr>
                <w:rFonts w:cs="Arial"/>
                <w:szCs w:val="16"/>
              </w:rPr>
              <w:t xml:space="preserve"> (Williams, 2004) </w:t>
            </w:r>
          </w:p>
        </w:tc>
        <w:tc>
          <w:tcPr>
            <w:tcW w:w="3195" w:type="dxa"/>
            <w:tcBorders>
              <w:top w:val="single" w:sz="4" w:space="0" w:color="999999"/>
              <w:left w:val="single" w:sz="4" w:space="0" w:color="999999"/>
              <w:bottom w:val="single" w:sz="4" w:space="0" w:color="999999"/>
              <w:right w:val="single" w:sz="4" w:space="0" w:color="auto"/>
            </w:tcBorders>
          </w:tcPr>
          <w:p w14:paraId="2D16FFDA" w14:textId="77777777" w:rsidR="009D3DC8" w:rsidRDefault="009D3DC8">
            <w:pPr>
              <w:pStyle w:val="TableText"/>
            </w:pPr>
            <w:r>
              <w:rPr>
                <w:rFonts w:cs="Arial"/>
                <w:szCs w:val="16"/>
              </w:rPr>
              <w:t>Citrus mealybug</w:t>
            </w:r>
          </w:p>
        </w:tc>
      </w:tr>
      <w:tr w:rsidR="009D3DC8" w14:paraId="561DC392"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59C44B32" w14:textId="77777777" w:rsidR="009D3DC8" w:rsidRDefault="009D3DC8">
            <w:pPr>
              <w:pStyle w:val="TableText"/>
            </w:pPr>
            <w:r>
              <w:rPr>
                <w:rFonts w:cs="Arial"/>
                <w:i/>
                <w:szCs w:val="16"/>
              </w:rPr>
              <w:t>Paracoccus interceptus</w:t>
            </w:r>
            <w:r>
              <w:rPr>
                <w:rFonts w:cs="Arial"/>
                <w:szCs w:val="16"/>
              </w:rPr>
              <w:t xml:space="preserve"> Lit, 1997 </w:t>
            </w:r>
          </w:p>
        </w:tc>
        <w:tc>
          <w:tcPr>
            <w:tcW w:w="3195" w:type="dxa"/>
            <w:tcBorders>
              <w:top w:val="single" w:sz="4" w:space="0" w:color="999999"/>
              <w:left w:val="single" w:sz="4" w:space="0" w:color="999999"/>
              <w:bottom w:val="single" w:sz="4" w:space="0" w:color="999999"/>
              <w:right w:val="single" w:sz="4" w:space="0" w:color="auto"/>
            </w:tcBorders>
          </w:tcPr>
          <w:p w14:paraId="5A85B280" w14:textId="77777777" w:rsidR="009D3DC8" w:rsidRDefault="009D3DC8">
            <w:pPr>
              <w:pStyle w:val="TableText"/>
            </w:pPr>
            <w:r>
              <w:rPr>
                <w:rFonts w:cs="Arial"/>
                <w:szCs w:val="16"/>
              </w:rPr>
              <w:t>Intercepted mealybug</w:t>
            </w:r>
          </w:p>
        </w:tc>
      </w:tr>
      <w:tr w:rsidR="009D3DC8" w14:paraId="405ABDF0"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4EE4A788" w14:textId="77777777" w:rsidR="009D3DC8" w:rsidRDefault="009D3DC8">
            <w:pPr>
              <w:pStyle w:val="TableText"/>
            </w:pPr>
            <w:r>
              <w:rPr>
                <w:rFonts w:cs="Arial"/>
                <w:i/>
                <w:szCs w:val="16"/>
              </w:rPr>
              <w:t>Paraputo odontomachi</w:t>
            </w:r>
            <w:r>
              <w:rPr>
                <w:rFonts w:cs="Arial"/>
                <w:szCs w:val="16"/>
              </w:rPr>
              <w:t xml:space="preserve"> (Takahashi, 1951) </w:t>
            </w:r>
          </w:p>
        </w:tc>
        <w:tc>
          <w:tcPr>
            <w:tcW w:w="3195" w:type="dxa"/>
            <w:tcBorders>
              <w:top w:val="single" w:sz="4" w:space="0" w:color="999999"/>
              <w:left w:val="single" w:sz="4" w:space="0" w:color="999999"/>
              <w:bottom w:val="single" w:sz="4" w:space="0" w:color="999999"/>
              <w:right w:val="single" w:sz="4" w:space="0" w:color="auto"/>
            </w:tcBorders>
          </w:tcPr>
          <w:p w14:paraId="34FBF109" w14:textId="77777777" w:rsidR="009D3DC8" w:rsidRDefault="009D3DC8">
            <w:pPr>
              <w:pStyle w:val="TableText"/>
            </w:pPr>
          </w:p>
        </w:tc>
      </w:tr>
      <w:tr w:rsidR="009D3DC8" w14:paraId="4577C644"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74356797" w14:textId="77777777" w:rsidR="009D3DC8" w:rsidRDefault="009D3DC8">
            <w:pPr>
              <w:pStyle w:val="TableText"/>
            </w:pPr>
            <w:r>
              <w:rPr>
                <w:rFonts w:cs="Arial"/>
                <w:i/>
                <w:szCs w:val="16"/>
              </w:rPr>
              <w:t xml:space="preserve">Planococcus lilacinus </w:t>
            </w:r>
            <w:r>
              <w:rPr>
                <w:rFonts w:cs="Arial"/>
                <w:szCs w:val="16"/>
              </w:rPr>
              <w:t xml:space="preserve">(Cockerell, 1905) </w:t>
            </w:r>
            <w:r>
              <w:rPr>
                <w:rFonts w:cs="Arial"/>
                <w:szCs w:val="16"/>
                <w:vertAlign w:val="superscript"/>
              </w:rPr>
              <w:t>EP</w:t>
            </w:r>
          </w:p>
        </w:tc>
        <w:tc>
          <w:tcPr>
            <w:tcW w:w="3195" w:type="dxa"/>
            <w:tcBorders>
              <w:top w:val="single" w:sz="4" w:space="0" w:color="999999"/>
              <w:left w:val="single" w:sz="4" w:space="0" w:color="999999"/>
              <w:bottom w:val="single" w:sz="4" w:space="0" w:color="999999"/>
              <w:right w:val="single" w:sz="4" w:space="0" w:color="auto"/>
            </w:tcBorders>
          </w:tcPr>
          <w:p w14:paraId="3FD41008" w14:textId="77777777" w:rsidR="009D3DC8" w:rsidRDefault="009D3DC8">
            <w:pPr>
              <w:pStyle w:val="TableText"/>
            </w:pPr>
            <w:r>
              <w:t>Coffee mealybug</w:t>
            </w:r>
          </w:p>
        </w:tc>
      </w:tr>
      <w:tr w:rsidR="009D3DC8" w14:paraId="5DF8C680"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1EFE03DC" w14:textId="77777777" w:rsidR="009D3DC8" w:rsidRDefault="009D3DC8">
            <w:pPr>
              <w:pStyle w:val="TableText"/>
              <w:rPr>
                <w:i/>
                <w:iCs/>
                <w:szCs w:val="16"/>
              </w:rPr>
            </w:pPr>
            <w:r>
              <w:rPr>
                <w:rFonts w:cs="Arial"/>
                <w:i/>
                <w:szCs w:val="16"/>
              </w:rPr>
              <w:t xml:space="preserve">Planococcus minor </w:t>
            </w:r>
            <w:r>
              <w:rPr>
                <w:rFonts w:cs="Arial"/>
                <w:szCs w:val="16"/>
              </w:rPr>
              <w:t xml:space="preserve">(Maskell, 1897) </w:t>
            </w:r>
            <w:r>
              <w:rPr>
                <w:rFonts w:cs="Arial"/>
                <w:szCs w:val="16"/>
                <w:vertAlign w:val="superscript"/>
              </w:rPr>
              <w:t>EP, WA</w:t>
            </w:r>
          </w:p>
        </w:tc>
        <w:tc>
          <w:tcPr>
            <w:tcW w:w="3195" w:type="dxa"/>
            <w:tcBorders>
              <w:top w:val="single" w:sz="4" w:space="0" w:color="999999"/>
              <w:left w:val="single" w:sz="4" w:space="0" w:color="999999"/>
              <w:bottom w:val="single" w:sz="4" w:space="0" w:color="999999"/>
              <w:right w:val="single" w:sz="4" w:space="0" w:color="auto"/>
            </w:tcBorders>
          </w:tcPr>
          <w:p w14:paraId="11E6CAA5" w14:textId="77777777" w:rsidR="009D3DC8" w:rsidRDefault="009D3DC8">
            <w:pPr>
              <w:pStyle w:val="TableText"/>
            </w:pPr>
            <w:r>
              <w:t xml:space="preserve">Pacific mealybug </w:t>
            </w:r>
          </w:p>
        </w:tc>
      </w:tr>
      <w:tr w:rsidR="009D3DC8" w14:paraId="7ECC988F"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2BE3FCEF" w14:textId="77777777" w:rsidR="009D3DC8" w:rsidRDefault="009D3DC8">
            <w:pPr>
              <w:pStyle w:val="TableText"/>
            </w:pPr>
            <w:r>
              <w:rPr>
                <w:rFonts w:cs="Arial"/>
                <w:i/>
                <w:szCs w:val="16"/>
              </w:rPr>
              <w:t>Pseudococcus aurantiacus</w:t>
            </w:r>
            <w:r>
              <w:rPr>
                <w:rFonts w:cs="Arial"/>
                <w:szCs w:val="16"/>
              </w:rPr>
              <w:t xml:space="preserve"> Williams, 2004 </w:t>
            </w:r>
          </w:p>
        </w:tc>
        <w:tc>
          <w:tcPr>
            <w:tcW w:w="3195" w:type="dxa"/>
            <w:tcBorders>
              <w:top w:val="single" w:sz="4" w:space="0" w:color="999999"/>
              <w:left w:val="single" w:sz="4" w:space="0" w:color="999999"/>
              <w:bottom w:val="single" w:sz="4" w:space="0" w:color="999999"/>
              <w:right w:val="single" w:sz="4" w:space="0" w:color="auto"/>
            </w:tcBorders>
          </w:tcPr>
          <w:p w14:paraId="646B2DE5" w14:textId="77777777" w:rsidR="009D3DC8" w:rsidRDefault="009D3DC8">
            <w:pPr>
              <w:pStyle w:val="TableText"/>
            </w:pPr>
            <w:r>
              <w:rPr>
                <w:rFonts w:cs="Arial"/>
                <w:szCs w:val="16"/>
              </w:rPr>
              <w:t>Orange-coloured mealybug</w:t>
            </w:r>
          </w:p>
        </w:tc>
      </w:tr>
      <w:tr w:rsidR="009D3DC8" w14:paraId="5197E750"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0A059525" w14:textId="77777777" w:rsidR="009D3DC8" w:rsidRDefault="009D3DC8">
            <w:pPr>
              <w:pStyle w:val="TableText"/>
            </w:pPr>
            <w:r>
              <w:rPr>
                <w:rFonts w:cs="Arial"/>
                <w:i/>
                <w:szCs w:val="16"/>
              </w:rPr>
              <w:t>Pseudococcus baliteus</w:t>
            </w:r>
            <w:r>
              <w:rPr>
                <w:rFonts w:cs="Arial"/>
                <w:szCs w:val="16"/>
              </w:rPr>
              <w:t xml:space="preserve"> Lit, 1994 </w:t>
            </w:r>
          </w:p>
        </w:tc>
        <w:tc>
          <w:tcPr>
            <w:tcW w:w="3195" w:type="dxa"/>
            <w:tcBorders>
              <w:top w:val="single" w:sz="4" w:space="0" w:color="999999"/>
              <w:left w:val="single" w:sz="4" w:space="0" w:color="999999"/>
              <w:bottom w:val="single" w:sz="4" w:space="0" w:color="999999"/>
              <w:right w:val="single" w:sz="4" w:space="0" w:color="auto"/>
            </w:tcBorders>
          </w:tcPr>
          <w:p w14:paraId="13377533" w14:textId="77777777" w:rsidR="009D3DC8" w:rsidRDefault="009D3DC8">
            <w:pPr>
              <w:pStyle w:val="TableText"/>
            </w:pPr>
            <w:r>
              <w:rPr>
                <w:rFonts w:cs="Arial"/>
                <w:szCs w:val="16"/>
              </w:rPr>
              <w:t>Aerial root mealybug</w:t>
            </w:r>
          </w:p>
        </w:tc>
      </w:tr>
      <w:tr w:rsidR="009D3DC8" w14:paraId="6D701758"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4B91D455" w14:textId="77777777" w:rsidR="009D3DC8" w:rsidRDefault="009D3DC8">
            <w:pPr>
              <w:pStyle w:val="TableText"/>
            </w:pPr>
            <w:r>
              <w:rPr>
                <w:rFonts w:cs="Arial"/>
                <w:i/>
                <w:szCs w:val="16"/>
              </w:rPr>
              <w:t xml:space="preserve">Pseudococcus cryptus </w:t>
            </w:r>
            <w:r>
              <w:rPr>
                <w:rFonts w:cs="Arial"/>
                <w:szCs w:val="16"/>
              </w:rPr>
              <w:t xml:space="preserve">Hempel, 1918 </w:t>
            </w:r>
            <w:r>
              <w:rPr>
                <w:rFonts w:cs="Arial"/>
                <w:szCs w:val="16"/>
                <w:vertAlign w:val="superscript"/>
              </w:rPr>
              <w:t>EP</w:t>
            </w:r>
          </w:p>
        </w:tc>
        <w:tc>
          <w:tcPr>
            <w:tcW w:w="3195" w:type="dxa"/>
            <w:tcBorders>
              <w:top w:val="single" w:sz="4" w:space="0" w:color="999999"/>
              <w:left w:val="single" w:sz="4" w:space="0" w:color="999999"/>
              <w:bottom w:val="single" w:sz="4" w:space="0" w:color="999999"/>
              <w:right w:val="single" w:sz="4" w:space="0" w:color="auto"/>
            </w:tcBorders>
          </w:tcPr>
          <w:p w14:paraId="348BACC7" w14:textId="77777777" w:rsidR="009D3DC8" w:rsidRDefault="009D3DC8">
            <w:pPr>
              <w:pStyle w:val="TableText"/>
            </w:pPr>
            <w:r>
              <w:t xml:space="preserve">Cryptic mealybug </w:t>
            </w:r>
          </w:p>
        </w:tc>
      </w:tr>
      <w:tr w:rsidR="009D3DC8" w14:paraId="61FE2696"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003C8EFF" w14:textId="77777777" w:rsidR="009D3DC8" w:rsidRDefault="009D3DC8">
            <w:pPr>
              <w:pStyle w:val="TableText"/>
            </w:pPr>
            <w:r>
              <w:rPr>
                <w:rFonts w:cs="Arial"/>
                <w:i/>
                <w:szCs w:val="16"/>
              </w:rPr>
              <w:t xml:space="preserve">Rastrococcus spinosus </w:t>
            </w:r>
            <w:r>
              <w:rPr>
                <w:rFonts w:cs="Arial"/>
                <w:szCs w:val="16"/>
              </w:rPr>
              <w:t xml:space="preserve">(Robinson, 1918) </w:t>
            </w:r>
            <w:r>
              <w:rPr>
                <w:rFonts w:cs="Arial"/>
                <w:szCs w:val="16"/>
                <w:vertAlign w:val="superscript"/>
              </w:rPr>
              <w:t>EP</w:t>
            </w:r>
          </w:p>
        </w:tc>
        <w:tc>
          <w:tcPr>
            <w:tcW w:w="3195" w:type="dxa"/>
            <w:tcBorders>
              <w:top w:val="single" w:sz="4" w:space="0" w:color="999999"/>
              <w:left w:val="single" w:sz="4" w:space="0" w:color="999999"/>
              <w:bottom w:val="single" w:sz="4" w:space="0" w:color="999999"/>
              <w:right w:val="single" w:sz="4" w:space="0" w:color="auto"/>
            </w:tcBorders>
          </w:tcPr>
          <w:p w14:paraId="2E468236" w14:textId="77777777" w:rsidR="009D3DC8" w:rsidRDefault="009D3DC8">
            <w:pPr>
              <w:pStyle w:val="TableText"/>
            </w:pPr>
            <w:r>
              <w:rPr>
                <w:rFonts w:cs="Arial"/>
                <w:szCs w:val="16"/>
              </w:rPr>
              <w:t>Philippine mango mealybug</w:t>
            </w:r>
          </w:p>
        </w:tc>
      </w:tr>
      <w:tr w:rsidR="009D3DC8" w14:paraId="7DF58AB6" w14:textId="77777777">
        <w:trPr>
          <w:cantSplit/>
        </w:trPr>
        <w:tc>
          <w:tcPr>
            <w:tcW w:w="5890" w:type="dxa"/>
            <w:tcBorders>
              <w:top w:val="single" w:sz="4" w:space="0" w:color="999999"/>
              <w:left w:val="single" w:sz="4" w:space="0" w:color="auto"/>
              <w:bottom w:val="single" w:sz="4" w:space="0" w:color="999999"/>
              <w:right w:val="single" w:sz="4" w:space="0" w:color="999999"/>
            </w:tcBorders>
            <w:shd w:val="clear" w:color="auto" w:fill="E6E6E6"/>
          </w:tcPr>
          <w:p w14:paraId="6E1B2FF7" w14:textId="77777777" w:rsidR="009D3DC8" w:rsidRDefault="009D3DC8">
            <w:pPr>
              <w:pStyle w:val="TableText"/>
              <w:rPr>
                <w:b/>
              </w:rPr>
            </w:pPr>
            <w:r>
              <w:rPr>
                <w:b/>
              </w:rPr>
              <w:t>Ants [Hymenoptera: Formicidae]</w:t>
            </w:r>
          </w:p>
        </w:tc>
        <w:tc>
          <w:tcPr>
            <w:tcW w:w="3195" w:type="dxa"/>
            <w:tcBorders>
              <w:top w:val="single" w:sz="4" w:space="0" w:color="999999"/>
              <w:left w:val="single" w:sz="4" w:space="0" w:color="999999"/>
              <w:bottom w:val="single" w:sz="4" w:space="0" w:color="999999"/>
              <w:right w:val="single" w:sz="4" w:space="0" w:color="auto"/>
            </w:tcBorders>
            <w:shd w:val="clear" w:color="auto" w:fill="E6E6E6"/>
          </w:tcPr>
          <w:p w14:paraId="240C1104" w14:textId="77777777" w:rsidR="009D3DC8" w:rsidRDefault="009D3DC8">
            <w:pPr>
              <w:pStyle w:val="TableText"/>
            </w:pPr>
          </w:p>
        </w:tc>
      </w:tr>
      <w:tr w:rsidR="009D3DC8" w14:paraId="1D307A69"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4FD7542A" w14:textId="77777777" w:rsidR="009D3DC8" w:rsidRDefault="009D3DC8">
            <w:pPr>
              <w:pStyle w:val="TableText"/>
            </w:pPr>
            <w:r>
              <w:rPr>
                <w:rFonts w:cs="Arial"/>
                <w:i/>
                <w:szCs w:val="16"/>
              </w:rPr>
              <w:t xml:space="preserve">Camponotus </w:t>
            </w:r>
            <w:r>
              <w:rPr>
                <w:rFonts w:cs="Arial"/>
                <w:szCs w:val="16"/>
              </w:rPr>
              <w:t>sp.</w:t>
            </w:r>
          </w:p>
        </w:tc>
        <w:tc>
          <w:tcPr>
            <w:tcW w:w="3195" w:type="dxa"/>
            <w:tcBorders>
              <w:top w:val="single" w:sz="4" w:space="0" w:color="999999"/>
              <w:left w:val="single" w:sz="4" w:space="0" w:color="999999"/>
              <w:bottom w:val="single" w:sz="4" w:space="0" w:color="999999"/>
              <w:right w:val="single" w:sz="4" w:space="0" w:color="auto"/>
            </w:tcBorders>
          </w:tcPr>
          <w:p w14:paraId="12C4A667" w14:textId="77777777" w:rsidR="009D3DC8" w:rsidRDefault="009D3DC8">
            <w:pPr>
              <w:pStyle w:val="TableText"/>
            </w:pPr>
          </w:p>
        </w:tc>
      </w:tr>
      <w:tr w:rsidR="009D3DC8" w14:paraId="2BED21D3"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67D4E270" w14:textId="77777777" w:rsidR="009D3DC8" w:rsidRDefault="009D3DC8">
            <w:pPr>
              <w:spacing w:before="60" w:after="60"/>
            </w:pPr>
            <w:r>
              <w:rPr>
                <w:rFonts w:ascii="Arial" w:hAnsi="Arial" w:cs="Arial"/>
                <w:i/>
                <w:sz w:val="16"/>
                <w:szCs w:val="16"/>
              </w:rPr>
              <w:t xml:space="preserve">Cardiocondyla </w:t>
            </w:r>
            <w:r>
              <w:rPr>
                <w:rFonts w:ascii="Arial" w:hAnsi="Arial" w:cs="Arial"/>
                <w:sz w:val="16"/>
                <w:szCs w:val="16"/>
              </w:rPr>
              <w:t>sp</w:t>
            </w:r>
            <w:r>
              <w:rPr>
                <w:rFonts w:ascii="Arial" w:hAnsi="Arial" w:cs="Arial"/>
                <w:i/>
                <w:sz w:val="16"/>
                <w:szCs w:val="16"/>
              </w:rPr>
              <w:t>.</w:t>
            </w:r>
          </w:p>
        </w:tc>
        <w:tc>
          <w:tcPr>
            <w:tcW w:w="3195" w:type="dxa"/>
            <w:tcBorders>
              <w:top w:val="single" w:sz="4" w:space="0" w:color="999999"/>
              <w:left w:val="single" w:sz="4" w:space="0" w:color="999999"/>
              <w:bottom w:val="single" w:sz="4" w:space="0" w:color="999999"/>
              <w:right w:val="single" w:sz="4" w:space="0" w:color="auto"/>
            </w:tcBorders>
          </w:tcPr>
          <w:p w14:paraId="6CFFC9C9" w14:textId="77777777" w:rsidR="009D3DC8" w:rsidRDefault="009D3DC8">
            <w:pPr>
              <w:pStyle w:val="TableText"/>
            </w:pPr>
          </w:p>
        </w:tc>
      </w:tr>
      <w:tr w:rsidR="009D3DC8" w14:paraId="01D2DC1F"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43377498" w14:textId="77777777" w:rsidR="009D3DC8" w:rsidRDefault="009D3DC8">
            <w:pPr>
              <w:pStyle w:val="TableText"/>
            </w:pPr>
            <w:r>
              <w:rPr>
                <w:rFonts w:cs="Arial"/>
                <w:i/>
                <w:szCs w:val="16"/>
              </w:rPr>
              <w:t xml:space="preserve">Crematogaster </w:t>
            </w:r>
            <w:r>
              <w:rPr>
                <w:rFonts w:cs="Arial"/>
                <w:szCs w:val="16"/>
              </w:rPr>
              <w:t>sp.</w:t>
            </w:r>
          </w:p>
        </w:tc>
        <w:tc>
          <w:tcPr>
            <w:tcW w:w="3195" w:type="dxa"/>
            <w:tcBorders>
              <w:top w:val="single" w:sz="4" w:space="0" w:color="999999"/>
              <w:left w:val="single" w:sz="4" w:space="0" w:color="999999"/>
              <w:bottom w:val="single" w:sz="4" w:space="0" w:color="999999"/>
              <w:right w:val="single" w:sz="4" w:space="0" w:color="auto"/>
            </w:tcBorders>
          </w:tcPr>
          <w:p w14:paraId="4180B5FF" w14:textId="77777777" w:rsidR="009D3DC8" w:rsidRDefault="009D3DC8">
            <w:pPr>
              <w:pStyle w:val="TableText"/>
            </w:pPr>
          </w:p>
        </w:tc>
      </w:tr>
      <w:tr w:rsidR="009D3DC8" w14:paraId="46D536C7"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115334A2" w14:textId="77777777" w:rsidR="009D3DC8" w:rsidRDefault="009D3DC8">
            <w:pPr>
              <w:pStyle w:val="TableText"/>
            </w:pPr>
            <w:r>
              <w:rPr>
                <w:rFonts w:cs="Arial"/>
                <w:i/>
                <w:szCs w:val="16"/>
              </w:rPr>
              <w:t xml:space="preserve">Dolichoderus </w:t>
            </w:r>
            <w:r>
              <w:rPr>
                <w:rFonts w:cs="Arial"/>
                <w:szCs w:val="16"/>
              </w:rPr>
              <w:t xml:space="preserve">sp. </w:t>
            </w:r>
            <w:r>
              <w:rPr>
                <w:rFonts w:cs="Arial"/>
                <w:b/>
                <w:szCs w:val="16"/>
                <w:vertAlign w:val="superscript"/>
              </w:rPr>
              <w:t>EP</w:t>
            </w:r>
          </w:p>
        </w:tc>
        <w:tc>
          <w:tcPr>
            <w:tcW w:w="3195" w:type="dxa"/>
            <w:tcBorders>
              <w:top w:val="single" w:sz="4" w:space="0" w:color="999999"/>
              <w:left w:val="single" w:sz="4" w:space="0" w:color="999999"/>
              <w:bottom w:val="single" w:sz="4" w:space="0" w:color="999999"/>
              <w:right w:val="single" w:sz="4" w:space="0" w:color="auto"/>
            </w:tcBorders>
          </w:tcPr>
          <w:p w14:paraId="4016D424" w14:textId="77777777" w:rsidR="009D3DC8" w:rsidRDefault="009D3DC8">
            <w:pPr>
              <w:pStyle w:val="TableText"/>
            </w:pPr>
          </w:p>
        </w:tc>
      </w:tr>
      <w:tr w:rsidR="009D3DC8" w14:paraId="6A05616A"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7CA357FE" w14:textId="77777777" w:rsidR="009D3DC8" w:rsidRDefault="009D3DC8">
            <w:pPr>
              <w:pStyle w:val="TableText"/>
              <w:rPr>
                <w:i/>
                <w:iCs/>
                <w:szCs w:val="16"/>
              </w:rPr>
            </w:pPr>
            <w:r>
              <w:rPr>
                <w:rFonts w:cs="Arial"/>
                <w:i/>
                <w:szCs w:val="16"/>
              </w:rPr>
              <w:t xml:space="preserve">Iridomyrmex </w:t>
            </w:r>
            <w:r>
              <w:rPr>
                <w:rFonts w:cs="Arial"/>
                <w:szCs w:val="16"/>
              </w:rPr>
              <w:t>sp.</w:t>
            </w:r>
          </w:p>
        </w:tc>
        <w:tc>
          <w:tcPr>
            <w:tcW w:w="3195" w:type="dxa"/>
            <w:tcBorders>
              <w:top w:val="single" w:sz="4" w:space="0" w:color="999999"/>
              <w:left w:val="single" w:sz="4" w:space="0" w:color="999999"/>
              <w:bottom w:val="single" w:sz="4" w:space="0" w:color="999999"/>
              <w:right w:val="single" w:sz="4" w:space="0" w:color="auto"/>
            </w:tcBorders>
          </w:tcPr>
          <w:p w14:paraId="2173941A" w14:textId="77777777" w:rsidR="009D3DC8" w:rsidRDefault="009D3DC8">
            <w:pPr>
              <w:pStyle w:val="TableText"/>
            </w:pPr>
          </w:p>
        </w:tc>
      </w:tr>
      <w:tr w:rsidR="009D3DC8" w14:paraId="05473874" w14:textId="77777777">
        <w:trPr>
          <w:cantSplit/>
        </w:trPr>
        <w:tc>
          <w:tcPr>
            <w:tcW w:w="5890" w:type="dxa"/>
            <w:tcBorders>
              <w:top w:val="single" w:sz="4" w:space="0" w:color="999999"/>
              <w:left w:val="single" w:sz="4" w:space="0" w:color="auto"/>
              <w:bottom w:val="single" w:sz="4" w:space="0" w:color="999999"/>
              <w:right w:val="single" w:sz="4" w:space="0" w:color="999999"/>
            </w:tcBorders>
            <w:shd w:val="clear" w:color="auto" w:fill="FFFFFF"/>
          </w:tcPr>
          <w:p w14:paraId="6B7713A5" w14:textId="77777777" w:rsidR="009D3DC8" w:rsidRDefault="009D3DC8">
            <w:pPr>
              <w:pStyle w:val="TableText"/>
              <w:rPr>
                <w:i/>
              </w:rPr>
            </w:pPr>
            <w:r>
              <w:rPr>
                <w:rFonts w:cs="Arial"/>
                <w:i/>
                <w:szCs w:val="16"/>
              </w:rPr>
              <w:t xml:space="preserve">Monomorium </w:t>
            </w:r>
            <w:r>
              <w:rPr>
                <w:rFonts w:cs="Arial"/>
                <w:szCs w:val="16"/>
              </w:rPr>
              <w:t>sp</w:t>
            </w:r>
            <w:r>
              <w:rPr>
                <w:rFonts w:cs="Arial"/>
                <w:i/>
                <w:szCs w:val="16"/>
              </w:rPr>
              <w:t>.</w:t>
            </w:r>
          </w:p>
        </w:tc>
        <w:tc>
          <w:tcPr>
            <w:tcW w:w="3195" w:type="dxa"/>
            <w:tcBorders>
              <w:top w:val="single" w:sz="4" w:space="0" w:color="999999"/>
              <w:left w:val="single" w:sz="4" w:space="0" w:color="999999"/>
              <w:bottom w:val="single" w:sz="4" w:space="0" w:color="999999"/>
              <w:right w:val="single" w:sz="4" w:space="0" w:color="auto"/>
            </w:tcBorders>
            <w:shd w:val="clear" w:color="auto" w:fill="FFFFFF"/>
          </w:tcPr>
          <w:p w14:paraId="52398F9C" w14:textId="77777777" w:rsidR="009D3DC8" w:rsidRDefault="009D3DC8">
            <w:pPr>
              <w:pStyle w:val="TableText"/>
            </w:pPr>
          </w:p>
        </w:tc>
      </w:tr>
      <w:tr w:rsidR="009D3DC8" w14:paraId="149E34C4"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184D7962" w14:textId="77777777" w:rsidR="009D3DC8" w:rsidRDefault="009D3DC8">
            <w:pPr>
              <w:pStyle w:val="TableText"/>
              <w:rPr>
                <w:i/>
              </w:rPr>
            </w:pPr>
            <w:r>
              <w:rPr>
                <w:rFonts w:cs="Arial"/>
                <w:i/>
                <w:szCs w:val="16"/>
              </w:rPr>
              <w:t xml:space="preserve">Paratrechina </w:t>
            </w:r>
            <w:r>
              <w:rPr>
                <w:rFonts w:cs="Arial"/>
                <w:szCs w:val="16"/>
              </w:rPr>
              <w:t>sp.</w:t>
            </w:r>
          </w:p>
        </w:tc>
        <w:tc>
          <w:tcPr>
            <w:tcW w:w="3195" w:type="dxa"/>
            <w:tcBorders>
              <w:top w:val="single" w:sz="4" w:space="0" w:color="999999"/>
              <w:left w:val="single" w:sz="4" w:space="0" w:color="999999"/>
              <w:bottom w:val="single" w:sz="4" w:space="0" w:color="999999"/>
              <w:right w:val="single" w:sz="4" w:space="0" w:color="auto"/>
            </w:tcBorders>
          </w:tcPr>
          <w:p w14:paraId="6F3663C3" w14:textId="77777777" w:rsidR="009D3DC8" w:rsidRDefault="009D3DC8">
            <w:pPr>
              <w:pStyle w:val="TableText"/>
            </w:pPr>
          </w:p>
        </w:tc>
      </w:tr>
      <w:tr w:rsidR="009D3DC8" w14:paraId="1C325460"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145AFFAC" w14:textId="77777777" w:rsidR="009D3DC8" w:rsidRDefault="009D3DC8">
            <w:pPr>
              <w:pStyle w:val="TableText"/>
            </w:pPr>
            <w:r>
              <w:rPr>
                <w:rFonts w:cs="Arial"/>
                <w:i/>
                <w:szCs w:val="16"/>
              </w:rPr>
              <w:t xml:space="preserve">Pheidole </w:t>
            </w:r>
            <w:r>
              <w:rPr>
                <w:rFonts w:cs="Arial"/>
                <w:szCs w:val="16"/>
              </w:rPr>
              <w:t>sp</w:t>
            </w:r>
            <w:r>
              <w:rPr>
                <w:rFonts w:cs="Arial"/>
                <w:i/>
                <w:szCs w:val="16"/>
              </w:rPr>
              <w:t>.</w:t>
            </w:r>
          </w:p>
        </w:tc>
        <w:tc>
          <w:tcPr>
            <w:tcW w:w="3195" w:type="dxa"/>
            <w:tcBorders>
              <w:top w:val="single" w:sz="4" w:space="0" w:color="999999"/>
              <w:left w:val="single" w:sz="4" w:space="0" w:color="999999"/>
              <w:bottom w:val="single" w:sz="4" w:space="0" w:color="999999"/>
              <w:right w:val="single" w:sz="4" w:space="0" w:color="auto"/>
            </w:tcBorders>
          </w:tcPr>
          <w:p w14:paraId="020F335E" w14:textId="77777777" w:rsidR="009D3DC8" w:rsidRDefault="009D3DC8">
            <w:pPr>
              <w:pStyle w:val="TableText"/>
            </w:pPr>
          </w:p>
        </w:tc>
      </w:tr>
      <w:tr w:rsidR="009D3DC8" w14:paraId="4E5FF129"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51DB9555" w14:textId="77777777" w:rsidR="009D3DC8" w:rsidRDefault="009D3DC8">
            <w:pPr>
              <w:pStyle w:val="TableText"/>
            </w:pPr>
            <w:r>
              <w:rPr>
                <w:rFonts w:cs="Arial"/>
                <w:i/>
                <w:szCs w:val="16"/>
              </w:rPr>
              <w:t xml:space="preserve">Plagiolepis </w:t>
            </w:r>
            <w:r>
              <w:rPr>
                <w:rFonts w:cs="Arial"/>
                <w:szCs w:val="16"/>
              </w:rPr>
              <w:t>sp.</w:t>
            </w:r>
          </w:p>
        </w:tc>
        <w:tc>
          <w:tcPr>
            <w:tcW w:w="3195" w:type="dxa"/>
            <w:tcBorders>
              <w:top w:val="single" w:sz="4" w:space="0" w:color="999999"/>
              <w:left w:val="single" w:sz="4" w:space="0" w:color="999999"/>
              <w:bottom w:val="single" w:sz="4" w:space="0" w:color="999999"/>
              <w:right w:val="single" w:sz="4" w:space="0" w:color="auto"/>
            </w:tcBorders>
          </w:tcPr>
          <w:p w14:paraId="6FFCC008" w14:textId="77777777" w:rsidR="009D3DC8" w:rsidRDefault="009D3DC8">
            <w:pPr>
              <w:pStyle w:val="TableText"/>
            </w:pPr>
          </w:p>
        </w:tc>
      </w:tr>
      <w:tr w:rsidR="009D3DC8" w14:paraId="1C951FC5"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51B38E48" w14:textId="77777777" w:rsidR="009D3DC8" w:rsidRDefault="009D3DC8">
            <w:pPr>
              <w:pStyle w:val="TableText"/>
            </w:pPr>
            <w:r>
              <w:rPr>
                <w:rFonts w:cs="Arial"/>
                <w:i/>
                <w:szCs w:val="16"/>
              </w:rPr>
              <w:t>Polyrhachis sp.</w:t>
            </w:r>
          </w:p>
        </w:tc>
        <w:tc>
          <w:tcPr>
            <w:tcW w:w="3195" w:type="dxa"/>
            <w:tcBorders>
              <w:top w:val="single" w:sz="4" w:space="0" w:color="999999"/>
              <w:left w:val="single" w:sz="4" w:space="0" w:color="999999"/>
              <w:bottom w:val="single" w:sz="4" w:space="0" w:color="999999"/>
              <w:right w:val="single" w:sz="4" w:space="0" w:color="auto"/>
            </w:tcBorders>
          </w:tcPr>
          <w:p w14:paraId="70663892" w14:textId="77777777" w:rsidR="009D3DC8" w:rsidRDefault="009D3DC8">
            <w:pPr>
              <w:pStyle w:val="TableText"/>
            </w:pPr>
          </w:p>
        </w:tc>
      </w:tr>
      <w:tr w:rsidR="009D3DC8" w14:paraId="1CD5AEC3"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1FF07D3E" w14:textId="77777777" w:rsidR="009D3DC8" w:rsidRDefault="009D3DC8">
            <w:pPr>
              <w:pStyle w:val="TableText"/>
            </w:pPr>
            <w:r>
              <w:rPr>
                <w:rFonts w:cs="Arial"/>
                <w:i/>
                <w:szCs w:val="16"/>
              </w:rPr>
              <w:t xml:space="preserve">Tapinoma </w:t>
            </w:r>
            <w:r>
              <w:rPr>
                <w:rFonts w:cs="Arial"/>
                <w:szCs w:val="16"/>
              </w:rPr>
              <w:t>sp.</w:t>
            </w:r>
          </w:p>
        </w:tc>
        <w:tc>
          <w:tcPr>
            <w:tcW w:w="3195" w:type="dxa"/>
            <w:tcBorders>
              <w:top w:val="single" w:sz="4" w:space="0" w:color="999999"/>
              <w:left w:val="single" w:sz="4" w:space="0" w:color="999999"/>
              <w:bottom w:val="single" w:sz="4" w:space="0" w:color="999999"/>
              <w:right w:val="single" w:sz="4" w:space="0" w:color="auto"/>
            </w:tcBorders>
          </w:tcPr>
          <w:p w14:paraId="68018199" w14:textId="77777777" w:rsidR="009D3DC8" w:rsidRDefault="009D3DC8">
            <w:pPr>
              <w:pStyle w:val="TableText"/>
            </w:pPr>
          </w:p>
        </w:tc>
      </w:tr>
      <w:tr w:rsidR="009D3DC8" w14:paraId="2AF50DB1"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4C9E430F" w14:textId="77777777" w:rsidR="009D3DC8" w:rsidRDefault="009D3DC8">
            <w:pPr>
              <w:pStyle w:val="TableText"/>
              <w:rPr>
                <w:rFonts w:cs="Arial"/>
                <w:i/>
                <w:szCs w:val="16"/>
              </w:rPr>
            </w:pPr>
            <w:r>
              <w:rPr>
                <w:rFonts w:cs="Arial"/>
                <w:i/>
                <w:szCs w:val="16"/>
              </w:rPr>
              <w:t xml:space="preserve">Technomyrmex </w:t>
            </w:r>
            <w:r>
              <w:rPr>
                <w:rFonts w:cs="Arial"/>
                <w:szCs w:val="16"/>
              </w:rPr>
              <w:t xml:space="preserve">sp. </w:t>
            </w:r>
            <w:r>
              <w:rPr>
                <w:rFonts w:cs="Arial"/>
                <w:b/>
                <w:szCs w:val="16"/>
                <w:vertAlign w:val="superscript"/>
              </w:rPr>
              <w:t>EP</w:t>
            </w:r>
          </w:p>
        </w:tc>
        <w:tc>
          <w:tcPr>
            <w:tcW w:w="3195" w:type="dxa"/>
            <w:tcBorders>
              <w:top w:val="single" w:sz="4" w:space="0" w:color="999999"/>
              <w:left w:val="single" w:sz="4" w:space="0" w:color="999999"/>
              <w:bottom w:val="single" w:sz="4" w:space="0" w:color="999999"/>
              <w:right w:val="single" w:sz="4" w:space="0" w:color="auto"/>
            </w:tcBorders>
          </w:tcPr>
          <w:p w14:paraId="6E7F7694" w14:textId="77777777" w:rsidR="009D3DC8" w:rsidRDefault="009D3DC8">
            <w:pPr>
              <w:pStyle w:val="TableText"/>
            </w:pPr>
          </w:p>
        </w:tc>
      </w:tr>
      <w:tr w:rsidR="009D3DC8" w14:paraId="44203FE4"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161B17F2" w14:textId="77777777" w:rsidR="009D3DC8" w:rsidRDefault="009D3DC8">
            <w:pPr>
              <w:pStyle w:val="TableText"/>
              <w:rPr>
                <w:rFonts w:cs="Arial"/>
                <w:i/>
                <w:szCs w:val="16"/>
              </w:rPr>
            </w:pPr>
            <w:r>
              <w:rPr>
                <w:rFonts w:cs="Arial"/>
                <w:i/>
                <w:szCs w:val="16"/>
              </w:rPr>
              <w:t xml:space="preserve">Tetramorium </w:t>
            </w:r>
            <w:r>
              <w:rPr>
                <w:rFonts w:cs="Arial"/>
                <w:szCs w:val="16"/>
              </w:rPr>
              <w:t>sp.</w:t>
            </w:r>
          </w:p>
        </w:tc>
        <w:tc>
          <w:tcPr>
            <w:tcW w:w="3195" w:type="dxa"/>
            <w:tcBorders>
              <w:top w:val="single" w:sz="4" w:space="0" w:color="999999"/>
              <w:left w:val="single" w:sz="4" w:space="0" w:color="999999"/>
              <w:bottom w:val="single" w:sz="4" w:space="0" w:color="999999"/>
              <w:right w:val="single" w:sz="4" w:space="0" w:color="auto"/>
            </w:tcBorders>
          </w:tcPr>
          <w:p w14:paraId="28724DD2" w14:textId="77777777" w:rsidR="009D3DC8" w:rsidRDefault="009D3DC8">
            <w:pPr>
              <w:pStyle w:val="TableText"/>
            </w:pPr>
          </w:p>
        </w:tc>
      </w:tr>
      <w:tr w:rsidR="009D3DC8" w14:paraId="6EFC7CD4" w14:textId="77777777">
        <w:trPr>
          <w:cantSplit/>
        </w:trPr>
        <w:tc>
          <w:tcPr>
            <w:tcW w:w="5890" w:type="dxa"/>
            <w:tcBorders>
              <w:top w:val="single" w:sz="4" w:space="0" w:color="999999"/>
              <w:left w:val="single" w:sz="4" w:space="0" w:color="auto"/>
              <w:bottom w:val="single" w:sz="4" w:space="0" w:color="999999"/>
              <w:right w:val="single" w:sz="4" w:space="0" w:color="999999"/>
            </w:tcBorders>
          </w:tcPr>
          <w:p w14:paraId="243FD610" w14:textId="77777777" w:rsidR="009D3DC8" w:rsidRDefault="009D3DC8">
            <w:pPr>
              <w:pStyle w:val="TableText"/>
              <w:rPr>
                <w:rFonts w:cs="Arial"/>
                <w:szCs w:val="16"/>
              </w:rPr>
            </w:pPr>
            <w:r>
              <w:rPr>
                <w:rFonts w:cs="Arial"/>
                <w:i/>
                <w:szCs w:val="16"/>
              </w:rPr>
              <w:t xml:space="preserve">Wasmannia auropunctata </w:t>
            </w:r>
            <w:r>
              <w:rPr>
                <w:rFonts w:cs="Arial"/>
                <w:szCs w:val="16"/>
                <w:vertAlign w:val="superscript"/>
              </w:rPr>
              <w:t>EP</w:t>
            </w:r>
            <w:r>
              <w:rPr>
                <w:rFonts w:cs="Arial"/>
                <w:i/>
                <w:szCs w:val="16"/>
              </w:rPr>
              <w:t xml:space="preserve"> </w:t>
            </w:r>
            <w:r>
              <w:rPr>
                <w:rFonts w:cs="Arial"/>
                <w:szCs w:val="16"/>
              </w:rPr>
              <w:t xml:space="preserve">(Roger, 1863) </w:t>
            </w:r>
          </w:p>
        </w:tc>
        <w:tc>
          <w:tcPr>
            <w:tcW w:w="3195" w:type="dxa"/>
            <w:tcBorders>
              <w:top w:val="single" w:sz="4" w:space="0" w:color="999999"/>
              <w:left w:val="single" w:sz="4" w:space="0" w:color="999999"/>
              <w:bottom w:val="single" w:sz="4" w:space="0" w:color="999999"/>
              <w:right w:val="single" w:sz="4" w:space="0" w:color="auto"/>
            </w:tcBorders>
          </w:tcPr>
          <w:p w14:paraId="4003DB2F" w14:textId="77777777" w:rsidR="009D3DC8" w:rsidRDefault="009D3DC8">
            <w:pPr>
              <w:pStyle w:val="TableText"/>
            </w:pPr>
            <w:r>
              <w:rPr>
                <w:rFonts w:cs="Arial"/>
                <w:szCs w:val="16"/>
              </w:rPr>
              <w:t>Little fire ant</w:t>
            </w:r>
          </w:p>
        </w:tc>
      </w:tr>
    </w:tbl>
    <w:p w14:paraId="674DBA4A" w14:textId="77777777" w:rsidR="009D3DC8" w:rsidRDefault="009D3DC8">
      <w:pPr>
        <w:spacing w:before="360" w:after="180"/>
        <w:sectPr w:rsidR="009D3DC8">
          <w:headerReference w:type="default" r:id="rId46"/>
          <w:type w:val="oddPage"/>
          <w:pgSz w:w="11906" w:h="16838"/>
          <w:pgMar w:top="1440" w:right="1274" w:bottom="1440" w:left="1440" w:header="708" w:footer="708" w:gutter="0"/>
          <w:cols w:space="708"/>
          <w:docGrid w:linePitch="360"/>
        </w:sectPr>
      </w:pPr>
    </w:p>
    <w:p w14:paraId="2BF08AAA" w14:textId="77777777" w:rsidR="009D3DC8" w:rsidRDefault="009D3DC8">
      <w:pPr>
        <w:pStyle w:val="Heading2"/>
        <w:numPr>
          <w:ilvl w:val="1"/>
          <w:numId w:val="8"/>
        </w:numPr>
        <w:spacing w:line="240" w:lineRule="auto"/>
      </w:pPr>
      <w:bookmarkStart w:id="75" w:name="_Toc325618441"/>
      <w:r>
        <w:lastRenderedPageBreak/>
        <w:t>Spider mites [Prostigmata: Tetranychidae]</w:t>
      </w:r>
      <w:bookmarkEnd w:id="75"/>
    </w:p>
    <w:p w14:paraId="4604772C" w14:textId="77777777" w:rsidR="009D3DC8" w:rsidRDefault="009D3DC8">
      <w:pPr>
        <w:spacing w:after="120"/>
        <w:rPr>
          <w:rFonts w:ascii="Arial" w:hAnsi="Arial" w:cs="Arial"/>
          <w:b/>
          <w:i/>
          <w:sz w:val="24"/>
        </w:rPr>
      </w:pPr>
      <w:r>
        <w:rPr>
          <w:rFonts w:ascii="Arial" w:hAnsi="Arial" w:cs="Arial"/>
          <w:b/>
          <w:i/>
          <w:sz w:val="24"/>
        </w:rPr>
        <w:t xml:space="preserve">Tetranychus </w:t>
      </w:r>
      <w:r>
        <w:rPr>
          <w:rFonts w:ascii="Arial" w:hAnsi="Arial" w:cs="Arial"/>
          <w:b/>
          <w:sz w:val="24"/>
        </w:rPr>
        <w:t>spp.</w:t>
      </w:r>
      <w:r>
        <w:rPr>
          <w:rFonts w:ascii="Arial" w:hAnsi="Arial" w:cs="Arial"/>
          <w:b/>
          <w:i/>
          <w:sz w:val="24"/>
        </w:rPr>
        <w:t xml:space="preserve"> </w:t>
      </w:r>
      <w:r>
        <w:rPr>
          <w:rFonts w:ascii="Arial" w:hAnsi="Arial" w:cs="Arial"/>
          <w:b/>
          <w:sz w:val="24"/>
          <w:vertAlign w:val="superscript"/>
        </w:rPr>
        <w:t>EP</w:t>
      </w:r>
    </w:p>
    <w:p w14:paraId="345C9D8A" w14:textId="77777777" w:rsidR="009D3DC8" w:rsidRDefault="009D3DC8">
      <w:pPr>
        <w:spacing w:before="180" w:line="280" w:lineRule="atLeast"/>
        <w:rPr>
          <w:rFonts w:ascii="Times New Roman" w:hAnsi="Times New Roman"/>
          <w:sz w:val="24"/>
        </w:rPr>
      </w:pPr>
      <w:r>
        <w:rPr>
          <w:rFonts w:ascii="Times New Roman" w:hAnsi="Times New Roman"/>
          <w:i/>
          <w:sz w:val="24"/>
        </w:rPr>
        <w:t>Tetranychus</w:t>
      </w:r>
      <w:r>
        <w:rPr>
          <w:rFonts w:ascii="Times New Roman" w:hAnsi="Times New Roman"/>
          <w:sz w:val="24"/>
        </w:rPr>
        <w:t xml:space="preserve"> spp. belong to the spider mite family, Tetranychidae. Spider mites are given this name due to their habit of spinning protective silken webbing on plants (Zhang 2003).</w:t>
      </w:r>
    </w:p>
    <w:p w14:paraId="601486B4"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genus </w:t>
      </w:r>
      <w:r>
        <w:rPr>
          <w:rFonts w:ascii="Times New Roman" w:hAnsi="Times New Roman"/>
          <w:i/>
          <w:sz w:val="24"/>
        </w:rPr>
        <w:t>Tetranychus</w:t>
      </w:r>
      <w:r>
        <w:rPr>
          <w:rFonts w:ascii="Times New Roman" w:hAnsi="Times New Roman"/>
          <w:sz w:val="24"/>
        </w:rPr>
        <w:t xml:space="preserve"> is widely distributed throughout the world (Bolland</w:t>
      </w:r>
      <w:r>
        <w:rPr>
          <w:rFonts w:ascii="Times New Roman" w:hAnsi="Times New Roman"/>
          <w:i/>
          <w:sz w:val="24"/>
        </w:rPr>
        <w:t xml:space="preserve"> et al.</w:t>
      </w:r>
      <w:r>
        <w:rPr>
          <w:rFonts w:ascii="Times New Roman" w:hAnsi="Times New Roman"/>
          <w:sz w:val="24"/>
        </w:rPr>
        <w:t xml:space="preserve"> 1998). It comprises of more than 120 species, but only 11 of these are known to be present in Australia (Flechtmann and Knihinicki 2002). A number of </w:t>
      </w:r>
      <w:r>
        <w:rPr>
          <w:rFonts w:ascii="Times New Roman" w:hAnsi="Times New Roman"/>
          <w:i/>
          <w:sz w:val="24"/>
        </w:rPr>
        <w:t>Tetranychus</w:t>
      </w:r>
      <w:r>
        <w:rPr>
          <w:rFonts w:ascii="Times New Roman" w:hAnsi="Times New Roman"/>
          <w:sz w:val="24"/>
        </w:rPr>
        <w:t xml:space="preserve"> spp. are endemic to the Oriental region (Bolland</w:t>
      </w:r>
      <w:r>
        <w:rPr>
          <w:rFonts w:ascii="Times New Roman" w:hAnsi="Times New Roman"/>
          <w:i/>
          <w:sz w:val="24"/>
        </w:rPr>
        <w:t xml:space="preserve"> et al.</w:t>
      </w:r>
      <w:r>
        <w:rPr>
          <w:rFonts w:ascii="Times New Roman" w:hAnsi="Times New Roman"/>
          <w:sz w:val="24"/>
        </w:rPr>
        <w:t xml:space="preserve"> 1998) and may also be present in Indonesia. </w:t>
      </w:r>
      <w:r>
        <w:rPr>
          <w:rFonts w:ascii="Times New Roman" w:hAnsi="Times New Roman"/>
          <w:i/>
          <w:sz w:val="24"/>
        </w:rPr>
        <w:t>Tetranychus</w:t>
      </w:r>
      <w:r>
        <w:rPr>
          <w:rFonts w:ascii="Times New Roman" w:hAnsi="Times New Roman"/>
          <w:sz w:val="24"/>
        </w:rPr>
        <w:t xml:space="preserve"> spp. that are known to be present in Indonesia but not in Australia include </w:t>
      </w:r>
      <w:r>
        <w:rPr>
          <w:rFonts w:ascii="Times New Roman" w:hAnsi="Times New Roman"/>
          <w:i/>
          <w:sz w:val="24"/>
        </w:rPr>
        <w:t>T. piercei, T. truncatus</w:t>
      </w:r>
      <w:r>
        <w:rPr>
          <w:rFonts w:ascii="Times New Roman" w:hAnsi="Times New Roman"/>
          <w:sz w:val="24"/>
        </w:rPr>
        <w:t xml:space="preserve"> and </w:t>
      </w:r>
      <w:r>
        <w:rPr>
          <w:rFonts w:ascii="Times New Roman" w:hAnsi="Times New Roman"/>
          <w:i/>
          <w:sz w:val="24"/>
        </w:rPr>
        <w:t>T. kanzawai</w:t>
      </w:r>
      <w:r>
        <w:rPr>
          <w:rFonts w:ascii="Times New Roman" w:hAnsi="Times New Roman"/>
          <w:sz w:val="24"/>
        </w:rPr>
        <w:t>, which is not present in Western Australia (Waterhouse 1993; Migeon and Dorkeld 2010).</w:t>
      </w:r>
    </w:p>
    <w:p w14:paraId="0E80A3DA" w14:textId="77777777" w:rsidR="009D3DC8" w:rsidRDefault="009D3DC8">
      <w:pPr>
        <w:spacing w:before="180" w:line="280" w:lineRule="atLeast"/>
        <w:rPr>
          <w:rFonts w:ascii="Times New Roman" w:hAnsi="Times New Roman"/>
          <w:sz w:val="24"/>
        </w:rPr>
      </w:pPr>
      <w:r>
        <w:rPr>
          <w:rFonts w:ascii="Times New Roman" w:hAnsi="Times New Roman"/>
          <w:sz w:val="24"/>
        </w:rPr>
        <w:t>Most spider mites are polyphagous, that is, they infest a wide range of host plants, while others are host</w:t>
      </w:r>
      <w:r>
        <w:rPr>
          <w:rFonts w:ascii="Times New Roman" w:hAnsi="Times New Roman"/>
          <w:b/>
          <w:sz w:val="24"/>
        </w:rPr>
        <w:t>-</w:t>
      </w:r>
      <w:r>
        <w:rPr>
          <w:rFonts w:ascii="Times New Roman" w:hAnsi="Times New Roman"/>
          <w:sz w:val="24"/>
        </w:rPr>
        <w:t xml:space="preserve">specific (Gutierrez and Helle 1985). </w:t>
      </w:r>
      <w:r>
        <w:rPr>
          <w:rFonts w:ascii="Times New Roman" w:hAnsi="Times New Roman"/>
          <w:i/>
          <w:sz w:val="24"/>
        </w:rPr>
        <w:t>Tetranychus</w:t>
      </w:r>
      <w:r>
        <w:rPr>
          <w:rFonts w:ascii="Times New Roman" w:hAnsi="Times New Roman"/>
          <w:sz w:val="24"/>
        </w:rPr>
        <w:t xml:space="preserve"> spp. are of economic significance to many horticultural crops including banana, papaya, cassava, peach, citrus, mulberry, bean, eggplant, sweet potato, garlic, tea, oil palm and cotton (Jeppson</w:t>
      </w:r>
      <w:r>
        <w:rPr>
          <w:rFonts w:ascii="Times New Roman" w:hAnsi="Times New Roman"/>
          <w:i/>
          <w:sz w:val="24"/>
        </w:rPr>
        <w:t xml:space="preserve"> et al.</w:t>
      </w:r>
      <w:r>
        <w:rPr>
          <w:rFonts w:ascii="Times New Roman" w:hAnsi="Times New Roman"/>
          <w:sz w:val="24"/>
        </w:rPr>
        <w:t xml:space="preserve"> 1975; Corpuz-Raros 1989; Walter 2006). </w:t>
      </w:r>
      <w:r>
        <w:rPr>
          <w:rFonts w:ascii="Times New Roman" w:hAnsi="Times New Roman"/>
          <w:i/>
          <w:sz w:val="24"/>
        </w:rPr>
        <w:t xml:space="preserve">Tetranychus </w:t>
      </w:r>
      <w:r>
        <w:rPr>
          <w:rFonts w:ascii="Times New Roman" w:hAnsi="Times New Roman"/>
          <w:sz w:val="24"/>
        </w:rPr>
        <w:t>spp. are a minor pest of mangosteen in Indonesia (IAQA 2008).</w:t>
      </w:r>
    </w:p>
    <w:p w14:paraId="781A8A5B" w14:textId="77777777" w:rsidR="009D3DC8" w:rsidRDefault="009D3DC8">
      <w:pPr>
        <w:spacing w:before="180" w:line="280" w:lineRule="atLeast"/>
        <w:rPr>
          <w:rFonts w:ascii="Times New Roman" w:hAnsi="Times New Roman"/>
          <w:sz w:val="24"/>
        </w:rPr>
      </w:pPr>
      <w:r>
        <w:rPr>
          <w:rFonts w:ascii="Times New Roman" w:hAnsi="Times New Roman"/>
          <w:i/>
          <w:sz w:val="24"/>
        </w:rPr>
        <w:t>Tetranychus</w:t>
      </w:r>
      <w:r>
        <w:rPr>
          <w:rFonts w:ascii="Times New Roman" w:hAnsi="Times New Roman"/>
          <w:sz w:val="24"/>
        </w:rPr>
        <w:t xml:space="preserve"> spp. feed on the undersurface of leaves but will move out to other parts of the host plant when populations become high (Jeppson</w:t>
      </w:r>
      <w:r>
        <w:rPr>
          <w:rFonts w:ascii="Times New Roman" w:hAnsi="Times New Roman"/>
          <w:i/>
          <w:sz w:val="24"/>
        </w:rPr>
        <w:t xml:space="preserve"> et al.</w:t>
      </w:r>
      <w:r>
        <w:rPr>
          <w:rFonts w:ascii="Times New Roman" w:hAnsi="Times New Roman"/>
          <w:sz w:val="24"/>
        </w:rPr>
        <w:t xml:space="preserve"> 1975). They feed by inserting their mouthparts into the plant tissue and remove the cell contents (Jeppson</w:t>
      </w:r>
      <w:r>
        <w:rPr>
          <w:rFonts w:ascii="Times New Roman" w:hAnsi="Times New Roman"/>
          <w:i/>
          <w:sz w:val="24"/>
        </w:rPr>
        <w:t xml:space="preserve"> et al.</w:t>
      </w:r>
      <w:r>
        <w:rPr>
          <w:rFonts w:ascii="Times New Roman" w:hAnsi="Times New Roman"/>
          <w:sz w:val="24"/>
        </w:rPr>
        <w:t xml:space="preserve"> 1975). A few spider mite species feed on the fruits of horticulture crops, resulting in discoloration and the downgrading of fruit (Jeppson</w:t>
      </w:r>
      <w:r>
        <w:rPr>
          <w:rFonts w:ascii="Times New Roman" w:hAnsi="Times New Roman"/>
          <w:i/>
          <w:sz w:val="24"/>
        </w:rPr>
        <w:t xml:space="preserve"> et al.</w:t>
      </w:r>
      <w:r>
        <w:rPr>
          <w:rFonts w:ascii="Times New Roman" w:hAnsi="Times New Roman"/>
          <w:sz w:val="24"/>
        </w:rPr>
        <w:t xml:space="preserve"> 1975). </w:t>
      </w:r>
      <w:r>
        <w:rPr>
          <w:rFonts w:ascii="Times New Roman" w:hAnsi="Times New Roman"/>
          <w:i/>
          <w:sz w:val="24"/>
        </w:rPr>
        <w:t>Tetranychus</w:t>
      </w:r>
      <w:r>
        <w:rPr>
          <w:rFonts w:ascii="Times New Roman" w:hAnsi="Times New Roman"/>
          <w:sz w:val="24"/>
        </w:rPr>
        <w:t xml:space="preserve"> spp. can infest the flowers and damage the fruit surface of mangosteens (Yaacob and Tindall 1995).</w:t>
      </w:r>
    </w:p>
    <w:p w14:paraId="2D3AACB0" w14:textId="77777777" w:rsidR="009D3DC8" w:rsidRDefault="009D3DC8">
      <w:pPr>
        <w:spacing w:before="180" w:line="280" w:lineRule="atLeast"/>
        <w:rPr>
          <w:rFonts w:ascii="Times New Roman" w:hAnsi="Times New Roman"/>
          <w:sz w:val="24"/>
        </w:rPr>
      </w:pPr>
      <w:r>
        <w:rPr>
          <w:rFonts w:ascii="Times New Roman" w:hAnsi="Times New Roman"/>
          <w:sz w:val="24"/>
        </w:rPr>
        <w:t>Spider mites develop rapidly, and their overall life cycle is relatively short (Huffaker</w:t>
      </w:r>
      <w:r>
        <w:rPr>
          <w:rFonts w:ascii="Times New Roman" w:hAnsi="Times New Roman"/>
          <w:i/>
          <w:sz w:val="24"/>
        </w:rPr>
        <w:t xml:space="preserve"> et al.</w:t>
      </w:r>
      <w:r>
        <w:rPr>
          <w:rFonts w:ascii="Times New Roman" w:hAnsi="Times New Roman"/>
          <w:sz w:val="24"/>
        </w:rPr>
        <w:t xml:space="preserve"> 1969). There are five developmental stages: egg, larva, two nymphal stages (protonymph and deutonymph) and an adult stage (Jeppson</w:t>
      </w:r>
      <w:r>
        <w:rPr>
          <w:rFonts w:ascii="Times New Roman" w:hAnsi="Times New Roman"/>
          <w:i/>
          <w:sz w:val="24"/>
        </w:rPr>
        <w:t xml:space="preserve"> et al.</w:t>
      </w:r>
      <w:r>
        <w:rPr>
          <w:rFonts w:ascii="Times New Roman" w:hAnsi="Times New Roman"/>
          <w:sz w:val="24"/>
        </w:rPr>
        <w:t xml:space="preserve"> 1975). The time required to complete a lifecycle from egg to adult varies from 6–10 days or more depending on the species, temperature, host plant, humidity and other environmental factors (Crooker 1985). In warm tropical climates, spider mites continue to reproduce throughout the year (Jeppson</w:t>
      </w:r>
      <w:r>
        <w:rPr>
          <w:rFonts w:ascii="Times New Roman" w:hAnsi="Times New Roman"/>
          <w:i/>
          <w:sz w:val="24"/>
        </w:rPr>
        <w:t xml:space="preserve"> et al.</w:t>
      </w:r>
      <w:r>
        <w:rPr>
          <w:rFonts w:ascii="Times New Roman" w:hAnsi="Times New Roman"/>
          <w:sz w:val="24"/>
        </w:rPr>
        <w:t xml:space="preserve"> 1975). A generation may live for only 15–20 days (Gutierrez 1978). In colder climates, </w:t>
      </w:r>
      <w:r>
        <w:rPr>
          <w:rFonts w:ascii="Times New Roman" w:hAnsi="Times New Roman"/>
          <w:i/>
          <w:sz w:val="24"/>
        </w:rPr>
        <w:t>Tetranychus</w:t>
      </w:r>
      <w:r>
        <w:rPr>
          <w:rFonts w:ascii="Times New Roman" w:hAnsi="Times New Roman"/>
          <w:sz w:val="24"/>
        </w:rPr>
        <w:t xml:space="preserve"> spp. survive the winter temperatures by entering an inactive state or diapause stage, commonly as fertilised females (Huffaker</w:t>
      </w:r>
      <w:r>
        <w:rPr>
          <w:rFonts w:ascii="Times New Roman" w:hAnsi="Times New Roman"/>
          <w:i/>
          <w:sz w:val="24"/>
        </w:rPr>
        <w:t xml:space="preserve"> et al.</w:t>
      </w:r>
      <w:r>
        <w:rPr>
          <w:rFonts w:ascii="Times New Roman" w:hAnsi="Times New Roman"/>
          <w:sz w:val="24"/>
        </w:rPr>
        <w:t xml:space="preserve"> 1969; Jeppson</w:t>
      </w:r>
      <w:r>
        <w:rPr>
          <w:rFonts w:ascii="Times New Roman" w:hAnsi="Times New Roman"/>
          <w:i/>
          <w:sz w:val="24"/>
        </w:rPr>
        <w:t xml:space="preserve"> et al.</w:t>
      </w:r>
      <w:r>
        <w:rPr>
          <w:rFonts w:ascii="Times New Roman" w:hAnsi="Times New Roman"/>
          <w:sz w:val="24"/>
        </w:rPr>
        <w:t xml:space="preserve"> 1975). Diapausing females seek shelter in cracks and crevices or under groundcover, and when the warm weather returns they become active and start feeding again (Jeppson</w:t>
      </w:r>
      <w:r>
        <w:rPr>
          <w:rFonts w:ascii="Times New Roman" w:hAnsi="Times New Roman"/>
          <w:i/>
          <w:sz w:val="24"/>
        </w:rPr>
        <w:t xml:space="preserve"> et al.</w:t>
      </w:r>
      <w:r>
        <w:rPr>
          <w:rFonts w:ascii="Times New Roman" w:hAnsi="Times New Roman"/>
          <w:sz w:val="24"/>
        </w:rPr>
        <w:t xml:space="preserve"> 1975).</w:t>
      </w:r>
    </w:p>
    <w:p w14:paraId="3EFF9782"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All </w:t>
      </w:r>
      <w:r>
        <w:rPr>
          <w:rFonts w:ascii="Times New Roman" w:hAnsi="Times New Roman"/>
          <w:i/>
          <w:sz w:val="24"/>
        </w:rPr>
        <w:t>Tetranychus</w:t>
      </w:r>
      <w:r>
        <w:rPr>
          <w:rFonts w:ascii="Times New Roman" w:hAnsi="Times New Roman"/>
          <w:sz w:val="24"/>
        </w:rPr>
        <w:t xml:space="preserve"> spp. are capable of reproducing sexually or parthenogenetically, that is without a mate (Helle and Pijnacker 1985). Unfertilised eggs develop into males, while fertilised eggs produce both males and females (Helle and Pijnacker 1985; Zhang 2003). Spider mites tend to deposit their eggs near the midribs of the leaves of host plants (Jeppson</w:t>
      </w:r>
      <w:r>
        <w:rPr>
          <w:rFonts w:ascii="Times New Roman" w:hAnsi="Times New Roman"/>
          <w:i/>
          <w:sz w:val="24"/>
        </w:rPr>
        <w:t xml:space="preserve"> et al.</w:t>
      </w:r>
      <w:r>
        <w:rPr>
          <w:rFonts w:ascii="Times New Roman" w:hAnsi="Times New Roman"/>
          <w:sz w:val="24"/>
        </w:rPr>
        <w:t xml:space="preserve"> 1975). Eggs are small ranging from 0.110–0.150 mm in size (Crooker 1985). Total egg production varies from 10–150 or more, depending on species, temperature, humidity, and host plant (Crooker 1985); with most of the eggs produced within a few days of the first egg (Zhang 2003).</w:t>
      </w:r>
    </w:p>
    <w:p w14:paraId="6E641936"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 xml:space="preserve">The risk scenario of concern for </w:t>
      </w:r>
      <w:r>
        <w:rPr>
          <w:rFonts w:ascii="Times New Roman" w:hAnsi="Times New Roman"/>
          <w:i/>
          <w:sz w:val="24"/>
        </w:rPr>
        <w:t>Tetranychus</w:t>
      </w:r>
      <w:r>
        <w:rPr>
          <w:rFonts w:ascii="Times New Roman" w:hAnsi="Times New Roman"/>
          <w:sz w:val="24"/>
        </w:rPr>
        <w:t xml:space="preserve"> spp. is the presence of eggs, nymphs or adults on imported mangosteen fruit.</w:t>
      </w:r>
    </w:p>
    <w:p w14:paraId="1128154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This pest risk assessment is for an unidentified </w:t>
      </w:r>
      <w:r>
        <w:rPr>
          <w:rFonts w:ascii="Times New Roman" w:hAnsi="Times New Roman"/>
          <w:i/>
          <w:sz w:val="24"/>
        </w:rPr>
        <w:t>Tetranychus</w:t>
      </w:r>
      <w:r>
        <w:rPr>
          <w:rFonts w:ascii="Times New Roman" w:hAnsi="Times New Roman"/>
          <w:sz w:val="24"/>
        </w:rPr>
        <w:t xml:space="preserve"> species. </w:t>
      </w:r>
      <w:r>
        <w:rPr>
          <w:rFonts w:ascii="Times New Roman" w:hAnsi="Times New Roman"/>
          <w:i/>
          <w:sz w:val="24"/>
        </w:rPr>
        <w:t>Tetranychus</w:t>
      </w:r>
      <w:r>
        <w:rPr>
          <w:rFonts w:ascii="Times New Roman" w:hAnsi="Times New Roman"/>
          <w:sz w:val="24"/>
        </w:rPr>
        <w:t xml:space="preserve"> species have been assessed in the existing import policies for stone fruit from the USA (Biosecurity Australia 2010), bananas from the Philippines (Biosecurity Australia 2008) and table grapes from China and Korea (Biosecurity Australia 2011a; Biosecurity Australia 2011b). The assessment of </w:t>
      </w:r>
      <w:r>
        <w:rPr>
          <w:rFonts w:ascii="Times New Roman" w:hAnsi="Times New Roman"/>
          <w:i/>
          <w:sz w:val="24"/>
        </w:rPr>
        <w:t>Tetranychus</w:t>
      </w:r>
      <w:r>
        <w:rPr>
          <w:rFonts w:ascii="Times New Roman" w:hAnsi="Times New Roman"/>
          <w:sz w:val="24"/>
        </w:rPr>
        <w:t xml:space="preserve"> spp. presented here builds on these previous assessments.</w:t>
      </w:r>
    </w:p>
    <w:p w14:paraId="49C5AEA5"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Differences in the commodity, horticultural practices, climatic conditions and prevalence of </w:t>
      </w:r>
      <w:r>
        <w:rPr>
          <w:rFonts w:ascii="Times New Roman" w:hAnsi="Times New Roman"/>
          <w:i/>
          <w:sz w:val="24"/>
        </w:rPr>
        <w:t xml:space="preserve">Tetranychus </w:t>
      </w:r>
      <w:r>
        <w:rPr>
          <w:rFonts w:ascii="Times New Roman" w:hAnsi="Times New Roman"/>
          <w:sz w:val="24"/>
        </w:rPr>
        <w:t xml:space="preserve">spp. between previous export areas (USA, Philippines, China and Korea) and Indonesia make it necessary to reassess the likelihood that </w:t>
      </w:r>
      <w:r>
        <w:rPr>
          <w:rFonts w:ascii="Times New Roman" w:hAnsi="Times New Roman"/>
          <w:i/>
          <w:sz w:val="24"/>
        </w:rPr>
        <w:t>Tetranychus</w:t>
      </w:r>
      <w:r>
        <w:rPr>
          <w:rFonts w:ascii="Times New Roman" w:hAnsi="Times New Roman"/>
          <w:sz w:val="24"/>
        </w:rPr>
        <w:t xml:space="preserve"> sp. will be imported into and distributed within Australia with mangosteen fruit from Indonesia.</w:t>
      </w:r>
    </w:p>
    <w:p w14:paraId="3FC9C5F6"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probability of establishment and spread of </w:t>
      </w:r>
      <w:r>
        <w:rPr>
          <w:rFonts w:ascii="Times New Roman" w:hAnsi="Times New Roman"/>
          <w:i/>
          <w:sz w:val="24"/>
        </w:rPr>
        <w:t>Tetranychus</w:t>
      </w:r>
      <w:r>
        <w:rPr>
          <w:rFonts w:ascii="Times New Roman" w:hAnsi="Times New Roman"/>
          <w:sz w:val="24"/>
        </w:rPr>
        <w:t xml:space="preserve"> spp. in Australia and the consequences they may cause will be comparable for any commodity from which these species are imported into Australia, as these probabilities relate specifically to events that occur in Australia and are largely independent of the importation pathway. Accordingly, there is no need to reassess these components, and the risk ratings for establishment, spread and consequences, as set out for a </w:t>
      </w:r>
      <w:r>
        <w:rPr>
          <w:rFonts w:ascii="Times New Roman" w:hAnsi="Times New Roman"/>
          <w:i/>
          <w:sz w:val="24"/>
        </w:rPr>
        <w:t>Tetranychus</w:t>
      </w:r>
      <w:r>
        <w:rPr>
          <w:rFonts w:ascii="Times New Roman" w:hAnsi="Times New Roman"/>
          <w:sz w:val="24"/>
        </w:rPr>
        <w:t xml:space="preserve"> species, </w:t>
      </w:r>
      <w:r>
        <w:rPr>
          <w:rFonts w:ascii="Times New Roman" w:hAnsi="Times New Roman"/>
          <w:i/>
          <w:sz w:val="24"/>
        </w:rPr>
        <w:t>T. kanzawai</w:t>
      </w:r>
      <w:r>
        <w:rPr>
          <w:rFonts w:ascii="Times New Roman" w:hAnsi="Times New Roman"/>
          <w:sz w:val="24"/>
        </w:rPr>
        <w:t xml:space="preserve"> in the table grapes from China and Korea import risk analysis reports (Biosecurity Australia 2011a; Biosecurity Australia 2011b), will be adopted for this assessment.</w:t>
      </w:r>
    </w:p>
    <w:p w14:paraId="3ABC35ED" w14:textId="77777777" w:rsidR="009D3DC8" w:rsidRDefault="009D3DC8">
      <w:pPr>
        <w:pStyle w:val="Heading3"/>
        <w:numPr>
          <w:ilvl w:val="2"/>
          <w:numId w:val="8"/>
        </w:numPr>
        <w:spacing w:line="240" w:lineRule="auto"/>
      </w:pPr>
      <w:r>
        <w:t>Reassessment of probability of entry</w:t>
      </w:r>
    </w:p>
    <w:p w14:paraId="616D8A7B" w14:textId="77777777" w:rsidR="009D3DC8" w:rsidRDefault="009D3DC8">
      <w:pPr>
        <w:spacing w:before="180" w:line="280" w:lineRule="atLeast"/>
        <w:rPr>
          <w:rFonts w:ascii="Times New Roman" w:hAnsi="Times New Roman"/>
          <w:sz w:val="24"/>
        </w:rPr>
      </w:pPr>
      <w:r>
        <w:rPr>
          <w:rFonts w:ascii="Times New Roman" w:hAnsi="Times New Roman"/>
          <w:sz w:val="24"/>
        </w:rPr>
        <w:t>The probability of entry is considered in two parts, the probability of importation and the probability of distribution, which consider pre-border and post-border issues, respectively.</w:t>
      </w:r>
    </w:p>
    <w:p w14:paraId="4266722A"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importation</w:t>
      </w:r>
    </w:p>
    <w:p w14:paraId="6F369B28"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Tetranychus</w:t>
      </w:r>
      <w:r>
        <w:rPr>
          <w:rFonts w:ascii="Times New Roman" w:hAnsi="Times New Roman"/>
          <w:sz w:val="24"/>
        </w:rPr>
        <w:t xml:space="preserve"> spp. will arrive in Australia with the importation of mangosteen fruit from Indonesia is: </w:t>
      </w:r>
      <w:r>
        <w:rPr>
          <w:rFonts w:ascii="Times New Roman" w:hAnsi="Times New Roman"/>
          <w:b/>
          <w:sz w:val="24"/>
        </w:rPr>
        <w:t>HIGH</w:t>
      </w:r>
      <w:r>
        <w:rPr>
          <w:rFonts w:ascii="Times New Roman" w:hAnsi="Times New Roman"/>
          <w:sz w:val="24"/>
        </w:rPr>
        <w:t>.</w:t>
      </w:r>
    </w:p>
    <w:p w14:paraId="1CEB4EEF"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0A3FF4F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Tetranychus </w:t>
      </w:r>
      <w:r>
        <w:rPr>
          <w:rFonts w:ascii="Times New Roman" w:hAnsi="Times New Roman"/>
        </w:rPr>
        <w:t>spp. are distributed worldwide (Bolland</w:t>
      </w:r>
      <w:r>
        <w:rPr>
          <w:rFonts w:ascii="Times New Roman" w:hAnsi="Times New Roman"/>
          <w:i/>
        </w:rPr>
        <w:t xml:space="preserve"> et al.</w:t>
      </w:r>
      <w:r>
        <w:rPr>
          <w:rFonts w:ascii="Times New Roman" w:hAnsi="Times New Roman"/>
        </w:rPr>
        <w:t xml:space="preserve"> 1998). Of the genus, </w:t>
      </w:r>
      <w:r>
        <w:rPr>
          <w:rFonts w:ascii="Times New Roman" w:hAnsi="Times New Roman"/>
          <w:i/>
        </w:rPr>
        <w:t>T. truncatus</w:t>
      </w:r>
      <w:r>
        <w:rPr>
          <w:rFonts w:ascii="Times New Roman" w:hAnsi="Times New Roman"/>
        </w:rPr>
        <w:t xml:space="preserve">, </w:t>
      </w:r>
      <w:r>
        <w:rPr>
          <w:rFonts w:ascii="Times New Roman" w:hAnsi="Times New Roman"/>
          <w:i/>
        </w:rPr>
        <w:t>T. piercei</w:t>
      </w:r>
      <w:r>
        <w:rPr>
          <w:rFonts w:ascii="Times New Roman" w:hAnsi="Times New Roman"/>
        </w:rPr>
        <w:t xml:space="preserve">, </w:t>
      </w:r>
      <w:r>
        <w:rPr>
          <w:rFonts w:ascii="Times New Roman" w:hAnsi="Times New Roman"/>
          <w:i/>
        </w:rPr>
        <w:t>T. kanzawai</w:t>
      </w:r>
      <w:r>
        <w:rPr>
          <w:rFonts w:ascii="Times New Roman" w:hAnsi="Times New Roman"/>
        </w:rPr>
        <w:t xml:space="preserve">, </w:t>
      </w:r>
      <w:r>
        <w:rPr>
          <w:rFonts w:ascii="Times New Roman" w:hAnsi="Times New Roman"/>
          <w:i/>
        </w:rPr>
        <w:t>T. cinnabarinus</w:t>
      </w:r>
      <w:r>
        <w:rPr>
          <w:rFonts w:ascii="Times New Roman" w:hAnsi="Times New Roman"/>
        </w:rPr>
        <w:t xml:space="preserve">, </w:t>
      </w:r>
      <w:r>
        <w:rPr>
          <w:rFonts w:ascii="Times New Roman" w:hAnsi="Times New Roman"/>
          <w:i/>
        </w:rPr>
        <w:t>T. lombardinii</w:t>
      </w:r>
      <w:r>
        <w:rPr>
          <w:rFonts w:ascii="Times New Roman" w:hAnsi="Times New Roman"/>
        </w:rPr>
        <w:t xml:space="preserve"> and </w:t>
      </w:r>
      <w:r>
        <w:rPr>
          <w:rFonts w:ascii="Times New Roman" w:hAnsi="Times New Roman"/>
          <w:i/>
        </w:rPr>
        <w:t>T. urticae</w:t>
      </w:r>
      <w:r>
        <w:rPr>
          <w:rFonts w:ascii="Times New Roman" w:hAnsi="Times New Roman"/>
        </w:rPr>
        <w:t xml:space="preserve"> are recorded as being present in Indonesia (Waterhouse 1993; Migeon and Dorkeld 2010). However, there are a number of </w:t>
      </w:r>
      <w:r>
        <w:rPr>
          <w:rFonts w:ascii="Times New Roman" w:hAnsi="Times New Roman"/>
          <w:i/>
        </w:rPr>
        <w:t xml:space="preserve">Tetranychus </w:t>
      </w:r>
      <w:r>
        <w:rPr>
          <w:rFonts w:ascii="Times New Roman" w:hAnsi="Times New Roman"/>
        </w:rPr>
        <w:t>species endemic to the Oriental region (Bolland</w:t>
      </w:r>
      <w:r>
        <w:rPr>
          <w:rFonts w:ascii="Times New Roman" w:hAnsi="Times New Roman"/>
          <w:i/>
        </w:rPr>
        <w:t xml:space="preserve"> et al.</w:t>
      </w:r>
      <w:r>
        <w:rPr>
          <w:rFonts w:ascii="Times New Roman" w:hAnsi="Times New Roman"/>
        </w:rPr>
        <w:t xml:space="preserve"> 1998) that may also be present in Indonesia.</w:t>
      </w:r>
    </w:p>
    <w:p w14:paraId="52A5DF9B"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Tetranychus </w:t>
      </w:r>
      <w:r>
        <w:rPr>
          <w:rFonts w:ascii="Times New Roman" w:hAnsi="Times New Roman"/>
        </w:rPr>
        <w:t>spp. are polyphagous (Bolland</w:t>
      </w:r>
      <w:r>
        <w:rPr>
          <w:rFonts w:ascii="Times New Roman" w:hAnsi="Times New Roman"/>
          <w:i/>
        </w:rPr>
        <w:t xml:space="preserve"> et al.</w:t>
      </w:r>
      <w:r>
        <w:rPr>
          <w:rFonts w:ascii="Times New Roman" w:hAnsi="Times New Roman"/>
        </w:rPr>
        <w:t xml:space="preserve"> 1998). In Indonesia, </w:t>
      </w:r>
      <w:r>
        <w:rPr>
          <w:rFonts w:ascii="Times New Roman" w:hAnsi="Times New Roman"/>
          <w:i/>
        </w:rPr>
        <w:t xml:space="preserve">Tetranychus </w:t>
      </w:r>
      <w:r>
        <w:rPr>
          <w:rFonts w:ascii="Times New Roman" w:hAnsi="Times New Roman"/>
        </w:rPr>
        <w:t>spp. are mainly a pest of tea and cassava (Hartini and Saim 2005), and are considered a minor pest of mangosteen (IAQA 2008).</w:t>
      </w:r>
    </w:p>
    <w:p w14:paraId="40800D68"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Spider mites are primarily a pest found on the leaves of host plants and both feed and lay eggs on the leaves (Jeppson</w:t>
      </w:r>
      <w:r>
        <w:rPr>
          <w:rFonts w:ascii="Times New Roman" w:hAnsi="Times New Roman"/>
          <w:i/>
        </w:rPr>
        <w:t xml:space="preserve"> et al.</w:t>
      </w:r>
      <w:r>
        <w:rPr>
          <w:rFonts w:ascii="Times New Roman" w:hAnsi="Times New Roman"/>
        </w:rPr>
        <w:t xml:space="preserve"> 1975). </w:t>
      </w:r>
      <w:r>
        <w:rPr>
          <w:rFonts w:ascii="Times New Roman" w:hAnsi="Times New Roman"/>
          <w:i/>
        </w:rPr>
        <w:t xml:space="preserve">Tetranychus </w:t>
      </w:r>
      <w:r>
        <w:rPr>
          <w:rFonts w:ascii="Times New Roman" w:hAnsi="Times New Roman"/>
        </w:rPr>
        <w:t>spp. feed on the leaves of mangosteens in Indonesia resulting in leaf curl (IAQA 2008).</w:t>
      </w:r>
    </w:p>
    <w:p w14:paraId="0B8F2F4B"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Spider mites are highly mobile and have the capacity to move onto all parts of the plant, including the fruit. </w:t>
      </w:r>
      <w:r>
        <w:rPr>
          <w:rFonts w:ascii="Times New Roman" w:hAnsi="Times New Roman"/>
          <w:i/>
        </w:rPr>
        <w:t xml:space="preserve">Tetranychus </w:t>
      </w:r>
      <w:r>
        <w:rPr>
          <w:rFonts w:ascii="Times New Roman" w:hAnsi="Times New Roman"/>
        </w:rPr>
        <w:t>spp. have been reported to cause damage to the fruit surface of mangosteens (Yaacob and Tindall 1995).</w:t>
      </w:r>
    </w:p>
    <w:p w14:paraId="0F1601ED"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lastRenderedPageBreak/>
        <w:t xml:space="preserve">The life cycle of spider mites depends on the species and environmental factors. In warm tropical climates, spider mites are capable of reproducing all year round (Yaacob and Tindall 1995). Therefore, </w:t>
      </w:r>
      <w:r>
        <w:rPr>
          <w:rFonts w:ascii="Times New Roman" w:hAnsi="Times New Roman"/>
          <w:i/>
        </w:rPr>
        <w:t xml:space="preserve">Tetranychus </w:t>
      </w:r>
      <w:r>
        <w:rPr>
          <w:rFonts w:ascii="Times New Roman" w:hAnsi="Times New Roman"/>
        </w:rPr>
        <w:t>spp. are likely to be present during harvest.</w:t>
      </w:r>
    </w:p>
    <w:p w14:paraId="5A54A4FB"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Spider mites are very small, with the adult female ranging from 0.3–0.5 mm in length (Gutierrez 1978) and the males being even smaller (Kennedy and Smitley 1985). The small size of spider mites and their eggs (0.11–0.15 mm in diameter) may make them difficult to detect, especially at low population levels or when they are under the calyx of the fruit. Therefore, the sorting, grading and packing process may not remove them effectively from the export pathway.</w:t>
      </w:r>
    </w:p>
    <w:p w14:paraId="7C4A20C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The brushing process would likely dislodge any mobile spider mites present on the surface of the fruit. However, spider mites have a tendency to live and deposit their eggs in secluded places (Jeppson</w:t>
      </w:r>
      <w:r>
        <w:rPr>
          <w:rFonts w:ascii="Times New Roman" w:hAnsi="Times New Roman"/>
          <w:i/>
        </w:rPr>
        <w:t xml:space="preserve"> et al.</w:t>
      </w:r>
      <w:r>
        <w:rPr>
          <w:rFonts w:ascii="Times New Roman" w:hAnsi="Times New Roman"/>
        </w:rPr>
        <w:t xml:space="preserve"> 1975) and the brushing process may not remove spider mites and/or eggs located under the calyx of the mangosteen fruit.</w:t>
      </w:r>
    </w:p>
    <w:p w14:paraId="42D75159"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Tetranychus </w:t>
      </w:r>
      <w:r>
        <w:rPr>
          <w:rFonts w:ascii="Times New Roman" w:hAnsi="Times New Roman"/>
        </w:rPr>
        <w:t>spp. overwinter as fertilised females (Huffaker</w:t>
      </w:r>
      <w:r>
        <w:rPr>
          <w:rFonts w:ascii="Times New Roman" w:hAnsi="Times New Roman"/>
          <w:i/>
        </w:rPr>
        <w:t xml:space="preserve"> et al.</w:t>
      </w:r>
      <w:r>
        <w:rPr>
          <w:rFonts w:ascii="Times New Roman" w:hAnsi="Times New Roman"/>
        </w:rPr>
        <w:t xml:space="preserve"> 1969; Jeppson</w:t>
      </w:r>
      <w:r>
        <w:rPr>
          <w:rFonts w:ascii="Times New Roman" w:hAnsi="Times New Roman"/>
          <w:i/>
        </w:rPr>
        <w:t xml:space="preserve"> et al.</w:t>
      </w:r>
      <w:r>
        <w:rPr>
          <w:rFonts w:ascii="Times New Roman" w:hAnsi="Times New Roman"/>
        </w:rPr>
        <w:t xml:space="preserve"> 1975) and are likely to survive cold storage and transportation to Australia.</w:t>
      </w:r>
    </w:p>
    <w:p w14:paraId="595896E0" w14:textId="77777777" w:rsidR="009D3DC8" w:rsidRDefault="009D3DC8">
      <w:pPr>
        <w:spacing w:before="180" w:line="280" w:lineRule="atLeast"/>
        <w:rPr>
          <w:rFonts w:ascii="Times New Roman" w:hAnsi="Times New Roman"/>
          <w:sz w:val="24"/>
        </w:rPr>
      </w:pPr>
      <w:r>
        <w:rPr>
          <w:rFonts w:ascii="Times New Roman" w:hAnsi="Times New Roman"/>
          <w:sz w:val="24"/>
        </w:rPr>
        <w:t>The small size, cold tolerance, presence of spider mites and their eggs under the calyx and host status support a likelihood estimate for importation of ‘high’.</w:t>
      </w:r>
    </w:p>
    <w:p w14:paraId="36A0FD85" w14:textId="77777777" w:rsidR="009D3DC8" w:rsidRDefault="009D3DC8">
      <w:pPr>
        <w:pStyle w:val="Heading4"/>
        <w:keepLines w:val="0"/>
        <w:spacing w:before="240" w:after="120" w:line="275" w:lineRule="atLeast"/>
        <w:rPr>
          <w:rFonts w:ascii="Times New Roman" w:hAnsi="Times New Roman"/>
          <w:i w:val="0"/>
          <w:iCs w:val="0"/>
          <w:color w:val="000000"/>
          <w:sz w:val="24"/>
          <w:szCs w:val="28"/>
        </w:rPr>
      </w:pPr>
      <w:r>
        <w:rPr>
          <w:rFonts w:ascii="Times New Roman" w:hAnsi="Times New Roman"/>
          <w:i w:val="0"/>
          <w:iCs w:val="0"/>
          <w:color w:val="000000"/>
          <w:sz w:val="24"/>
          <w:szCs w:val="28"/>
        </w:rPr>
        <w:t>Reassessment of probability of distribution</w:t>
      </w:r>
    </w:p>
    <w:p w14:paraId="592AB19B"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Tetranychus</w:t>
      </w:r>
      <w:r>
        <w:rPr>
          <w:rFonts w:ascii="Times New Roman" w:hAnsi="Times New Roman"/>
          <w:sz w:val="24"/>
        </w:rPr>
        <w:t xml:space="preserve"> spp. will be distributed within Australia in a viable state as a result of the processing, sale or disposal of mangosteen fruit from Indonesia and subsequently transfer to a susceptible part of a host is: </w:t>
      </w:r>
      <w:r>
        <w:rPr>
          <w:rFonts w:ascii="Times New Roman" w:hAnsi="Times New Roman"/>
          <w:b/>
          <w:sz w:val="24"/>
        </w:rPr>
        <w:t>MODERATE</w:t>
      </w:r>
      <w:r>
        <w:rPr>
          <w:rFonts w:ascii="Times New Roman" w:hAnsi="Times New Roman"/>
          <w:sz w:val="24"/>
        </w:rPr>
        <w:t>.</w:t>
      </w:r>
    </w:p>
    <w:p w14:paraId="55EC5C6D"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67A2A89F"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Mangosteen fruit may be distributed throughout Australia for retail sale, as the intended use of the commodity is human consumption. Waste material would be generated.</w:t>
      </w:r>
    </w:p>
    <w:p w14:paraId="662BD299"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Tetranychus </w:t>
      </w:r>
      <w:r>
        <w:rPr>
          <w:rFonts w:ascii="Times New Roman" w:hAnsi="Times New Roman"/>
        </w:rPr>
        <w:t xml:space="preserve">spp. eggs, nymphs and adults may remain on the fruit during retail distribution. The unconsumed parts of the fruit, especially the skin and calyx, are likely to end up as fruit waste, which may further aid distribution of viable mites. Disposal of infested fruit waste is likely to be by commercial or domestic rubbish systems, or where the fruit is consumed. Some fruit waste may be disposed of in the home garden which provides an opportunity for </w:t>
      </w:r>
      <w:r>
        <w:rPr>
          <w:rFonts w:ascii="Times New Roman" w:hAnsi="Times New Roman"/>
          <w:i/>
        </w:rPr>
        <w:t>Tetranychus</w:t>
      </w:r>
      <w:r>
        <w:rPr>
          <w:rFonts w:ascii="Times New Roman" w:hAnsi="Times New Roman"/>
        </w:rPr>
        <w:t xml:space="preserve"> sp.</w:t>
      </w:r>
      <w:r>
        <w:rPr>
          <w:rFonts w:ascii="Times New Roman" w:hAnsi="Times New Roman"/>
          <w:i/>
        </w:rPr>
        <w:t xml:space="preserve"> </w:t>
      </w:r>
      <w:r>
        <w:rPr>
          <w:rFonts w:ascii="Times New Roman" w:hAnsi="Times New Roman"/>
        </w:rPr>
        <w:t>to transfer to susceptible hosts in the vicinity.</w:t>
      </w:r>
    </w:p>
    <w:p w14:paraId="3A3B1492"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Tetranychus </w:t>
      </w:r>
      <w:r>
        <w:rPr>
          <w:rFonts w:ascii="Times New Roman" w:hAnsi="Times New Roman"/>
        </w:rPr>
        <w:t xml:space="preserve">spp. have a wide host range including mangosteen (for a comprehensive list of horticultural hosts, see Appendix B). Ornamentals, flowering plants and grasses are also hosts of </w:t>
      </w:r>
      <w:r>
        <w:rPr>
          <w:rFonts w:ascii="Times New Roman" w:hAnsi="Times New Roman"/>
          <w:i/>
        </w:rPr>
        <w:t xml:space="preserve">Tetranychus </w:t>
      </w:r>
      <w:r>
        <w:rPr>
          <w:rFonts w:ascii="Times New Roman" w:hAnsi="Times New Roman"/>
        </w:rPr>
        <w:t>spp. (Bolland</w:t>
      </w:r>
      <w:r>
        <w:rPr>
          <w:rFonts w:ascii="Times New Roman" w:hAnsi="Times New Roman"/>
          <w:i/>
        </w:rPr>
        <w:t xml:space="preserve"> et al.</w:t>
      </w:r>
      <w:r>
        <w:rPr>
          <w:rFonts w:ascii="Times New Roman" w:hAnsi="Times New Roman"/>
        </w:rPr>
        <w:t xml:space="preserve"> 1998). Host plants are widely available in Australia.</w:t>
      </w:r>
    </w:p>
    <w:p w14:paraId="0790E87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Spider mites disperse predominantly within and between host plants through crawling (Kennedy and Smitley 1985). Adult female spider mites can also be carried on air currents. While there is potential for long range transport on wind currents, aerial dispersal is generally initiated at high population densities and is entirely passive once airborne (Kennedy and Smitley 1985). Most spider mites fall out of the air currents shortly after they are carried aloft (Kennedy and Smitley 1985). The probability of spider</w:t>
      </w:r>
      <w:r>
        <w:t xml:space="preserve"> </w:t>
      </w:r>
      <w:r>
        <w:rPr>
          <w:rFonts w:ascii="Times New Roman" w:hAnsi="Times New Roman"/>
        </w:rPr>
        <w:t>mites on discarded mangosteen fruit locating a suitable host would be reduced when the short dispersal range is considered.</w:t>
      </w:r>
    </w:p>
    <w:p w14:paraId="5D335614"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The possibility of dispersal near suitable hosts and the wide availability of hosts, moderated by the short dispersal range, support a likelihood estimate for distribution of ‘moderate’.</w:t>
      </w:r>
    </w:p>
    <w:p w14:paraId="157A1B3B"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 xml:space="preserve">Overall probability of entry (importation </w:t>
      </w:r>
      <w:r>
        <w:rPr>
          <w:rFonts w:ascii="Times New Roman" w:hAnsi="Times New Roman" w:cs="Arial"/>
          <w:i w:val="0"/>
          <w:iCs w:val="0"/>
          <w:color w:val="000000"/>
          <w:sz w:val="24"/>
          <w:szCs w:val="28"/>
        </w:rPr>
        <w:sym w:font="Symbol" w:char="F0B4"/>
      </w:r>
      <w:r>
        <w:rPr>
          <w:rFonts w:ascii="Times New Roman" w:hAnsi="Times New Roman" w:cs="Arial"/>
          <w:i w:val="0"/>
          <w:iCs w:val="0"/>
          <w:color w:val="000000"/>
          <w:sz w:val="24"/>
          <w:szCs w:val="28"/>
        </w:rPr>
        <w:t xml:space="preserve"> distribution)</w:t>
      </w:r>
    </w:p>
    <w:p w14:paraId="0873515F"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is determined by combining the probabilities of importation and of distribution using the matrix of rules shown in Table 2.2.</w:t>
      </w:r>
    </w:p>
    <w:p w14:paraId="4B05600F"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Tetranychus</w:t>
      </w:r>
      <w:r>
        <w:rPr>
          <w:rFonts w:ascii="Times New Roman" w:hAnsi="Times New Roman"/>
          <w:sz w:val="24"/>
        </w:rPr>
        <w:t xml:space="preserve"> spp. will enter Australia as a result of trade in mangosteen fruit from Indonesia and be distributed in a viable state to a susceptible host is: </w:t>
      </w:r>
      <w:r>
        <w:rPr>
          <w:rFonts w:ascii="Times New Roman" w:hAnsi="Times New Roman"/>
          <w:b/>
          <w:sz w:val="24"/>
        </w:rPr>
        <w:t>MODERATE</w:t>
      </w:r>
      <w:r>
        <w:rPr>
          <w:rFonts w:ascii="Times New Roman" w:hAnsi="Times New Roman"/>
          <w:sz w:val="24"/>
        </w:rPr>
        <w:t>.</w:t>
      </w:r>
    </w:p>
    <w:p w14:paraId="28430248" w14:textId="77777777" w:rsidR="009D3DC8" w:rsidRDefault="009D3DC8">
      <w:pPr>
        <w:pStyle w:val="Heading3"/>
        <w:numPr>
          <w:ilvl w:val="2"/>
          <w:numId w:val="8"/>
        </w:numPr>
        <w:spacing w:line="240" w:lineRule="auto"/>
      </w:pPr>
      <w:r>
        <w:t>Probability of establishment and spread</w:t>
      </w:r>
    </w:p>
    <w:p w14:paraId="2DBB4E0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above, the probability of establishment and of spread for </w:t>
      </w:r>
      <w:r>
        <w:rPr>
          <w:rFonts w:ascii="Times New Roman" w:hAnsi="Times New Roman"/>
          <w:i/>
          <w:sz w:val="24"/>
        </w:rPr>
        <w:t>Tetranychus</w:t>
      </w:r>
      <w:r>
        <w:rPr>
          <w:rFonts w:ascii="Times New Roman" w:hAnsi="Times New Roman"/>
          <w:sz w:val="24"/>
        </w:rPr>
        <w:t xml:space="preserve"> spp. is assumed to be the same as that assessed for </w:t>
      </w:r>
      <w:r>
        <w:rPr>
          <w:rFonts w:ascii="Times New Roman" w:hAnsi="Times New Roman"/>
          <w:i/>
          <w:sz w:val="24"/>
        </w:rPr>
        <w:t>T. kanzawai</w:t>
      </w:r>
      <w:r>
        <w:rPr>
          <w:rFonts w:ascii="Times New Roman" w:hAnsi="Times New Roman"/>
          <w:sz w:val="24"/>
        </w:rPr>
        <w:t xml:space="preserve"> on table grapes from China and Korea (Biosecurity Australia 2011a; Biosecurity Australia 2011b). The ratings from the previous assessments are presented below:</w:t>
      </w:r>
    </w:p>
    <w:p w14:paraId="05AD8CDC" w14:textId="77777777" w:rsidR="009D3DC8" w:rsidRDefault="009D3DC8">
      <w:pPr>
        <w:spacing w:before="180" w:line="280" w:lineRule="atLeast"/>
        <w:rPr>
          <w:rFonts w:ascii="Times New Roman" w:hAnsi="Times New Roman"/>
          <w:sz w:val="24"/>
        </w:rPr>
      </w:pPr>
      <w:r>
        <w:rPr>
          <w:rFonts w:ascii="Times New Roman" w:hAnsi="Times New Roman"/>
          <w:sz w:val="24"/>
        </w:rPr>
        <w:t>Probability of establishment:</w:t>
      </w:r>
      <w:r>
        <w:rPr>
          <w:rFonts w:ascii="Times New Roman" w:hAnsi="Times New Roman"/>
          <w:sz w:val="24"/>
        </w:rPr>
        <w:tab/>
      </w:r>
      <w:r>
        <w:rPr>
          <w:rFonts w:ascii="Times New Roman" w:hAnsi="Times New Roman"/>
          <w:sz w:val="24"/>
        </w:rPr>
        <w:tab/>
      </w:r>
      <w:r>
        <w:rPr>
          <w:rFonts w:ascii="Times New Roman" w:hAnsi="Times New Roman"/>
          <w:b/>
          <w:sz w:val="24"/>
        </w:rPr>
        <w:t>HIGH</w:t>
      </w:r>
    </w:p>
    <w:p w14:paraId="6E018260" w14:textId="77777777" w:rsidR="009D3DC8" w:rsidRDefault="009D3DC8">
      <w:pPr>
        <w:spacing w:before="180" w:line="280" w:lineRule="atLeast"/>
        <w:rPr>
          <w:rFonts w:ascii="Times New Roman" w:hAnsi="Times New Roman"/>
          <w:sz w:val="24"/>
        </w:rPr>
      </w:pPr>
      <w:r>
        <w:rPr>
          <w:rFonts w:ascii="Times New Roman" w:hAnsi="Times New Roman"/>
          <w:sz w:val="24"/>
        </w:rPr>
        <w:t>Probability of spread: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MODERATE</w:t>
      </w:r>
    </w:p>
    <w:p w14:paraId="4AF38E64" w14:textId="77777777" w:rsidR="009D3DC8" w:rsidRDefault="009D3DC8">
      <w:pPr>
        <w:pStyle w:val="Heading3"/>
        <w:numPr>
          <w:ilvl w:val="2"/>
          <w:numId w:val="8"/>
        </w:numPr>
        <w:spacing w:line="240" w:lineRule="auto"/>
      </w:pPr>
      <w:r>
        <w:t>Overall probability of entry, establishment and spread</w:t>
      </w:r>
    </w:p>
    <w:p w14:paraId="7CAA735B"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establishment and spread is determined by combining the probability of entry, of establishment and of spread using the matrix of rules shown in Table 2.2.</w:t>
      </w:r>
    </w:p>
    <w:p w14:paraId="321872E1"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Tetranychus</w:t>
      </w:r>
      <w:r>
        <w:rPr>
          <w:rFonts w:ascii="Times New Roman" w:hAnsi="Times New Roman"/>
          <w:sz w:val="24"/>
        </w:rPr>
        <w:t xml:space="preserve"> spp. will enter Australia as a result of trade in mangosteen fruit from Indonesia, be distributed in a viable state to a susceptible host, establish in Australia and subsequently spread within Australia is: </w:t>
      </w:r>
      <w:r>
        <w:rPr>
          <w:rFonts w:ascii="Times New Roman" w:hAnsi="Times New Roman"/>
          <w:b/>
          <w:sz w:val="24"/>
        </w:rPr>
        <w:t>LOW</w:t>
      </w:r>
      <w:r>
        <w:rPr>
          <w:rFonts w:ascii="Times New Roman" w:hAnsi="Times New Roman"/>
          <w:sz w:val="24"/>
        </w:rPr>
        <w:t>.</w:t>
      </w:r>
    </w:p>
    <w:p w14:paraId="6EFBEF49" w14:textId="77777777" w:rsidR="009D3DC8" w:rsidRDefault="009D3DC8">
      <w:pPr>
        <w:pStyle w:val="Heading3"/>
        <w:numPr>
          <w:ilvl w:val="2"/>
          <w:numId w:val="8"/>
        </w:numPr>
        <w:spacing w:line="240" w:lineRule="auto"/>
      </w:pPr>
      <w:r>
        <w:t>Consequences</w:t>
      </w:r>
    </w:p>
    <w:p w14:paraId="5217C3A5"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consequences of the establishment of </w:t>
      </w:r>
      <w:r>
        <w:rPr>
          <w:rFonts w:ascii="Times New Roman" w:hAnsi="Times New Roman"/>
          <w:i/>
          <w:sz w:val="24"/>
        </w:rPr>
        <w:t>Tetranychus</w:t>
      </w:r>
      <w:r>
        <w:rPr>
          <w:rFonts w:ascii="Times New Roman" w:hAnsi="Times New Roman"/>
          <w:sz w:val="24"/>
        </w:rPr>
        <w:t xml:space="preserve"> spp. in Australia have been estimated previously for table grapes from China and Korea (Biosecurity Australia 2011a; Biosecurity Australia 2011b). This estimate of impact scores is provided below.</w:t>
      </w:r>
    </w:p>
    <w:p w14:paraId="74B98228" w14:textId="77777777" w:rsidR="009D3DC8" w:rsidRDefault="009D3DC8">
      <w:pPr>
        <w:spacing w:after="0" w:line="240" w:lineRule="auto"/>
        <w:rPr>
          <w:rFonts w:ascii="Times New Roman" w:hAnsi="Times New Roman"/>
          <w:b/>
          <w:sz w:val="24"/>
        </w:rPr>
      </w:pPr>
      <w:r>
        <w:rPr>
          <w:rFonts w:ascii="Times New Roman" w:hAnsi="Times New Roman"/>
          <w:sz w:val="24"/>
        </w:rPr>
        <w:t xml:space="preserve">Plant life or heath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E</w:t>
      </w:r>
    </w:p>
    <w:p w14:paraId="0BC323FB" w14:textId="77777777" w:rsidR="009D3DC8" w:rsidRDefault="009D3DC8">
      <w:pPr>
        <w:spacing w:after="0" w:line="240" w:lineRule="auto"/>
        <w:rPr>
          <w:rFonts w:ascii="Times New Roman" w:hAnsi="Times New Roman"/>
          <w:sz w:val="24"/>
        </w:rPr>
      </w:pPr>
      <w:r>
        <w:rPr>
          <w:rFonts w:ascii="Times New Roman" w:hAnsi="Times New Roman"/>
          <w:sz w:val="24"/>
        </w:rPr>
        <w:t>Any other aspects of the environment</w:t>
      </w:r>
      <w:r>
        <w:rPr>
          <w:rFonts w:ascii="Times New Roman" w:hAnsi="Times New Roman"/>
          <w:sz w:val="24"/>
        </w:rPr>
        <w:tab/>
      </w:r>
      <w:r>
        <w:rPr>
          <w:rFonts w:ascii="Times New Roman" w:hAnsi="Times New Roman"/>
          <w:b/>
          <w:sz w:val="24"/>
        </w:rPr>
        <w:t>B</w:t>
      </w:r>
    </w:p>
    <w:p w14:paraId="584819F1" w14:textId="77777777" w:rsidR="009D3DC8" w:rsidRDefault="009D3DC8">
      <w:pPr>
        <w:spacing w:after="0" w:line="240" w:lineRule="auto"/>
        <w:rPr>
          <w:rFonts w:ascii="Times New Roman" w:hAnsi="Times New Roman"/>
          <w:sz w:val="24"/>
        </w:rPr>
      </w:pPr>
      <w:r>
        <w:rPr>
          <w:rFonts w:ascii="Times New Roman" w:hAnsi="Times New Roman"/>
          <w:sz w:val="24"/>
        </w:rPr>
        <w:t>Eradication, control, etc.</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61181082" w14:textId="77777777" w:rsidR="009D3DC8" w:rsidRDefault="009D3DC8">
      <w:pPr>
        <w:spacing w:after="0" w:line="240" w:lineRule="auto"/>
        <w:rPr>
          <w:rFonts w:ascii="Times New Roman" w:hAnsi="Times New Roman"/>
          <w:b/>
          <w:sz w:val="24"/>
        </w:rPr>
      </w:pPr>
      <w:r>
        <w:rPr>
          <w:rFonts w:ascii="Times New Roman" w:hAnsi="Times New Roman"/>
          <w:sz w:val="24"/>
        </w:rPr>
        <w:t>Domestic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C</w:t>
      </w:r>
    </w:p>
    <w:p w14:paraId="733E42E2" w14:textId="77777777" w:rsidR="009D3DC8" w:rsidRDefault="009D3DC8">
      <w:pPr>
        <w:spacing w:after="0" w:line="240" w:lineRule="auto"/>
        <w:rPr>
          <w:rFonts w:ascii="Times New Roman" w:hAnsi="Times New Roman"/>
          <w:sz w:val="24"/>
        </w:rPr>
      </w:pPr>
      <w:r>
        <w:rPr>
          <w:rFonts w:ascii="Times New Roman" w:hAnsi="Times New Roman"/>
          <w:sz w:val="24"/>
        </w:rPr>
        <w:t>International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3698DB60" w14:textId="77777777" w:rsidR="009D3DC8" w:rsidRDefault="009D3DC8">
      <w:pPr>
        <w:spacing w:after="0" w:line="240" w:lineRule="auto"/>
        <w:rPr>
          <w:rFonts w:ascii="Times New Roman" w:hAnsi="Times New Roman"/>
          <w:sz w:val="24"/>
        </w:rPr>
      </w:pPr>
      <w:r>
        <w:rPr>
          <w:rFonts w:ascii="Times New Roman" w:hAnsi="Times New Roman"/>
          <w:sz w:val="24"/>
        </w:rPr>
        <w:t>Environment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B</w:t>
      </w:r>
    </w:p>
    <w:p w14:paraId="2124D4B5" w14:textId="77777777" w:rsidR="009D3DC8" w:rsidRDefault="009D3DC8">
      <w:pPr>
        <w:spacing w:before="180" w:line="280" w:lineRule="atLeast"/>
        <w:rPr>
          <w:rFonts w:ascii="Times New Roman" w:hAnsi="Times New Roman"/>
          <w:sz w:val="24"/>
        </w:rPr>
      </w:pPr>
      <w:r>
        <w:rPr>
          <w:rFonts w:ascii="Times New Roman" w:hAnsi="Times New Roman"/>
          <w:sz w:val="24"/>
        </w:rPr>
        <w:t>Based on the description rules described in Table 2.4, that is, where the consequences of a pest with respect to one or more criteria are ‘</w:t>
      </w:r>
      <w:r>
        <w:rPr>
          <w:rFonts w:ascii="Times New Roman" w:hAnsi="Times New Roman"/>
          <w:b/>
          <w:sz w:val="24"/>
        </w:rPr>
        <w:t>E’</w:t>
      </w:r>
      <w:r>
        <w:rPr>
          <w:rFonts w:ascii="Times New Roman" w:hAnsi="Times New Roman"/>
          <w:sz w:val="24"/>
        </w:rPr>
        <w:t xml:space="preserve">, the overall consequences are estimated to be </w:t>
      </w:r>
      <w:r>
        <w:rPr>
          <w:rFonts w:ascii="Times New Roman" w:hAnsi="Times New Roman"/>
          <w:b/>
          <w:sz w:val="24"/>
        </w:rPr>
        <w:t>MODERATE</w:t>
      </w:r>
      <w:r>
        <w:rPr>
          <w:rFonts w:ascii="Times New Roman" w:hAnsi="Times New Roman"/>
          <w:sz w:val="24"/>
        </w:rPr>
        <w:t>.</w:t>
      </w:r>
    </w:p>
    <w:p w14:paraId="1D00EDA3" w14:textId="77777777" w:rsidR="009D3DC8" w:rsidRDefault="009D3DC8">
      <w:pPr>
        <w:pStyle w:val="Heading3"/>
        <w:numPr>
          <w:ilvl w:val="2"/>
          <w:numId w:val="8"/>
        </w:numPr>
        <w:spacing w:line="240" w:lineRule="auto"/>
      </w:pPr>
      <w:r>
        <w:lastRenderedPageBreak/>
        <w:t>Unrestricted risk estimate</w:t>
      </w:r>
    </w:p>
    <w:p w14:paraId="47A93D70" w14:textId="77777777" w:rsidR="009D3DC8" w:rsidRDefault="009D3DC8">
      <w:pPr>
        <w:spacing w:before="180" w:after="180" w:line="280" w:lineRule="atLeast"/>
        <w:rPr>
          <w:rFonts w:ascii="Times New Roman" w:hAnsi="Times New Roman"/>
          <w:sz w:val="24"/>
        </w:rPr>
      </w:pPr>
      <w:r>
        <w:rPr>
          <w:rFonts w:ascii="Times New Roman" w:hAnsi="Times New Roman"/>
          <w:sz w:val="24"/>
        </w:rPr>
        <w:t>Unrestricted risk is the result of combining the probability of entry, establishment and spread with the estimate of consequences. Probabilities and consequences are combined using the risk estimation matrix shown in Table 2.5.</w:t>
      </w:r>
    </w:p>
    <w:tbl>
      <w:tblPr>
        <w:tblW w:w="9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9"/>
        <w:gridCol w:w="2977"/>
      </w:tblGrid>
      <w:tr w:rsidR="009D3DC8" w14:paraId="131A3462" w14:textId="77777777">
        <w:tc>
          <w:tcPr>
            <w:tcW w:w="9436" w:type="dxa"/>
            <w:gridSpan w:val="2"/>
            <w:shd w:val="clear" w:color="auto" w:fill="E0E0E0"/>
          </w:tcPr>
          <w:p w14:paraId="42A6C682" w14:textId="77777777" w:rsidR="009D3DC8" w:rsidRDefault="009D3DC8">
            <w:pPr>
              <w:pStyle w:val="TableText1"/>
              <w:rPr>
                <w:rFonts w:ascii="Arial" w:hAnsi="Arial" w:cs="Arial"/>
                <w:b/>
              </w:rPr>
            </w:pPr>
            <w:r>
              <w:rPr>
                <w:rFonts w:ascii="Arial" w:hAnsi="Arial" w:cs="Arial"/>
                <w:b/>
              </w:rPr>
              <w:t xml:space="preserve">Unrestricted risk estimate for </w:t>
            </w:r>
            <w:r>
              <w:rPr>
                <w:rFonts w:ascii="Arial" w:hAnsi="Arial" w:cs="Arial"/>
                <w:b/>
                <w:i/>
                <w:szCs w:val="16"/>
              </w:rPr>
              <w:t>Tetranychus</w:t>
            </w:r>
            <w:r>
              <w:rPr>
                <w:rFonts w:cs="Arial"/>
                <w:b/>
                <w:i/>
                <w:szCs w:val="16"/>
              </w:rPr>
              <w:t xml:space="preserve"> </w:t>
            </w:r>
            <w:r>
              <w:rPr>
                <w:rFonts w:ascii="Arial" w:hAnsi="Arial" w:cs="Arial"/>
                <w:b/>
                <w:szCs w:val="16"/>
              </w:rPr>
              <w:t>spp</w:t>
            </w:r>
            <w:r>
              <w:rPr>
                <w:rFonts w:cs="Arial"/>
                <w:b/>
                <w:szCs w:val="16"/>
              </w:rPr>
              <w:t>.</w:t>
            </w:r>
          </w:p>
        </w:tc>
      </w:tr>
      <w:tr w:rsidR="009D3DC8" w14:paraId="46AB6B44" w14:textId="77777777">
        <w:tc>
          <w:tcPr>
            <w:tcW w:w="6459" w:type="dxa"/>
            <w:tcBorders>
              <w:bottom w:val="single" w:sz="8" w:space="0" w:color="C0C0C0"/>
            </w:tcBorders>
          </w:tcPr>
          <w:p w14:paraId="6F584E31" w14:textId="77777777" w:rsidR="009D3DC8" w:rsidRDefault="009D3DC8">
            <w:pPr>
              <w:pStyle w:val="TableText1"/>
              <w:rPr>
                <w:rFonts w:ascii="Arial" w:hAnsi="Arial" w:cs="Arial"/>
              </w:rPr>
            </w:pPr>
            <w:r>
              <w:rPr>
                <w:rFonts w:ascii="Arial" w:hAnsi="Arial" w:cs="Arial"/>
              </w:rPr>
              <w:t>Overall probability of entry, establishment and spread</w:t>
            </w:r>
          </w:p>
        </w:tc>
        <w:tc>
          <w:tcPr>
            <w:tcW w:w="2977" w:type="dxa"/>
            <w:tcBorders>
              <w:bottom w:val="single" w:sz="8" w:space="0" w:color="C0C0C0"/>
            </w:tcBorders>
          </w:tcPr>
          <w:p w14:paraId="29BCAFA7" w14:textId="77777777" w:rsidR="009D3DC8" w:rsidRDefault="009D3DC8">
            <w:pPr>
              <w:pStyle w:val="TableText1"/>
              <w:rPr>
                <w:rFonts w:ascii="Arial" w:hAnsi="Arial" w:cs="Arial"/>
              </w:rPr>
            </w:pPr>
            <w:r>
              <w:rPr>
                <w:rFonts w:ascii="Arial" w:hAnsi="Arial" w:cs="Arial"/>
              </w:rPr>
              <w:t>Low</w:t>
            </w:r>
          </w:p>
        </w:tc>
      </w:tr>
      <w:tr w:rsidR="009D3DC8" w14:paraId="0B1F96D7" w14:textId="77777777">
        <w:tc>
          <w:tcPr>
            <w:tcW w:w="6459" w:type="dxa"/>
            <w:tcBorders>
              <w:top w:val="single" w:sz="8" w:space="0" w:color="C0C0C0"/>
            </w:tcBorders>
          </w:tcPr>
          <w:p w14:paraId="393EE220" w14:textId="77777777" w:rsidR="009D3DC8" w:rsidRDefault="009D3DC8">
            <w:pPr>
              <w:pStyle w:val="TableText1"/>
              <w:rPr>
                <w:rFonts w:ascii="Arial" w:hAnsi="Arial" w:cs="Arial"/>
              </w:rPr>
            </w:pPr>
            <w:r>
              <w:rPr>
                <w:rFonts w:ascii="Arial" w:hAnsi="Arial" w:cs="Arial"/>
              </w:rPr>
              <w:t>Consequences</w:t>
            </w:r>
          </w:p>
        </w:tc>
        <w:tc>
          <w:tcPr>
            <w:tcW w:w="2977" w:type="dxa"/>
            <w:tcBorders>
              <w:top w:val="single" w:sz="8" w:space="0" w:color="C0C0C0"/>
            </w:tcBorders>
          </w:tcPr>
          <w:p w14:paraId="3C75B7F9" w14:textId="77777777" w:rsidR="009D3DC8" w:rsidRDefault="009D3DC8">
            <w:pPr>
              <w:pStyle w:val="TableText1"/>
              <w:rPr>
                <w:rFonts w:ascii="Arial" w:hAnsi="Arial" w:cs="Arial"/>
              </w:rPr>
            </w:pPr>
            <w:r>
              <w:rPr>
                <w:rFonts w:ascii="Arial" w:hAnsi="Arial" w:cs="Arial"/>
              </w:rPr>
              <w:t>Moderate</w:t>
            </w:r>
          </w:p>
        </w:tc>
      </w:tr>
      <w:tr w:rsidR="009D3DC8" w14:paraId="180A5EF4" w14:textId="77777777">
        <w:tc>
          <w:tcPr>
            <w:tcW w:w="6459" w:type="dxa"/>
          </w:tcPr>
          <w:p w14:paraId="55EA5F3D" w14:textId="77777777" w:rsidR="009D3DC8" w:rsidRDefault="009D3DC8">
            <w:pPr>
              <w:pStyle w:val="TableText1"/>
              <w:rPr>
                <w:rFonts w:ascii="Arial" w:hAnsi="Arial" w:cs="Arial"/>
              </w:rPr>
            </w:pPr>
            <w:r>
              <w:rPr>
                <w:rFonts w:ascii="Arial" w:hAnsi="Arial" w:cs="Arial"/>
              </w:rPr>
              <w:t>Unrestricted risk</w:t>
            </w:r>
          </w:p>
        </w:tc>
        <w:tc>
          <w:tcPr>
            <w:tcW w:w="2977" w:type="dxa"/>
          </w:tcPr>
          <w:p w14:paraId="1B549CA6" w14:textId="77777777" w:rsidR="009D3DC8" w:rsidRDefault="009D3DC8">
            <w:pPr>
              <w:pStyle w:val="TableText1"/>
              <w:rPr>
                <w:rFonts w:ascii="Arial" w:hAnsi="Arial" w:cs="Arial"/>
              </w:rPr>
            </w:pPr>
            <w:r>
              <w:rPr>
                <w:rFonts w:ascii="Arial" w:hAnsi="Arial" w:cs="Arial"/>
              </w:rPr>
              <w:t>Low</w:t>
            </w:r>
          </w:p>
        </w:tc>
      </w:tr>
    </w:tbl>
    <w:p w14:paraId="60E97787"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the unrestricted risk estimate for </w:t>
      </w:r>
      <w:r>
        <w:rPr>
          <w:rFonts w:ascii="Times New Roman" w:hAnsi="Times New Roman"/>
          <w:i/>
          <w:sz w:val="24"/>
        </w:rPr>
        <w:t>Tetranychus</w:t>
      </w:r>
      <w:r>
        <w:rPr>
          <w:rFonts w:ascii="Times New Roman" w:hAnsi="Times New Roman"/>
          <w:sz w:val="24"/>
        </w:rPr>
        <w:t xml:space="preserve"> spp. has been assessed as ‘low’, which is above Australia’s ALOP. Therefore, specific risk management measures are required for this pest.</w:t>
      </w:r>
    </w:p>
    <w:p w14:paraId="779B5B6B" w14:textId="77777777" w:rsidR="009D3DC8" w:rsidRDefault="009D3DC8">
      <w:pPr>
        <w:rPr>
          <w:sz w:val="24"/>
        </w:rPr>
      </w:pPr>
      <w:r>
        <w:br w:type="page"/>
      </w:r>
    </w:p>
    <w:p w14:paraId="1E0F0EDC" w14:textId="77777777" w:rsidR="009D3DC8" w:rsidRDefault="009D3DC8">
      <w:pPr>
        <w:pStyle w:val="Heading2"/>
        <w:numPr>
          <w:ilvl w:val="1"/>
          <w:numId w:val="8"/>
        </w:numPr>
        <w:spacing w:line="240" w:lineRule="auto"/>
      </w:pPr>
      <w:bookmarkStart w:id="76" w:name="_Toc325618442"/>
      <w:bookmarkStart w:id="77" w:name="_Toc261004329"/>
      <w:r>
        <w:t>Weevils [Coleoptera: Curculionidae]</w:t>
      </w:r>
      <w:bookmarkEnd w:id="76"/>
    </w:p>
    <w:p w14:paraId="42B9D27B" w14:textId="77777777" w:rsidR="009D3DC8" w:rsidRDefault="009D3DC8">
      <w:pPr>
        <w:spacing w:after="120"/>
        <w:rPr>
          <w:rFonts w:ascii="Arial" w:hAnsi="Arial" w:cs="Arial"/>
          <w:b/>
          <w:i/>
          <w:sz w:val="24"/>
        </w:rPr>
      </w:pPr>
      <w:r>
        <w:rPr>
          <w:rFonts w:ascii="Arial" w:hAnsi="Arial" w:cs="Arial"/>
          <w:b/>
          <w:i/>
          <w:sz w:val="24"/>
        </w:rPr>
        <w:t xml:space="preserve">Curculio </w:t>
      </w:r>
      <w:r>
        <w:rPr>
          <w:rFonts w:ascii="Arial" w:hAnsi="Arial" w:cs="Arial"/>
          <w:b/>
          <w:sz w:val="24"/>
        </w:rPr>
        <w:t>sp</w:t>
      </w:r>
      <w:r>
        <w:rPr>
          <w:rFonts w:ascii="Arial" w:hAnsi="Arial" w:cs="Arial"/>
          <w:b/>
          <w:i/>
          <w:sz w:val="24"/>
        </w:rPr>
        <w:t>.</w:t>
      </w:r>
    </w:p>
    <w:p w14:paraId="6DCC9A3D" w14:textId="77777777" w:rsidR="009D3DC8" w:rsidRDefault="009D3DC8">
      <w:pPr>
        <w:spacing w:before="180" w:line="280" w:lineRule="atLeast"/>
        <w:rPr>
          <w:rFonts w:ascii="Times New Roman" w:hAnsi="Times New Roman"/>
          <w:sz w:val="24"/>
        </w:rPr>
      </w:pPr>
      <w:r>
        <w:rPr>
          <w:rFonts w:ascii="Times New Roman" w:hAnsi="Times New Roman"/>
          <w:i/>
          <w:sz w:val="24"/>
        </w:rPr>
        <w:t>Curculio</w:t>
      </w:r>
      <w:r>
        <w:rPr>
          <w:rFonts w:ascii="Times New Roman" w:hAnsi="Times New Roman"/>
          <w:sz w:val="24"/>
        </w:rPr>
        <w:t xml:space="preserve"> sp. belongs to the weevil family Curculionidae and the subfamily Curculioninae. Weevils of this group are commonly known as ‘flower weevils’, as the larvae tend to develop within the reproductive plant organs such as flowers, fruit or seeds (Oberprieler</w:t>
      </w:r>
      <w:r>
        <w:rPr>
          <w:rFonts w:ascii="Times New Roman" w:hAnsi="Times New Roman"/>
          <w:i/>
          <w:sz w:val="24"/>
        </w:rPr>
        <w:t xml:space="preserve"> et al.</w:t>
      </w:r>
      <w:r>
        <w:rPr>
          <w:rFonts w:ascii="Times New Roman" w:hAnsi="Times New Roman"/>
          <w:sz w:val="24"/>
        </w:rPr>
        <w:t xml:space="preserve"> 2007).</w:t>
      </w:r>
    </w:p>
    <w:p w14:paraId="5D460308"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genus </w:t>
      </w:r>
      <w:r>
        <w:rPr>
          <w:rFonts w:ascii="Times New Roman" w:hAnsi="Times New Roman"/>
          <w:i/>
          <w:sz w:val="24"/>
        </w:rPr>
        <w:t>Curculio</w:t>
      </w:r>
      <w:r>
        <w:rPr>
          <w:rFonts w:ascii="Times New Roman" w:hAnsi="Times New Roman"/>
          <w:sz w:val="24"/>
        </w:rPr>
        <w:t xml:space="preserve"> is a large group of weevils distributed across Asia, Europe, Africa and North America. A number of </w:t>
      </w:r>
      <w:r>
        <w:rPr>
          <w:rFonts w:ascii="Times New Roman" w:hAnsi="Times New Roman"/>
          <w:i/>
          <w:sz w:val="24"/>
        </w:rPr>
        <w:t>Curculio</w:t>
      </w:r>
      <w:r>
        <w:rPr>
          <w:rFonts w:ascii="Times New Roman" w:hAnsi="Times New Roman"/>
          <w:sz w:val="24"/>
        </w:rPr>
        <w:t xml:space="preserve"> spp. are endemic to the Oriental region (Hughes and Vogler 2004), including Indonesia (Kalshoven 1981; Nasuton 2006).</w:t>
      </w:r>
    </w:p>
    <w:p w14:paraId="61EF20E5"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Most species of </w:t>
      </w:r>
      <w:r>
        <w:rPr>
          <w:rFonts w:ascii="Times New Roman" w:hAnsi="Times New Roman"/>
          <w:i/>
          <w:sz w:val="24"/>
        </w:rPr>
        <w:t xml:space="preserve">Curculio </w:t>
      </w:r>
      <w:r>
        <w:rPr>
          <w:rFonts w:ascii="Times New Roman" w:hAnsi="Times New Roman"/>
          <w:sz w:val="24"/>
        </w:rPr>
        <w:t xml:space="preserve">breed in the nuts of host plants from the Fagaceae and Betulaceae families. However, </w:t>
      </w:r>
      <w:r>
        <w:rPr>
          <w:rFonts w:ascii="Times New Roman" w:hAnsi="Times New Roman"/>
          <w:i/>
          <w:sz w:val="24"/>
        </w:rPr>
        <w:t xml:space="preserve">Curculio </w:t>
      </w:r>
      <w:r>
        <w:rPr>
          <w:rFonts w:ascii="Times New Roman" w:hAnsi="Times New Roman"/>
          <w:sz w:val="24"/>
        </w:rPr>
        <w:t>sp. is a major pest of mangosteen in Indonesia (Osman and Milan 2006; Nasuton 2006).</w:t>
      </w:r>
    </w:p>
    <w:p w14:paraId="2DCDECF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In general, </w:t>
      </w:r>
      <w:r>
        <w:rPr>
          <w:rFonts w:ascii="Times New Roman" w:hAnsi="Times New Roman"/>
          <w:i/>
          <w:sz w:val="24"/>
        </w:rPr>
        <w:t>Curculio</w:t>
      </w:r>
      <w:r>
        <w:rPr>
          <w:rFonts w:ascii="Times New Roman" w:hAnsi="Times New Roman"/>
          <w:sz w:val="24"/>
        </w:rPr>
        <w:t xml:space="preserve"> weevils are small hard</w:t>
      </w:r>
      <w:r>
        <w:rPr>
          <w:rFonts w:ascii="Times New Roman" w:hAnsi="Times New Roman"/>
          <w:b/>
          <w:sz w:val="24"/>
        </w:rPr>
        <w:t>-</w:t>
      </w:r>
      <w:r>
        <w:rPr>
          <w:rFonts w:ascii="Times New Roman" w:hAnsi="Times New Roman"/>
          <w:sz w:val="24"/>
        </w:rPr>
        <w:t xml:space="preserve">bodied insects with characteristically long snouts. The snout has small, saw-like teeth at the very end which is used to pierce the nutshell of host plants for oviposition (Kalshoven 1981). Females excavate one or more egg chambers near or in the inner surface of the shell, insert their ovipositors into the hole, and deposit the eggs into each chamber (Gibson 1985; Hughes and Vogler 2004). The eggs usually hatch in 5–14 days and the larvae feed on the nut flesh (Gibson 1985). Depending on the species, larvae development may take two to several weeks (Gibson 1985). When mature, the larvae cut an exit hole in the nutshell. This action may take a few hours to a few days depending on the thickness and hardness of the shell (Gibson 1985). The larvae emerge from the nut and drops to the soil to pupate. Depending on the species, the larvae diapause for 1–2 years before first pupation. The pupal period usually lasts 2–3 weeks (Gibson 1985). On emergence, the adult weevil moves to a nearby tree bearing nuts. Rarely are </w:t>
      </w:r>
      <w:r>
        <w:rPr>
          <w:rFonts w:ascii="Times New Roman" w:hAnsi="Times New Roman"/>
          <w:i/>
          <w:sz w:val="24"/>
        </w:rPr>
        <w:t xml:space="preserve">Curculio </w:t>
      </w:r>
      <w:r>
        <w:rPr>
          <w:rFonts w:ascii="Times New Roman" w:hAnsi="Times New Roman"/>
          <w:sz w:val="24"/>
        </w:rPr>
        <w:t>weevils found on trees without fruit (Gibson 1985).</w:t>
      </w:r>
    </w:p>
    <w:p w14:paraId="5008E8FE"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Although species of the genus </w:t>
      </w:r>
      <w:r>
        <w:rPr>
          <w:rFonts w:ascii="Times New Roman" w:hAnsi="Times New Roman"/>
          <w:i/>
          <w:sz w:val="24"/>
        </w:rPr>
        <w:t xml:space="preserve">Curculio </w:t>
      </w:r>
      <w:r>
        <w:rPr>
          <w:rFonts w:ascii="Times New Roman" w:hAnsi="Times New Roman"/>
          <w:sz w:val="24"/>
        </w:rPr>
        <w:t xml:space="preserve">are considered ‘nut weevils’ as they are mainly associated with host plants that bear nuts, they have been found feeding and breeding in mangosteen fruit in Indonesia (Nasuton 2006). </w:t>
      </w:r>
      <w:r>
        <w:rPr>
          <w:rFonts w:ascii="Times New Roman" w:hAnsi="Times New Roman"/>
          <w:i/>
          <w:sz w:val="24"/>
        </w:rPr>
        <w:t xml:space="preserve">Curculio </w:t>
      </w:r>
      <w:r>
        <w:rPr>
          <w:rFonts w:ascii="Times New Roman" w:hAnsi="Times New Roman"/>
          <w:sz w:val="24"/>
        </w:rPr>
        <w:t>sp. can produce up to eight larvae within the mangosteen fruit (Osman and Milan 2006). The larvae complete their development within the mangosteen fruit, feeding on the mesocarp (skin flesh), aril (fleshy seed cover) and seed (Osman and Milan 2006). The larvae will simultaneously become mature as the mangosteen fruit ripens (Nasuton 2006). The mature larvae cut exit holes near the calyx and leave the fruit to pupate in the soil to emerge as an adult (Osman and Milan 2006).</w:t>
      </w:r>
    </w:p>
    <w:p w14:paraId="00DF3EA1"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risk scenario of concern for </w:t>
      </w:r>
      <w:r>
        <w:rPr>
          <w:rFonts w:ascii="Times New Roman" w:hAnsi="Times New Roman"/>
          <w:i/>
          <w:sz w:val="24"/>
        </w:rPr>
        <w:t>Curculio</w:t>
      </w:r>
      <w:r>
        <w:rPr>
          <w:rFonts w:ascii="Times New Roman" w:hAnsi="Times New Roman"/>
          <w:sz w:val="24"/>
        </w:rPr>
        <w:t xml:space="preserve"> sp. is the presence of eggs and larvae within imported mangosteen fruit.</w:t>
      </w:r>
    </w:p>
    <w:p w14:paraId="0F725E9D" w14:textId="77777777" w:rsidR="009D3DC8" w:rsidRDefault="009D3DC8">
      <w:pPr>
        <w:pStyle w:val="Heading3"/>
        <w:numPr>
          <w:ilvl w:val="2"/>
          <w:numId w:val="8"/>
        </w:numPr>
        <w:spacing w:line="240" w:lineRule="auto"/>
      </w:pPr>
      <w:r>
        <w:t>Probability of entry</w:t>
      </w:r>
    </w:p>
    <w:p w14:paraId="31A46263" w14:textId="77777777" w:rsidR="009D3DC8" w:rsidRDefault="009D3DC8">
      <w:pPr>
        <w:spacing w:before="180" w:line="280" w:lineRule="atLeast"/>
        <w:rPr>
          <w:rFonts w:ascii="Times New Roman" w:hAnsi="Times New Roman"/>
          <w:sz w:val="24"/>
        </w:rPr>
      </w:pPr>
      <w:r>
        <w:rPr>
          <w:rFonts w:ascii="Times New Roman" w:hAnsi="Times New Roman"/>
          <w:sz w:val="24"/>
        </w:rPr>
        <w:t>The probability of entry is considered in two parts, the probability of importation and the probability of distribution, which consider pre-border and post-border issues, respectively.</w:t>
      </w:r>
    </w:p>
    <w:p w14:paraId="0A5F3B89"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lastRenderedPageBreak/>
        <w:t>Probability of importation</w:t>
      </w:r>
    </w:p>
    <w:p w14:paraId="027B9E26" w14:textId="77777777" w:rsidR="009D3DC8" w:rsidRDefault="009D3DC8">
      <w:pPr>
        <w:spacing w:before="180" w:line="280" w:lineRule="atLeast"/>
        <w:rPr>
          <w:rFonts w:ascii="Times New Roman" w:hAnsi="Times New Roman"/>
          <w:b/>
          <w:sz w:val="24"/>
        </w:rPr>
      </w:pPr>
      <w:r>
        <w:rPr>
          <w:rFonts w:ascii="Times New Roman" w:hAnsi="Times New Roman"/>
          <w:sz w:val="24"/>
        </w:rPr>
        <w:t xml:space="preserve">The likelihood that </w:t>
      </w:r>
      <w:r>
        <w:rPr>
          <w:rFonts w:ascii="Times New Roman" w:hAnsi="Times New Roman"/>
          <w:i/>
          <w:sz w:val="24"/>
        </w:rPr>
        <w:t>Curculio</w:t>
      </w:r>
      <w:r>
        <w:rPr>
          <w:rFonts w:ascii="Times New Roman" w:hAnsi="Times New Roman"/>
          <w:sz w:val="24"/>
        </w:rPr>
        <w:t xml:space="preserve"> sp. will arrive in Australia with the importation of mangosteen fruit from Indonesia is: </w:t>
      </w:r>
      <w:r>
        <w:rPr>
          <w:rFonts w:ascii="Times New Roman" w:hAnsi="Times New Roman"/>
          <w:b/>
          <w:sz w:val="24"/>
        </w:rPr>
        <w:t>HIGH</w:t>
      </w:r>
      <w:r>
        <w:rPr>
          <w:rFonts w:ascii="Times New Roman" w:hAnsi="Times New Roman"/>
          <w:sz w:val="24"/>
        </w:rPr>
        <w:t>.</w:t>
      </w:r>
    </w:p>
    <w:p w14:paraId="5B6EC971"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4432EE0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Curculio </w:t>
      </w:r>
      <w:r>
        <w:rPr>
          <w:rFonts w:ascii="Times New Roman" w:hAnsi="Times New Roman"/>
        </w:rPr>
        <w:t>sp. affecting mangosteen occurs in Indonesia (Nasuton 2006).</w:t>
      </w:r>
    </w:p>
    <w:p w14:paraId="70E1450C"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Female </w:t>
      </w:r>
      <w:r>
        <w:rPr>
          <w:rFonts w:ascii="Times New Roman" w:hAnsi="Times New Roman"/>
          <w:i/>
        </w:rPr>
        <w:t xml:space="preserve">Curculio </w:t>
      </w:r>
      <w:r>
        <w:rPr>
          <w:rFonts w:ascii="Times New Roman" w:hAnsi="Times New Roman"/>
        </w:rPr>
        <w:t xml:space="preserve">sp. lay their eggs within the mangosteen fruit. In the genus </w:t>
      </w:r>
      <w:r>
        <w:rPr>
          <w:rFonts w:ascii="Times New Roman" w:hAnsi="Times New Roman"/>
          <w:i/>
        </w:rPr>
        <w:t>Curculio</w:t>
      </w:r>
      <w:r>
        <w:rPr>
          <w:rFonts w:ascii="Times New Roman" w:hAnsi="Times New Roman"/>
        </w:rPr>
        <w:t>, the snout is used to drill a hole through the rind of fruit where the eggs are inserted using a long ovipositor that descends from the female’s abdomen (Kalshoven 1981; Hughes and Vogler 2004).</w:t>
      </w:r>
    </w:p>
    <w:p w14:paraId="0D22CF67"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After the eggs hatch, the larvae feed within the mangosteen fruit, consuming the mesocarp, aril and seed (Osman and Milan 2006; Nasuton 2006).</w:t>
      </w:r>
    </w:p>
    <w:p w14:paraId="0B7B6795"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Infested mangosteen fruit are likely to be harvested as the larvae complete their development within the mangosteen fruit, simultaneously maturing as the mangosteen fruit ripens (Osman and Milan 2006; Nasuton 2006).</w:t>
      </w:r>
    </w:p>
    <w:p w14:paraId="18416558"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The brushing process is likely to dislodge any adult </w:t>
      </w:r>
      <w:r>
        <w:rPr>
          <w:rFonts w:ascii="Times New Roman" w:hAnsi="Times New Roman"/>
          <w:i/>
        </w:rPr>
        <w:t>Curculio</w:t>
      </w:r>
      <w:r>
        <w:rPr>
          <w:rFonts w:ascii="Times New Roman" w:hAnsi="Times New Roman"/>
        </w:rPr>
        <w:t xml:space="preserve"> sp. on the surface of the fruit. However, eggs and larvae develop within the mangosteen fruit (Osman and Milan 2006; Nasuton 2006)</w:t>
      </w:r>
      <w:r>
        <w:rPr>
          <w:rFonts w:ascii="Times New Roman" w:hAnsi="Times New Roman"/>
          <w:i/>
        </w:rPr>
        <w:t xml:space="preserve"> </w:t>
      </w:r>
      <w:r>
        <w:rPr>
          <w:rFonts w:ascii="Times New Roman" w:hAnsi="Times New Roman"/>
        </w:rPr>
        <w:t>and</w:t>
      </w:r>
      <w:r>
        <w:rPr>
          <w:rFonts w:ascii="Times New Roman" w:hAnsi="Times New Roman"/>
          <w:i/>
        </w:rPr>
        <w:t xml:space="preserve"> </w:t>
      </w:r>
      <w:r>
        <w:rPr>
          <w:rFonts w:ascii="Times New Roman" w:hAnsi="Times New Roman"/>
        </w:rPr>
        <w:t>would not be removed by external brushing.</w:t>
      </w:r>
    </w:p>
    <w:p w14:paraId="1FD9ACE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Immature mangosteen fruit (maturity index 2–3) have a thick pericarp filled with sticky resinous latex that is released when fruit is damaged (Unahawutti and Oonthonglang 2002; Dorly</w:t>
      </w:r>
      <w:r>
        <w:rPr>
          <w:rFonts w:ascii="Times New Roman" w:hAnsi="Times New Roman"/>
          <w:i/>
        </w:rPr>
        <w:t xml:space="preserve"> et al.</w:t>
      </w:r>
      <w:r>
        <w:rPr>
          <w:rFonts w:ascii="Times New Roman" w:hAnsi="Times New Roman"/>
        </w:rPr>
        <w:t xml:space="preserve"> 2009). The yellow latex excreted as a result of the entry wounds made by the female for oviposition may be detected during the sorting, grading and packing process and lead to the removal of some infested fruit from the export pathway.</w:t>
      </w:r>
    </w:p>
    <w:p w14:paraId="7CC9C0EC" w14:textId="77777777" w:rsidR="009D3DC8" w:rsidRDefault="009D3DC8">
      <w:pPr>
        <w:spacing w:before="180" w:line="280" w:lineRule="atLeast"/>
        <w:rPr>
          <w:rFonts w:ascii="Times New Roman" w:hAnsi="Times New Roman"/>
          <w:sz w:val="24"/>
        </w:rPr>
      </w:pPr>
      <w:r>
        <w:rPr>
          <w:rFonts w:ascii="Times New Roman" w:hAnsi="Times New Roman"/>
          <w:sz w:val="24"/>
        </w:rPr>
        <w:t>The host status of mangosteen and the development of eggs and larvae within the fruit support a likelihood estimate for importation of ‘high’.</w:t>
      </w:r>
    </w:p>
    <w:p w14:paraId="62FB1CBC"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Probability of distribution</w:t>
      </w:r>
    </w:p>
    <w:p w14:paraId="568A5401"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Curculio</w:t>
      </w:r>
      <w:r>
        <w:rPr>
          <w:rFonts w:ascii="Times New Roman" w:hAnsi="Times New Roman"/>
          <w:sz w:val="24"/>
        </w:rPr>
        <w:t xml:space="preserve"> sp. will be distributed within Australia in a viable state as a result of the processing, sale or disposal of mangosteen fruit from Indonesia and subsequently transfer to a susceptible part of a host is: </w:t>
      </w:r>
      <w:r>
        <w:rPr>
          <w:rFonts w:ascii="Times New Roman" w:hAnsi="Times New Roman"/>
          <w:b/>
          <w:sz w:val="24"/>
        </w:rPr>
        <w:t>LOW</w:t>
      </w:r>
      <w:r>
        <w:rPr>
          <w:rFonts w:ascii="Times New Roman" w:hAnsi="Times New Roman"/>
          <w:sz w:val="24"/>
        </w:rPr>
        <w:t>.</w:t>
      </w:r>
    </w:p>
    <w:p w14:paraId="13C57FEF"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1AC9B7F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Mangosteen fruit may be distributed throughout Australia for retail sale, as the intended use of the commodity is human consumption. </w:t>
      </w:r>
      <w:r>
        <w:rPr>
          <w:rFonts w:ascii="Times New Roman" w:hAnsi="Times New Roman"/>
          <w:i/>
        </w:rPr>
        <w:t xml:space="preserve">Curculio </w:t>
      </w:r>
      <w:r>
        <w:rPr>
          <w:rFonts w:ascii="Times New Roman" w:hAnsi="Times New Roman"/>
        </w:rPr>
        <w:t>sp. eggs and larvae are found within the mangosteen fruit and are unlikely to be detected during retail distribution. The pest may enter the environment as larvae discarded with infested mangosteen fruit.</w:t>
      </w:r>
    </w:p>
    <w:p w14:paraId="47A229EF"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After arriving in Australia, </w:t>
      </w:r>
      <w:r>
        <w:rPr>
          <w:rFonts w:ascii="Times New Roman" w:hAnsi="Times New Roman"/>
          <w:i/>
        </w:rPr>
        <w:t xml:space="preserve">Curculio </w:t>
      </w:r>
      <w:r>
        <w:rPr>
          <w:rFonts w:ascii="Times New Roman" w:hAnsi="Times New Roman"/>
        </w:rPr>
        <w:t>sp. larvae would need to complete their development within the fruit, exit the fruit, and pupate in a suitable substrate (i.e. soil) to emerge as adults.</w:t>
      </w:r>
    </w:p>
    <w:p w14:paraId="332F950F"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Disposal of infested fruit is likely to be by commercial or domestic rubbish systems or where the fruit is consumed. Some discarded mangosteen fruit may end up close to the soil. </w:t>
      </w:r>
    </w:p>
    <w:p w14:paraId="4376351E"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Infested fruit would need to be discarded near a suitable host so that following pupation the adult will emerge close to a food source. Generally, </w:t>
      </w:r>
      <w:r>
        <w:rPr>
          <w:rFonts w:ascii="Times New Roman" w:hAnsi="Times New Roman"/>
          <w:i/>
        </w:rPr>
        <w:t xml:space="preserve">Curculio </w:t>
      </w:r>
      <w:r>
        <w:rPr>
          <w:rFonts w:ascii="Times New Roman" w:hAnsi="Times New Roman"/>
        </w:rPr>
        <w:t>spp. are host</w:t>
      </w:r>
      <w:r>
        <w:rPr>
          <w:rFonts w:ascii="Times New Roman" w:hAnsi="Times New Roman"/>
          <w:b/>
        </w:rPr>
        <w:t>-</w:t>
      </w:r>
      <w:r>
        <w:rPr>
          <w:rFonts w:ascii="Times New Roman" w:hAnsi="Times New Roman"/>
        </w:rPr>
        <w:t xml:space="preserve">specific </w:t>
      </w:r>
      <w:r>
        <w:rPr>
          <w:rFonts w:ascii="Times New Roman" w:hAnsi="Times New Roman"/>
        </w:rPr>
        <w:lastRenderedPageBreak/>
        <w:t xml:space="preserve">(Anderson 1993), and mangosteens are grown in small areas of far-north Queensland and the Northern Territory. Locating a suitable host would limit the chance of </w:t>
      </w:r>
      <w:r>
        <w:rPr>
          <w:rFonts w:ascii="Times New Roman" w:hAnsi="Times New Roman"/>
          <w:i/>
        </w:rPr>
        <w:t xml:space="preserve">Curculio </w:t>
      </w:r>
      <w:r>
        <w:rPr>
          <w:rFonts w:ascii="Times New Roman" w:hAnsi="Times New Roman"/>
        </w:rPr>
        <w:t>sp. to complete its life cycle.</w:t>
      </w:r>
    </w:p>
    <w:p w14:paraId="28E0A37B"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evidence that infested fruit may be distributed undetected moderated by the ability of </w:t>
      </w:r>
      <w:r>
        <w:rPr>
          <w:rFonts w:ascii="Times New Roman" w:hAnsi="Times New Roman"/>
          <w:i/>
          <w:sz w:val="24"/>
        </w:rPr>
        <w:t xml:space="preserve">Curculio </w:t>
      </w:r>
      <w:r>
        <w:rPr>
          <w:rFonts w:ascii="Times New Roman" w:hAnsi="Times New Roman"/>
          <w:sz w:val="24"/>
        </w:rPr>
        <w:t>sp. to complete its life cycle near a suitable host and pupation site support a likelihood estimate for distribution of ‘low’.</w:t>
      </w:r>
    </w:p>
    <w:p w14:paraId="4CEC6885"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 xml:space="preserve">Overall probability of entry (importation </w:t>
      </w:r>
      <w:r>
        <w:rPr>
          <w:rFonts w:ascii="Times New Roman" w:hAnsi="Times New Roman" w:cs="Arial"/>
          <w:i w:val="0"/>
          <w:iCs w:val="0"/>
          <w:color w:val="000000"/>
          <w:sz w:val="24"/>
          <w:szCs w:val="28"/>
        </w:rPr>
        <w:sym w:font="Symbol" w:char="F0B4"/>
      </w:r>
      <w:r>
        <w:rPr>
          <w:rFonts w:ascii="Times New Roman" w:hAnsi="Times New Roman" w:cs="Arial"/>
          <w:i w:val="0"/>
          <w:iCs w:val="0"/>
          <w:color w:val="000000"/>
          <w:sz w:val="24"/>
          <w:szCs w:val="28"/>
        </w:rPr>
        <w:t xml:space="preserve"> distribution)</w:t>
      </w:r>
    </w:p>
    <w:p w14:paraId="2472910E"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is determined by combining the probabilities of importation and of distribution using the matrix of rules shown in Table 2.2.</w:t>
      </w:r>
    </w:p>
    <w:p w14:paraId="5A339EA6"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Curculio</w:t>
      </w:r>
      <w:r>
        <w:rPr>
          <w:rFonts w:ascii="Times New Roman" w:hAnsi="Times New Roman"/>
          <w:sz w:val="24"/>
        </w:rPr>
        <w:t xml:space="preserve"> sp. will enter Australia as a result of trade in mangosteen fruit from Indonesia and be distributed in a viable state to a susceptible host is: </w:t>
      </w:r>
      <w:r>
        <w:rPr>
          <w:rFonts w:ascii="Times New Roman" w:hAnsi="Times New Roman"/>
          <w:b/>
          <w:sz w:val="24"/>
        </w:rPr>
        <w:t>LOW</w:t>
      </w:r>
      <w:r>
        <w:rPr>
          <w:rFonts w:ascii="Times New Roman" w:hAnsi="Times New Roman"/>
          <w:sz w:val="24"/>
        </w:rPr>
        <w:t>.</w:t>
      </w:r>
    </w:p>
    <w:p w14:paraId="095A3AF9" w14:textId="77777777" w:rsidR="009D3DC8" w:rsidRDefault="009D3DC8">
      <w:pPr>
        <w:pStyle w:val="Heading3"/>
        <w:numPr>
          <w:ilvl w:val="2"/>
          <w:numId w:val="8"/>
        </w:numPr>
        <w:spacing w:line="240" w:lineRule="auto"/>
      </w:pPr>
      <w:r>
        <w:t>Probability of establishment</w:t>
      </w:r>
    </w:p>
    <w:p w14:paraId="65950ED0"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Curculio</w:t>
      </w:r>
      <w:r>
        <w:rPr>
          <w:rFonts w:ascii="Times New Roman" w:hAnsi="Times New Roman"/>
          <w:sz w:val="24"/>
        </w:rPr>
        <w:t xml:space="preserve"> sp. will establish within Australia, based on a comparison of factors in the source and destination areas that affect pest survival and reproduction is: </w:t>
      </w:r>
      <w:r>
        <w:rPr>
          <w:rFonts w:ascii="Times New Roman" w:hAnsi="Times New Roman"/>
          <w:b/>
          <w:sz w:val="24"/>
        </w:rPr>
        <w:t>LOW</w:t>
      </w:r>
      <w:r>
        <w:rPr>
          <w:rFonts w:ascii="Times New Roman" w:hAnsi="Times New Roman"/>
          <w:sz w:val="24"/>
        </w:rPr>
        <w:t>.</w:t>
      </w:r>
    </w:p>
    <w:p w14:paraId="22662FC9"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4543ECE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Mangosteens are a host of </w:t>
      </w:r>
      <w:r>
        <w:rPr>
          <w:rFonts w:ascii="Times New Roman" w:hAnsi="Times New Roman"/>
          <w:i/>
        </w:rPr>
        <w:t>Curculio</w:t>
      </w:r>
      <w:r>
        <w:rPr>
          <w:rFonts w:ascii="Times New Roman" w:hAnsi="Times New Roman"/>
        </w:rPr>
        <w:t xml:space="preserve"> sp. in Indonesia. Generally, </w:t>
      </w:r>
      <w:r>
        <w:rPr>
          <w:rFonts w:ascii="Times New Roman" w:hAnsi="Times New Roman"/>
          <w:i/>
        </w:rPr>
        <w:t xml:space="preserve">Curculio </w:t>
      </w:r>
      <w:r>
        <w:rPr>
          <w:rFonts w:ascii="Times New Roman" w:hAnsi="Times New Roman"/>
        </w:rPr>
        <w:t xml:space="preserve">spp. are host specific (Anderson 1993) which limits the ability for </w:t>
      </w:r>
      <w:r>
        <w:rPr>
          <w:rFonts w:ascii="Times New Roman" w:hAnsi="Times New Roman"/>
          <w:i/>
        </w:rPr>
        <w:t xml:space="preserve">Curculio </w:t>
      </w:r>
      <w:r>
        <w:rPr>
          <w:rFonts w:ascii="Times New Roman" w:hAnsi="Times New Roman"/>
        </w:rPr>
        <w:t>sp. to establish in an area deficient of specific host plants.</w:t>
      </w:r>
    </w:p>
    <w:p w14:paraId="59E49E01"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Curculio </w:t>
      </w:r>
      <w:r>
        <w:rPr>
          <w:rFonts w:ascii="Times New Roman" w:hAnsi="Times New Roman"/>
        </w:rPr>
        <w:t xml:space="preserve">sp. is present in the Indonesia where the climate is tropical. Climatic conditions would allow the establishment of </w:t>
      </w:r>
      <w:r>
        <w:rPr>
          <w:rFonts w:ascii="Times New Roman" w:hAnsi="Times New Roman"/>
          <w:i/>
        </w:rPr>
        <w:t xml:space="preserve">Curculio </w:t>
      </w:r>
      <w:r>
        <w:rPr>
          <w:rFonts w:ascii="Times New Roman" w:hAnsi="Times New Roman"/>
        </w:rPr>
        <w:t>sp. in some areas of Australia.</w:t>
      </w:r>
    </w:p>
    <w:p w14:paraId="328E73C4"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Curculio</w:t>
      </w:r>
      <w:r>
        <w:rPr>
          <w:rFonts w:ascii="Times New Roman" w:hAnsi="Times New Roman"/>
        </w:rPr>
        <w:t xml:space="preserve"> sp. reproduces sexually. Adults need to emerge from the soil in close proximity to susceptible hosts to ensure adult females can locate a male to mate with and then find a suitable host in which to lay their eggs.</w:t>
      </w:r>
    </w:p>
    <w:p w14:paraId="1DFBF328"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Curculio</w:t>
      </w:r>
      <w:r>
        <w:rPr>
          <w:rFonts w:ascii="Times New Roman" w:hAnsi="Times New Roman"/>
        </w:rPr>
        <w:t xml:space="preserve"> sp. larvae pupate in the soil. In general, adults emerge from the soil the following year. However, some larvae of the genus may not pupate until as long as five years after entering the soil (Gibson 1985). The long development time required to complete one generation may limit the ability for a population to establish. However, the ability of insect populations to defer pupation for extended periods may increase the chance that a population will persist.</w:t>
      </w:r>
    </w:p>
    <w:p w14:paraId="65AC0DE9"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Natural enemies such as parasitic wasps, entomopathogenic fungi, entomopathogenic nematodes, and some ants (Paparatti and Speranza 2005; Bruck and Walton 2007) affect other </w:t>
      </w:r>
      <w:r>
        <w:rPr>
          <w:rFonts w:ascii="Times New Roman" w:hAnsi="Times New Roman"/>
          <w:i/>
        </w:rPr>
        <w:t>Curculio</w:t>
      </w:r>
      <w:r>
        <w:rPr>
          <w:rFonts w:ascii="Times New Roman" w:hAnsi="Times New Roman"/>
        </w:rPr>
        <w:t xml:space="preserve"> spp., and similar organisms may prevent mangosteen –specific </w:t>
      </w:r>
      <w:r>
        <w:rPr>
          <w:rFonts w:ascii="Times New Roman" w:hAnsi="Times New Roman"/>
          <w:i/>
        </w:rPr>
        <w:t xml:space="preserve">Curculio </w:t>
      </w:r>
      <w:r>
        <w:rPr>
          <w:rFonts w:ascii="Times New Roman" w:hAnsi="Times New Roman"/>
        </w:rPr>
        <w:t>sp. from establishing in Australia. Suitable natural enemies may be present in Australia, but their impact is unknown.</w:t>
      </w:r>
    </w:p>
    <w:p w14:paraId="149E8F52" w14:textId="77777777" w:rsidR="009D3DC8" w:rsidRDefault="009D3DC8">
      <w:pPr>
        <w:spacing w:before="180" w:line="280" w:lineRule="atLeast"/>
        <w:rPr>
          <w:rFonts w:ascii="Times New Roman" w:hAnsi="Times New Roman"/>
          <w:sz w:val="24"/>
        </w:rPr>
      </w:pPr>
      <w:r>
        <w:rPr>
          <w:rFonts w:ascii="Times New Roman" w:hAnsi="Times New Roman"/>
          <w:sz w:val="24"/>
        </w:rPr>
        <w:t>The limited host range, the need to find a mate for sexual reproduction and the long generation times support a likelihood estimate for establishment of ‘low’.</w:t>
      </w:r>
    </w:p>
    <w:p w14:paraId="21ECF0F1" w14:textId="77777777" w:rsidR="009D3DC8" w:rsidRDefault="009D3DC8">
      <w:pPr>
        <w:pStyle w:val="Heading3"/>
        <w:numPr>
          <w:ilvl w:val="2"/>
          <w:numId w:val="8"/>
        </w:numPr>
        <w:spacing w:line="240" w:lineRule="auto"/>
      </w:pPr>
      <w:r>
        <w:lastRenderedPageBreak/>
        <w:t>Probability of spread</w:t>
      </w:r>
    </w:p>
    <w:p w14:paraId="19E41137"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Curculio</w:t>
      </w:r>
      <w:r>
        <w:rPr>
          <w:rFonts w:ascii="Times New Roman" w:hAnsi="Times New Roman"/>
          <w:sz w:val="24"/>
        </w:rPr>
        <w:t xml:space="preserve"> sp. will spread within Australia, based on a comparison of factors in the source and destination areas that affect the expansion of the geographic distribution of the pest is: </w:t>
      </w:r>
      <w:r>
        <w:rPr>
          <w:rFonts w:ascii="Times New Roman" w:hAnsi="Times New Roman"/>
          <w:b/>
          <w:sz w:val="24"/>
        </w:rPr>
        <w:t>MODERATE</w:t>
      </w:r>
      <w:r>
        <w:rPr>
          <w:rFonts w:ascii="Times New Roman" w:hAnsi="Times New Roman"/>
          <w:sz w:val="24"/>
        </w:rPr>
        <w:t>.</w:t>
      </w:r>
    </w:p>
    <w:p w14:paraId="5D751F47"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713DDEC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Generally, </w:t>
      </w:r>
      <w:r>
        <w:rPr>
          <w:rFonts w:ascii="Times New Roman" w:hAnsi="Times New Roman"/>
          <w:i/>
        </w:rPr>
        <w:t xml:space="preserve">Curculio </w:t>
      </w:r>
      <w:r>
        <w:rPr>
          <w:rFonts w:ascii="Times New Roman" w:hAnsi="Times New Roman"/>
        </w:rPr>
        <w:t xml:space="preserve">spp. are host specific (Anderson 1993). The host range for </w:t>
      </w:r>
      <w:r>
        <w:rPr>
          <w:rFonts w:ascii="Times New Roman" w:hAnsi="Times New Roman"/>
          <w:i/>
        </w:rPr>
        <w:t xml:space="preserve">Curculio </w:t>
      </w:r>
      <w:r>
        <w:rPr>
          <w:rFonts w:ascii="Times New Roman" w:hAnsi="Times New Roman"/>
        </w:rPr>
        <w:t xml:space="preserve">sp. present in Indonesia is unknown. Mangosteens are grown in small areas of far-north Queensland and Northern Territory and locating a suitable host may limit the chance of </w:t>
      </w:r>
      <w:r>
        <w:rPr>
          <w:rFonts w:ascii="Times New Roman" w:hAnsi="Times New Roman"/>
          <w:i/>
        </w:rPr>
        <w:t xml:space="preserve">Curculio </w:t>
      </w:r>
      <w:r>
        <w:rPr>
          <w:rFonts w:ascii="Times New Roman" w:hAnsi="Times New Roman"/>
        </w:rPr>
        <w:t>spp. completing its life cycle.</w:t>
      </w:r>
    </w:p>
    <w:p w14:paraId="6D976488"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Curculio </w:t>
      </w:r>
      <w:r>
        <w:rPr>
          <w:rFonts w:ascii="Times New Roman" w:hAnsi="Times New Roman"/>
        </w:rPr>
        <w:t xml:space="preserve">sp. is present in the Indonesia where the climate is tropical. Climatic conditions would allow the spread of </w:t>
      </w:r>
      <w:r>
        <w:rPr>
          <w:rFonts w:ascii="Times New Roman" w:hAnsi="Times New Roman"/>
          <w:i/>
        </w:rPr>
        <w:t xml:space="preserve">Curculio </w:t>
      </w:r>
      <w:r>
        <w:rPr>
          <w:rFonts w:ascii="Times New Roman" w:hAnsi="Times New Roman"/>
        </w:rPr>
        <w:t>sp. in some areas of Australia.</w:t>
      </w:r>
    </w:p>
    <w:p w14:paraId="63F8AE1D"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Dispersal of this pest to previously uninfested areas may occur by transport of fruit infested with </w:t>
      </w:r>
      <w:r>
        <w:rPr>
          <w:rFonts w:ascii="Times New Roman" w:hAnsi="Times New Roman"/>
          <w:i/>
        </w:rPr>
        <w:t xml:space="preserve">Curculio </w:t>
      </w:r>
      <w:r>
        <w:rPr>
          <w:rFonts w:ascii="Times New Roman" w:hAnsi="Times New Roman"/>
        </w:rPr>
        <w:t>sp. eggs and larvae.</w:t>
      </w:r>
    </w:p>
    <w:p w14:paraId="563C805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Curculio </w:t>
      </w:r>
      <w:r>
        <w:rPr>
          <w:rFonts w:ascii="Times New Roman" w:hAnsi="Times New Roman"/>
        </w:rPr>
        <w:t>spp. are capable of flight, but it is unknown if they are strong or poor fliers. This may affect their ability to locate a host plant and mate to complete their life cycle.</w:t>
      </w:r>
    </w:p>
    <w:p w14:paraId="6A14D329" w14:textId="77777777" w:rsidR="009D3DC8" w:rsidRDefault="009D3DC8">
      <w:pPr>
        <w:spacing w:before="180" w:line="280" w:lineRule="atLeast"/>
        <w:rPr>
          <w:rFonts w:ascii="Times New Roman" w:hAnsi="Times New Roman"/>
          <w:sz w:val="24"/>
        </w:rPr>
      </w:pPr>
      <w:r>
        <w:rPr>
          <w:rFonts w:ascii="Times New Roman" w:hAnsi="Times New Roman"/>
          <w:color w:val="000000"/>
          <w:sz w:val="24"/>
        </w:rPr>
        <w:t>Climatic suitability in some areas of Australia, moderated by a</w:t>
      </w:r>
      <w:r>
        <w:rPr>
          <w:rFonts w:ascii="Times New Roman" w:hAnsi="Times New Roman"/>
          <w:sz w:val="24"/>
        </w:rPr>
        <w:t xml:space="preserve"> restricted host range, support a likelihood estimate for spread of ‘moderate’.</w:t>
      </w:r>
    </w:p>
    <w:p w14:paraId="3BF5BD43" w14:textId="77777777" w:rsidR="009D3DC8" w:rsidRDefault="009D3DC8">
      <w:pPr>
        <w:pStyle w:val="Heading3"/>
        <w:numPr>
          <w:ilvl w:val="2"/>
          <w:numId w:val="8"/>
        </w:numPr>
        <w:spacing w:line="240" w:lineRule="auto"/>
      </w:pPr>
      <w:r>
        <w:t>Overall probability of entry, establishment and spread</w:t>
      </w:r>
    </w:p>
    <w:p w14:paraId="5D6A865C"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establishment and spread is determined by combining the probabilities of entry, of establishment and of spread using the matrix of ‘rules’ are shown in Table 2.2.</w:t>
      </w:r>
    </w:p>
    <w:p w14:paraId="5AB15B26"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Curculio</w:t>
      </w:r>
      <w:r>
        <w:rPr>
          <w:rFonts w:ascii="Times New Roman" w:hAnsi="Times New Roman"/>
          <w:sz w:val="24"/>
        </w:rPr>
        <w:t xml:space="preserve"> sp. will enter Australia as a result of trade in mangosteen fruit from Indonesia, be distributed in a viable state to a susceptible host, establish in Australia and subsequently spread within Australia is: </w:t>
      </w:r>
      <w:r>
        <w:rPr>
          <w:rFonts w:ascii="Times New Roman" w:hAnsi="Times New Roman"/>
          <w:b/>
          <w:sz w:val="24"/>
        </w:rPr>
        <w:t>VERY LOW</w:t>
      </w:r>
      <w:r>
        <w:rPr>
          <w:rFonts w:ascii="Times New Roman" w:hAnsi="Times New Roman"/>
          <w:sz w:val="24"/>
        </w:rPr>
        <w:t>.</w:t>
      </w:r>
    </w:p>
    <w:p w14:paraId="6102B7F0" w14:textId="77777777" w:rsidR="009D3DC8" w:rsidRDefault="009D3DC8">
      <w:pPr>
        <w:pStyle w:val="Heading3"/>
        <w:numPr>
          <w:ilvl w:val="2"/>
          <w:numId w:val="8"/>
        </w:numPr>
        <w:spacing w:line="240" w:lineRule="auto"/>
      </w:pPr>
      <w:r>
        <w:t>Consequences</w:t>
      </w:r>
    </w:p>
    <w:p w14:paraId="40576B0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consequences of the establishment of </w:t>
      </w:r>
      <w:r>
        <w:rPr>
          <w:rFonts w:ascii="Times New Roman" w:hAnsi="Times New Roman"/>
          <w:i/>
          <w:sz w:val="24"/>
        </w:rPr>
        <w:t xml:space="preserve">Curculio </w:t>
      </w:r>
      <w:r>
        <w:rPr>
          <w:rFonts w:ascii="Times New Roman" w:hAnsi="Times New Roman"/>
          <w:sz w:val="24"/>
        </w:rPr>
        <w:t>sp. in Australia have been estimated according to the methods described in Table 2.3.</w:t>
      </w:r>
    </w:p>
    <w:p w14:paraId="74B284AC" w14:textId="77777777" w:rsidR="009D3DC8" w:rsidRDefault="009D3DC8">
      <w:pPr>
        <w:spacing w:before="180" w:line="280" w:lineRule="atLeast"/>
        <w:rPr>
          <w:rFonts w:ascii="Times New Roman" w:hAnsi="Times New Roman"/>
          <w:b/>
          <w:sz w:val="24"/>
        </w:rPr>
      </w:pPr>
      <w:r>
        <w:rPr>
          <w:rFonts w:ascii="Times New Roman" w:hAnsi="Times New Roman"/>
          <w:sz w:val="24"/>
        </w:rPr>
        <w:t>Based on the decision rules described in Table 2.4, that is, where the consequences of a pest with respect to one or more criteria are ‘</w:t>
      </w:r>
      <w:r>
        <w:rPr>
          <w:rFonts w:ascii="Times New Roman" w:hAnsi="Times New Roman"/>
          <w:b/>
          <w:sz w:val="24"/>
        </w:rPr>
        <w:t>D</w:t>
      </w:r>
      <w:r>
        <w:rPr>
          <w:rFonts w:ascii="Times New Roman" w:hAnsi="Times New Roman"/>
          <w:sz w:val="24"/>
        </w:rPr>
        <w:t xml:space="preserve">’, the overall consequences are estimated to be </w:t>
      </w:r>
      <w:r>
        <w:rPr>
          <w:rFonts w:ascii="Times New Roman" w:hAnsi="Times New Roman"/>
          <w:b/>
          <w:sz w:val="24"/>
        </w:rPr>
        <w:t>LOW.</w:t>
      </w:r>
    </w:p>
    <w:p w14:paraId="7F98A81A" w14:textId="77777777" w:rsidR="009D3DC8" w:rsidRDefault="009D3DC8">
      <w:pPr>
        <w:spacing w:before="180" w:after="180" w:line="280" w:lineRule="atLeast"/>
        <w:rPr>
          <w:rFonts w:ascii="Times New Roman" w:hAnsi="Times New Roman"/>
          <w:sz w:val="24"/>
        </w:rPr>
      </w:pPr>
      <w:r>
        <w:rPr>
          <w:rFonts w:ascii="Times New Roman" w:hAnsi="Times New Roman"/>
          <w:sz w:val="24"/>
        </w:rPr>
        <w:t>Reasoning for these ratings is provided below:</w:t>
      </w:r>
    </w:p>
    <w:tbl>
      <w:tblPr>
        <w:tblW w:w="9180" w:type="dxa"/>
        <w:tblInd w:w="108" w:type="dxa"/>
        <w:tblLook w:val="0000" w:firstRow="0" w:lastRow="0" w:firstColumn="0" w:lastColumn="0" w:noHBand="0" w:noVBand="0"/>
      </w:tblPr>
      <w:tblGrid>
        <w:gridCol w:w="1440"/>
        <w:gridCol w:w="7740"/>
      </w:tblGrid>
      <w:tr w:rsidR="009D3DC8" w14:paraId="016DF884" w14:textId="77777777">
        <w:tc>
          <w:tcPr>
            <w:tcW w:w="1440" w:type="dxa"/>
            <w:tcBorders>
              <w:top w:val="single" w:sz="4" w:space="0" w:color="auto"/>
              <w:left w:val="single" w:sz="4" w:space="0" w:color="auto"/>
              <w:bottom w:val="single" w:sz="4" w:space="0" w:color="C0C0C0"/>
              <w:right w:val="single" w:sz="4" w:space="0" w:color="C0C0C0"/>
            </w:tcBorders>
            <w:shd w:val="clear" w:color="auto" w:fill="E0E0E0"/>
          </w:tcPr>
          <w:p w14:paraId="1E75E3C2" w14:textId="77777777" w:rsidR="009D3DC8" w:rsidRDefault="009D3DC8">
            <w:pPr>
              <w:pStyle w:val="TableText"/>
              <w:keepNext/>
              <w:rPr>
                <w:rFonts w:cs="Arial"/>
                <w:b/>
                <w:bCs/>
                <w:szCs w:val="16"/>
              </w:rPr>
            </w:pPr>
            <w:r>
              <w:rPr>
                <w:rFonts w:cs="Arial"/>
                <w:b/>
                <w:bCs/>
                <w:szCs w:val="16"/>
              </w:rPr>
              <w:t>Criterion</w:t>
            </w:r>
          </w:p>
        </w:tc>
        <w:tc>
          <w:tcPr>
            <w:tcW w:w="7740" w:type="dxa"/>
            <w:tcBorders>
              <w:top w:val="single" w:sz="4" w:space="0" w:color="auto"/>
              <w:left w:val="single" w:sz="4" w:space="0" w:color="C0C0C0"/>
              <w:bottom w:val="single" w:sz="4" w:space="0" w:color="auto"/>
              <w:right w:val="single" w:sz="4" w:space="0" w:color="auto"/>
            </w:tcBorders>
            <w:shd w:val="clear" w:color="auto" w:fill="E0E0E0"/>
          </w:tcPr>
          <w:p w14:paraId="2BAF5C20" w14:textId="77777777" w:rsidR="009D3DC8" w:rsidRDefault="009D3DC8">
            <w:pPr>
              <w:pStyle w:val="TableText"/>
              <w:keepNext/>
              <w:rPr>
                <w:rFonts w:cs="Arial"/>
                <w:b/>
                <w:bCs/>
                <w:szCs w:val="16"/>
              </w:rPr>
            </w:pPr>
            <w:r>
              <w:rPr>
                <w:rFonts w:cs="Arial"/>
                <w:b/>
                <w:bCs/>
                <w:szCs w:val="16"/>
              </w:rPr>
              <w:t>Estimate and rationale</w:t>
            </w:r>
          </w:p>
        </w:tc>
      </w:tr>
      <w:tr w:rsidR="009D3DC8" w14:paraId="215660B8"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9180" w:type="dxa"/>
            <w:gridSpan w:val="2"/>
            <w:tcBorders>
              <w:top w:val="single" w:sz="8" w:space="0" w:color="auto"/>
            </w:tcBorders>
          </w:tcPr>
          <w:p w14:paraId="72E39EF7" w14:textId="77777777" w:rsidR="009D3DC8" w:rsidRDefault="009D3DC8">
            <w:pPr>
              <w:pStyle w:val="TableText"/>
              <w:keepNext/>
              <w:rPr>
                <w:rFonts w:cs="Arial"/>
                <w:szCs w:val="16"/>
              </w:rPr>
            </w:pPr>
            <w:r>
              <w:rPr>
                <w:rFonts w:cs="Arial"/>
                <w:b/>
                <w:bCs/>
                <w:szCs w:val="16"/>
              </w:rPr>
              <w:t>Direct</w:t>
            </w:r>
          </w:p>
        </w:tc>
      </w:tr>
      <w:tr w:rsidR="009D3DC8" w14:paraId="0B0C7D2F"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1440" w:type="dxa"/>
          </w:tcPr>
          <w:p w14:paraId="09C942F2" w14:textId="77777777" w:rsidR="009D3DC8" w:rsidRDefault="009D3DC8">
            <w:pPr>
              <w:pStyle w:val="TableText"/>
              <w:rPr>
                <w:rFonts w:cs="Arial"/>
                <w:szCs w:val="16"/>
              </w:rPr>
            </w:pPr>
            <w:r>
              <w:rPr>
                <w:rFonts w:cs="Arial"/>
                <w:szCs w:val="16"/>
              </w:rPr>
              <w:t>Plant life or health</w:t>
            </w:r>
          </w:p>
        </w:tc>
        <w:tc>
          <w:tcPr>
            <w:tcW w:w="7740" w:type="dxa"/>
          </w:tcPr>
          <w:p w14:paraId="0919F810" w14:textId="77777777" w:rsidR="009D3DC8" w:rsidRDefault="009D3DC8">
            <w:pPr>
              <w:pStyle w:val="TableText1"/>
              <w:rPr>
                <w:rFonts w:ascii="Arial" w:hAnsi="Arial"/>
                <w:b/>
                <w:bCs/>
              </w:rPr>
            </w:pPr>
            <w:r>
              <w:rPr>
                <w:rFonts w:ascii="Arial" w:hAnsi="Arial"/>
                <w:b/>
                <w:bCs/>
              </w:rPr>
              <w:t>D – Significant at the district level:</w:t>
            </w:r>
          </w:p>
          <w:p w14:paraId="444E2F7D" w14:textId="77777777" w:rsidR="009D3DC8" w:rsidRDefault="009D3DC8">
            <w:pPr>
              <w:pStyle w:val="AQISNum"/>
              <w:tabs>
                <w:tab w:val="clear" w:pos="360"/>
                <w:tab w:val="num" w:pos="295"/>
              </w:tabs>
              <w:spacing w:before="40" w:after="0" w:line="240" w:lineRule="auto"/>
              <w:ind w:left="295" w:hanging="295"/>
              <w:rPr>
                <w:rFonts w:ascii="Arial" w:hAnsi="Arial" w:cs="Arial"/>
                <w:sz w:val="16"/>
                <w:szCs w:val="16"/>
              </w:rPr>
            </w:pPr>
            <w:r>
              <w:rPr>
                <w:rFonts w:ascii="Arial" w:hAnsi="Arial" w:cs="Arial"/>
                <w:sz w:val="16"/>
                <w:szCs w:val="16"/>
              </w:rPr>
              <w:t xml:space="preserve">In Indonesia, </w:t>
            </w:r>
            <w:r>
              <w:rPr>
                <w:rFonts w:ascii="Arial" w:hAnsi="Arial" w:cs="Arial"/>
                <w:i/>
                <w:sz w:val="16"/>
                <w:szCs w:val="16"/>
              </w:rPr>
              <w:t xml:space="preserve">Curculio </w:t>
            </w:r>
            <w:r>
              <w:rPr>
                <w:rFonts w:ascii="Arial" w:hAnsi="Arial" w:cs="Arial"/>
                <w:sz w:val="16"/>
                <w:szCs w:val="16"/>
              </w:rPr>
              <w:t xml:space="preserve">sp. weevil attack mangosteen fruit (Nasuton 2006). </w:t>
            </w:r>
          </w:p>
          <w:p w14:paraId="0680B8AA" w14:textId="77777777" w:rsidR="009D3DC8" w:rsidRDefault="009D3DC8">
            <w:pPr>
              <w:pStyle w:val="AQISNum"/>
              <w:tabs>
                <w:tab w:val="clear" w:pos="360"/>
                <w:tab w:val="num" w:pos="295"/>
              </w:tabs>
              <w:spacing w:before="40" w:after="0" w:line="240" w:lineRule="auto"/>
              <w:ind w:left="295" w:hanging="295"/>
              <w:rPr>
                <w:rFonts w:ascii="Arial" w:hAnsi="Arial" w:cs="Arial"/>
                <w:sz w:val="16"/>
                <w:szCs w:val="16"/>
              </w:rPr>
            </w:pPr>
            <w:r>
              <w:rPr>
                <w:rFonts w:ascii="Arial" w:hAnsi="Arial" w:cs="Arial"/>
                <w:sz w:val="16"/>
                <w:szCs w:val="16"/>
              </w:rPr>
              <w:t xml:space="preserve">The main damage caused by </w:t>
            </w:r>
            <w:r>
              <w:rPr>
                <w:rFonts w:ascii="Arial" w:hAnsi="Arial" w:cs="Arial"/>
                <w:i/>
                <w:sz w:val="16"/>
                <w:szCs w:val="16"/>
              </w:rPr>
              <w:t>Curculio</w:t>
            </w:r>
            <w:r>
              <w:rPr>
                <w:rFonts w:ascii="Arial" w:hAnsi="Arial" w:cs="Arial"/>
                <w:sz w:val="16"/>
                <w:szCs w:val="16"/>
              </w:rPr>
              <w:t xml:space="preserve"> sp. includes egg-laying holes in the surface of the fruit and larval feeding within the fruit (Osman and Milan 2006; Nasuton 2006) making the mangosteens unfit for human consumption or unmarketable. </w:t>
            </w:r>
          </w:p>
          <w:p w14:paraId="1338F49A" w14:textId="77777777" w:rsidR="009D3DC8" w:rsidRDefault="009D3DC8">
            <w:pPr>
              <w:pStyle w:val="AQISNum"/>
              <w:tabs>
                <w:tab w:val="clear" w:pos="360"/>
                <w:tab w:val="num" w:pos="295"/>
              </w:tabs>
              <w:spacing w:before="40" w:after="0" w:line="240" w:lineRule="auto"/>
              <w:ind w:left="295" w:hanging="295"/>
              <w:rPr>
                <w:rFonts w:ascii="Arial" w:hAnsi="Arial" w:cs="Arial"/>
                <w:sz w:val="16"/>
                <w:szCs w:val="16"/>
              </w:rPr>
            </w:pPr>
            <w:r>
              <w:rPr>
                <w:rFonts w:ascii="Arial" w:hAnsi="Arial" w:cs="Arial"/>
                <w:sz w:val="16"/>
                <w:szCs w:val="16"/>
              </w:rPr>
              <w:t xml:space="preserve">Generally species of </w:t>
            </w:r>
            <w:r>
              <w:rPr>
                <w:rFonts w:ascii="Arial" w:hAnsi="Arial" w:cs="Arial"/>
                <w:i/>
                <w:sz w:val="16"/>
                <w:szCs w:val="16"/>
              </w:rPr>
              <w:t>Curculio</w:t>
            </w:r>
            <w:r>
              <w:rPr>
                <w:rFonts w:ascii="Arial" w:hAnsi="Arial" w:cs="Arial"/>
                <w:sz w:val="16"/>
                <w:szCs w:val="16"/>
              </w:rPr>
              <w:t xml:space="preserve"> are host specific. Therefore it is unlikely that </w:t>
            </w:r>
            <w:r>
              <w:rPr>
                <w:rFonts w:ascii="Arial" w:hAnsi="Arial" w:cs="Arial"/>
                <w:i/>
                <w:sz w:val="16"/>
                <w:szCs w:val="16"/>
              </w:rPr>
              <w:t xml:space="preserve">Curculio </w:t>
            </w:r>
            <w:r>
              <w:rPr>
                <w:rFonts w:ascii="Arial" w:hAnsi="Arial" w:cs="Arial"/>
                <w:sz w:val="16"/>
                <w:szCs w:val="16"/>
              </w:rPr>
              <w:t>sp. will attack plants other than mangosteens.</w:t>
            </w:r>
          </w:p>
        </w:tc>
      </w:tr>
      <w:tr w:rsidR="009D3DC8" w14:paraId="0B1D9811"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1440" w:type="dxa"/>
          </w:tcPr>
          <w:p w14:paraId="792B2141" w14:textId="77777777" w:rsidR="009D3DC8" w:rsidRDefault="009D3DC8">
            <w:pPr>
              <w:pStyle w:val="TableText"/>
              <w:rPr>
                <w:rFonts w:cs="Arial"/>
                <w:szCs w:val="16"/>
              </w:rPr>
            </w:pPr>
            <w:r>
              <w:rPr>
                <w:rFonts w:cs="Arial"/>
                <w:szCs w:val="16"/>
              </w:rPr>
              <w:lastRenderedPageBreak/>
              <w:t>Other aspects of the environment</w:t>
            </w:r>
          </w:p>
        </w:tc>
        <w:tc>
          <w:tcPr>
            <w:tcW w:w="7740" w:type="dxa"/>
          </w:tcPr>
          <w:p w14:paraId="06A7A8C3" w14:textId="77777777" w:rsidR="009D3DC8" w:rsidRDefault="009D3DC8">
            <w:pPr>
              <w:pStyle w:val="TableText1"/>
              <w:rPr>
                <w:rFonts w:ascii="Arial" w:hAnsi="Arial"/>
                <w:b/>
                <w:bCs/>
              </w:rPr>
            </w:pPr>
            <w:r>
              <w:rPr>
                <w:rFonts w:ascii="Arial" w:hAnsi="Arial"/>
                <w:b/>
                <w:bCs/>
              </w:rPr>
              <w:t>B – Minor significance at the local level:</w:t>
            </w:r>
          </w:p>
          <w:p w14:paraId="6901F4EA" w14:textId="77777777" w:rsidR="009D3DC8" w:rsidRDefault="009D3DC8">
            <w:pPr>
              <w:pStyle w:val="AQISNum"/>
              <w:tabs>
                <w:tab w:val="clear" w:pos="360"/>
                <w:tab w:val="num" w:pos="295"/>
              </w:tabs>
              <w:spacing w:before="40" w:after="0" w:line="240" w:lineRule="auto"/>
              <w:ind w:left="295" w:hanging="295"/>
              <w:rPr>
                <w:rFonts w:cs="Arial"/>
                <w:szCs w:val="16"/>
              </w:rPr>
            </w:pPr>
            <w:r>
              <w:rPr>
                <w:rFonts w:ascii="Arial" w:hAnsi="Arial" w:cs="Arial"/>
                <w:sz w:val="16"/>
                <w:szCs w:val="16"/>
              </w:rPr>
              <w:t xml:space="preserve">There are no known direct consequences of these pests on other aspects of the environment, but its introduction into a new environment may lead to competition for resources with native species. </w:t>
            </w:r>
          </w:p>
        </w:tc>
      </w:tr>
      <w:tr w:rsidR="009D3DC8" w14:paraId="2F3BCACE"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9180" w:type="dxa"/>
            <w:gridSpan w:val="2"/>
          </w:tcPr>
          <w:p w14:paraId="095F7C9A" w14:textId="77777777" w:rsidR="009D3DC8" w:rsidRDefault="009D3DC8">
            <w:pPr>
              <w:pStyle w:val="TableText"/>
              <w:rPr>
                <w:rFonts w:cs="Arial"/>
                <w:szCs w:val="16"/>
              </w:rPr>
            </w:pPr>
            <w:r>
              <w:rPr>
                <w:rFonts w:cs="Arial"/>
                <w:b/>
                <w:bCs/>
                <w:szCs w:val="16"/>
              </w:rPr>
              <w:t>Indirect</w:t>
            </w:r>
          </w:p>
        </w:tc>
      </w:tr>
      <w:tr w:rsidR="009D3DC8" w14:paraId="2079F1C0"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1440" w:type="dxa"/>
          </w:tcPr>
          <w:p w14:paraId="23E016C8" w14:textId="77777777" w:rsidR="009D3DC8" w:rsidRDefault="009D3DC8">
            <w:pPr>
              <w:pStyle w:val="TableText"/>
              <w:rPr>
                <w:rFonts w:cs="Arial"/>
                <w:szCs w:val="16"/>
              </w:rPr>
            </w:pPr>
            <w:r>
              <w:rPr>
                <w:rFonts w:cs="Arial"/>
                <w:szCs w:val="16"/>
              </w:rPr>
              <w:t>Eradication, control etc.</w:t>
            </w:r>
          </w:p>
        </w:tc>
        <w:tc>
          <w:tcPr>
            <w:tcW w:w="7740" w:type="dxa"/>
          </w:tcPr>
          <w:p w14:paraId="66D6B73E" w14:textId="77777777" w:rsidR="009D3DC8" w:rsidRDefault="009D3DC8">
            <w:pPr>
              <w:pStyle w:val="TableText1"/>
              <w:rPr>
                <w:rFonts w:ascii="Arial" w:hAnsi="Arial"/>
                <w:b/>
                <w:bCs/>
              </w:rPr>
            </w:pPr>
            <w:r>
              <w:rPr>
                <w:rFonts w:ascii="Arial" w:hAnsi="Arial"/>
                <w:b/>
                <w:bCs/>
              </w:rPr>
              <w:t>D – Significant at the district level:</w:t>
            </w:r>
          </w:p>
          <w:p w14:paraId="5640B564" w14:textId="77777777" w:rsidR="009D3DC8" w:rsidRDefault="009D3DC8">
            <w:pPr>
              <w:pStyle w:val="AQISNum"/>
              <w:tabs>
                <w:tab w:val="clear" w:pos="360"/>
                <w:tab w:val="num" w:pos="295"/>
              </w:tabs>
              <w:spacing w:before="40" w:after="0" w:line="240" w:lineRule="auto"/>
              <w:ind w:left="295" w:hanging="295"/>
              <w:rPr>
                <w:rFonts w:ascii="Arial" w:hAnsi="Arial" w:cs="Arial"/>
                <w:sz w:val="16"/>
                <w:szCs w:val="16"/>
              </w:rPr>
            </w:pPr>
            <w:r>
              <w:rPr>
                <w:rFonts w:ascii="Arial" w:hAnsi="Arial" w:cs="Arial"/>
                <w:sz w:val="16"/>
                <w:szCs w:val="16"/>
              </w:rPr>
              <w:t xml:space="preserve">Additional programs to eradicate </w:t>
            </w:r>
            <w:r>
              <w:rPr>
                <w:rFonts w:ascii="Arial" w:hAnsi="Arial" w:cs="Arial"/>
                <w:i/>
                <w:sz w:val="16"/>
                <w:szCs w:val="16"/>
              </w:rPr>
              <w:t>Curculio</w:t>
            </w:r>
            <w:r>
              <w:rPr>
                <w:rFonts w:ascii="Arial" w:hAnsi="Arial" w:cs="Arial"/>
                <w:sz w:val="16"/>
                <w:szCs w:val="16"/>
              </w:rPr>
              <w:t xml:space="preserve"> sp. on their host plants may be required in infested orchards to reduce fruit damage and yield losses. This may result in a subsequent increase in production costs. </w:t>
            </w:r>
          </w:p>
          <w:p w14:paraId="0B7B9E70" w14:textId="77777777" w:rsidR="009D3DC8" w:rsidRDefault="009D3DC8">
            <w:pPr>
              <w:pStyle w:val="AQISNum"/>
              <w:tabs>
                <w:tab w:val="clear" w:pos="360"/>
                <w:tab w:val="num" w:pos="295"/>
              </w:tabs>
              <w:spacing w:before="40" w:after="0" w:line="240" w:lineRule="auto"/>
              <w:ind w:left="295" w:hanging="295"/>
              <w:rPr>
                <w:rFonts w:cs="Arial"/>
                <w:szCs w:val="16"/>
              </w:rPr>
            </w:pPr>
            <w:r>
              <w:rPr>
                <w:rFonts w:ascii="Arial" w:hAnsi="Arial" w:cs="Arial"/>
                <w:sz w:val="16"/>
                <w:szCs w:val="16"/>
              </w:rPr>
              <w:t>Additionally, costs for crop monitoring and consultant’s advice to manage these crops may be incurred by the producer.</w:t>
            </w:r>
          </w:p>
        </w:tc>
      </w:tr>
      <w:tr w:rsidR="009D3DC8" w14:paraId="5AC3E147"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1440" w:type="dxa"/>
          </w:tcPr>
          <w:p w14:paraId="013C1C09" w14:textId="77777777" w:rsidR="009D3DC8" w:rsidRDefault="009D3DC8">
            <w:pPr>
              <w:pStyle w:val="TableText"/>
              <w:rPr>
                <w:rFonts w:cs="Arial"/>
                <w:szCs w:val="16"/>
              </w:rPr>
            </w:pPr>
            <w:r>
              <w:rPr>
                <w:rFonts w:cs="Arial"/>
                <w:szCs w:val="16"/>
              </w:rPr>
              <w:t>Domestic trade</w:t>
            </w:r>
          </w:p>
        </w:tc>
        <w:tc>
          <w:tcPr>
            <w:tcW w:w="7740" w:type="dxa"/>
          </w:tcPr>
          <w:p w14:paraId="7A0C2B1B" w14:textId="77777777" w:rsidR="009D3DC8" w:rsidRDefault="009D3DC8">
            <w:pPr>
              <w:pStyle w:val="TableText1"/>
              <w:rPr>
                <w:rFonts w:ascii="Arial" w:hAnsi="Arial"/>
                <w:b/>
                <w:bCs/>
              </w:rPr>
            </w:pPr>
            <w:r>
              <w:rPr>
                <w:rFonts w:ascii="Arial" w:hAnsi="Arial"/>
                <w:b/>
                <w:bCs/>
              </w:rPr>
              <w:t>D – Significant at the local level:</w:t>
            </w:r>
          </w:p>
          <w:p w14:paraId="3FDEA099" w14:textId="77777777" w:rsidR="009D3DC8" w:rsidRDefault="009D3DC8">
            <w:pPr>
              <w:pStyle w:val="AQISNum"/>
              <w:tabs>
                <w:tab w:val="clear" w:pos="360"/>
                <w:tab w:val="num" w:pos="295"/>
              </w:tabs>
              <w:spacing w:before="40" w:after="0" w:line="240" w:lineRule="auto"/>
              <w:ind w:left="295" w:hanging="295"/>
              <w:rPr>
                <w:rFonts w:cs="Arial"/>
                <w:szCs w:val="16"/>
              </w:rPr>
            </w:pPr>
            <w:r>
              <w:rPr>
                <w:rFonts w:ascii="Arial" w:hAnsi="Arial" w:cs="Arial"/>
                <w:sz w:val="16"/>
                <w:szCs w:val="16"/>
              </w:rPr>
              <w:t xml:space="preserve">The presence of these pests in commercial production areas may trigger interstate trade restrictions on mangosteen fruit movement, resulting in additional costs to the producer. </w:t>
            </w:r>
          </w:p>
        </w:tc>
      </w:tr>
      <w:tr w:rsidR="009D3DC8" w14:paraId="495315A9"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1440" w:type="dxa"/>
          </w:tcPr>
          <w:p w14:paraId="27A63683" w14:textId="77777777" w:rsidR="009D3DC8" w:rsidRDefault="009D3DC8">
            <w:pPr>
              <w:pStyle w:val="TableText"/>
              <w:rPr>
                <w:rFonts w:cs="Arial"/>
                <w:szCs w:val="16"/>
              </w:rPr>
            </w:pPr>
            <w:r>
              <w:rPr>
                <w:rFonts w:cs="Arial"/>
                <w:szCs w:val="16"/>
              </w:rPr>
              <w:t>International trade</w:t>
            </w:r>
          </w:p>
        </w:tc>
        <w:tc>
          <w:tcPr>
            <w:tcW w:w="7740" w:type="dxa"/>
          </w:tcPr>
          <w:p w14:paraId="2E8611A3" w14:textId="77777777" w:rsidR="009D3DC8" w:rsidRDefault="009D3DC8">
            <w:pPr>
              <w:pStyle w:val="TableText1"/>
              <w:rPr>
                <w:rFonts w:ascii="Arial" w:hAnsi="Arial"/>
                <w:b/>
                <w:bCs/>
              </w:rPr>
            </w:pPr>
            <w:r>
              <w:rPr>
                <w:rFonts w:ascii="Arial" w:hAnsi="Arial"/>
                <w:b/>
                <w:bCs/>
              </w:rPr>
              <w:t>D – Significant at the district level:</w:t>
            </w:r>
          </w:p>
          <w:p w14:paraId="685F7015" w14:textId="77777777" w:rsidR="009D3DC8" w:rsidRDefault="009D3DC8">
            <w:pPr>
              <w:pStyle w:val="AQISNum"/>
              <w:tabs>
                <w:tab w:val="clear" w:pos="360"/>
                <w:tab w:val="num" w:pos="295"/>
              </w:tabs>
              <w:spacing w:before="40" w:after="0" w:line="240" w:lineRule="auto"/>
              <w:ind w:left="295" w:hanging="295"/>
              <w:rPr>
                <w:rFonts w:ascii="Arial" w:hAnsi="Arial" w:cs="Arial"/>
                <w:sz w:val="16"/>
                <w:szCs w:val="16"/>
              </w:rPr>
            </w:pPr>
            <w:r>
              <w:rPr>
                <w:rFonts w:ascii="Arial" w:hAnsi="Arial" w:cs="Arial"/>
                <w:sz w:val="16"/>
                <w:szCs w:val="16"/>
              </w:rPr>
              <w:t xml:space="preserve">The presence of </w:t>
            </w:r>
            <w:r>
              <w:rPr>
                <w:rFonts w:ascii="Arial" w:hAnsi="Arial" w:cs="Arial"/>
                <w:i/>
                <w:sz w:val="16"/>
                <w:szCs w:val="16"/>
              </w:rPr>
              <w:t>Curculio</w:t>
            </w:r>
            <w:r>
              <w:rPr>
                <w:rFonts w:ascii="Arial" w:hAnsi="Arial" w:cs="Arial"/>
                <w:sz w:val="16"/>
                <w:szCs w:val="16"/>
              </w:rPr>
              <w:t xml:space="preserve"> sp. in commercial production areas of Australia is likely to limit access to overseas markets where this pest is absent. </w:t>
            </w:r>
          </w:p>
          <w:p w14:paraId="305BB59D" w14:textId="77777777" w:rsidR="009D3DC8" w:rsidRDefault="009D3DC8">
            <w:pPr>
              <w:pStyle w:val="AQISNum"/>
              <w:tabs>
                <w:tab w:val="clear" w:pos="360"/>
                <w:tab w:val="num" w:pos="295"/>
              </w:tabs>
              <w:spacing w:before="40" w:after="0" w:line="240" w:lineRule="auto"/>
              <w:ind w:left="295" w:hanging="295"/>
              <w:rPr>
                <w:rFonts w:cs="Arial"/>
                <w:szCs w:val="16"/>
              </w:rPr>
            </w:pPr>
            <w:r>
              <w:rPr>
                <w:rFonts w:ascii="Arial" w:hAnsi="Arial" w:cs="Arial"/>
                <w:sz w:val="16"/>
                <w:szCs w:val="16"/>
              </w:rPr>
              <w:t xml:space="preserve">Other countries may impose phytosanitary restrictions or measures to reduce the risk of entry of </w:t>
            </w:r>
            <w:r>
              <w:rPr>
                <w:rFonts w:ascii="Arial" w:hAnsi="Arial" w:cs="Arial"/>
                <w:i/>
                <w:sz w:val="16"/>
                <w:szCs w:val="16"/>
              </w:rPr>
              <w:t>Curculio</w:t>
            </w:r>
            <w:r>
              <w:rPr>
                <w:rFonts w:ascii="Arial" w:hAnsi="Arial" w:cs="Arial"/>
                <w:sz w:val="16"/>
                <w:szCs w:val="16"/>
              </w:rPr>
              <w:t xml:space="preserve"> sp. these restrictions may lead to a loss of international markets.</w:t>
            </w:r>
            <w:r>
              <w:rPr>
                <w:rFonts w:cs="Arial"/>
                <w:szCs w:val="16"/>
              </w:rPr>
              <w:t xml:space="preserve"> </w:t>
            </w:r>
          </w:p>
        </w:tc>
      </w:tr>
      <w:tr w:rsidR="009D3DC8" w14:paraId="636AF56D" w14:textId="77777777">
        <w:tblPrEx>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PrEx>
        <w:trPr>
          <w:cantSplit/>
        </w:trPr>
        <w:tc>
          <w:tcPr>
            <w:tcW w:w="1440" w:type="dxa"/>
          </w:tcPr>
          <w:p w14:paraId="1372D521" w14:textId="77777777" w:rsidR="009D3DC8" w:rsidRDefault="009D3DC8">
            <w:pPr>
              <w:pStyle w:val="TableText"/>
              <w:rPr>
                <w:rFonts w:cs="Arial"/>
                <w:szCs w:val="16"/>
              </w:rPr>
            </w:pPr>
            <w:r>
              <w:rPr>
                <w:rFonts w:cs="Arial"/>
                <w:szCs w:val="16"/>
              </w:rPr>
              <w:t>Environmental and non-commercial</w:t>
            </w:r>
          </w:p>
        </w:tc>
        <w:tc>
          <w:tcPr>
            <w:tcW w:w="7740" w:type="dxa"/>
          </w:tcPr>
          <w:p w14:paraId="37671992" w14:textId="77777777" w:rsidR="009D3DC8" w:rsidRDefault="009D3DC8">
            <w:pPr>
              <w:pStyle w:val="TableText1"/>
              <w:rPr>
                <w:rFonts w:ascii="Arial" w:hAnsi="Arial"/>
                <w:b/>
                <w:bCs/>
              </w:rPr>
            </w:pPr>
            <w:r>
              <w:rPr>
                <w:rFonts w:ascii="Arial" w:hAnsi="Arial"/>
                <w:b/>
                <w:bCs/>
              </w:rPr>
              <w:t>B – Minor significance at the local level:</w:t>
            </w:r>
          </w:p>
          <w:p w14:paraId="094CD3EE" w14:textId="77777777" w:rsidR="009D3DC8" w:rsidRDefault="009D3DC8">
            <w:pPr>
              <w:pStyle w:val="AQISNum"/>
              <w:tabs>
                <w:tab w:val="clear" w:pos="360"/>
                <w:tab w:val="num" w:pos="295"/>
              </w:tabs>
              <w:spacing w:before="40" w:after="0" w:line="240" w:lineRule="auto"/>
              <w:ind w:left="295" w:hanging="295"/>
              <w:rPr>
                <w:rFonts w:cs="Arial"/>
                <w:szCs w:val="16"/>
              </w:rPr>
            </w:pPr>
            <w:r>
              <w:rPr>
                <w:rFonts w:ascii="Arial" w:hAnsi="Arial" w:cs="Arial"/>
                <w:sz w:val="16"/>
                <w:szCs w:val="16"/>
              </w:rPr>
              <w:t>Additional pesticide applications would be required to contain and/or eradicate the pest and control them on susceptible hosts. However, pesticides such as synthetic pyrethroids are already registered for and used in Australian orchards to control other weevil species. Any additional pesticide usage may affect the environment. However, any impact to the environment is likely to be minor at the local level.</w:t>
            </w:r>
          </w:p>
        </w:tc>
      </w:tr>
    </w:tbl>
    <w:p w14:paraId="195637A2" w14:textId="77777777" w:rsidR="009D3DC8" w:rsidRDefault="009D3DC8">
      <w:pPr>
        <w:pStyle w:val="Heading3"/>
        <w:numPr>
          <w:ilvl w:val="2"/>
          <w:numId w:val="8"/>
        </w:numPr>
        <w:spacing w:line="240" w:lineRule="auto"/>
      </w:pPr>
      <w:r>
        <w:t>Unrestricted risk estimate</w:t>
      </w:r>
    </w:p>
    <w:p w14:paraId="1BA0FDF2" w14:textId="77777777" w:rsidR="009D3DC8" w:rsidRDefault="009D3DC8">
      <w:pPr>
        <w:spacing w:before="180" w:after="180" w:line="280" w:lineRule="atLeast"/>
        <w:rPr>
          <w:rFonts w:ascii="Times New Roman" w:hAnsi="Times New Roman"/>
          <w:sz w:val="24"/>
        </w:rPr>
      </w:pPr>
      <w:r>
        <w:rPr>
          <w:rFonts w:ascii="Times New Roman" w:hAnsi="Times New Roman"/>
          <w:sz w:val="24"/>
        </w:rPr>
        <w:t>Unrestricted risk is the result of combining the probability of entry, establishment and spread with the estimate of consequences. Probabilities and consequences are combined using the risk estimation matrix shown in Table 2.5.</w:t>
      </w:r>
    </w:p>
    <w:tbl>
      <w:tblPr>
        <w:tblW w:w="9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9"/>
        <w:gridCol w:w="2977"/>
      </w:tblGrid>
      <w:tr w:rsidR="009D3DC8" w14:paraId="13A1C142" w14:textId="77777777">
        <w:tc>
          <w:tcPr>
            <w:tcW w:w="9436" w:type="dxa"/>
            <w:gridSpan w:val="2"/>
            <w:shd w:val="clear" w:color="auto" w:fill="E0E0E0"/>
          </w:tcPr>
          <w:p w14:paraId="0A3AFA52" w14:textId="77777777" w:rsidR="009D3DC8" w:rsidRDefault="009D3DC8">
            <w:pPr>
              <w:pStyle w:val="TableText1"/>
              <w:rPr>
                <w:rFonts w:ascii="Arial" w:hAnsi="Arial" w:cs="Arial"/>
                <w:b/>
              </w:rPr>
            </w:pPr>
            <w:r>
              <w:rPr>
                <w:rFonts w:ascii="Arial" w:hAnsi="Arial" w:cs="Arial"/>
                <w:b/>
              </w:rPr>
              <w:t xml:space="preserve">Unrestricted risk estimate for </w:t>
            </w:r>
            <w:r>
              <w:rPr>
                <w:rFonts w:ascii="Arial" w:hAnsi="Arial" w:cs="Arial"/>
                <w:b/>
                <w:i/>
                <w:szCs w:val="16"/>
              </w:rPr>
              <w:t>Curculio</w:t>
            </w:r>
            <w:r>
              <w:rPr>
                <w:rFonts w:cs="Arial"/>
                <w:b/>
                <w:i/>
                <w:szCs w:val="16"/>
              </w:rPr>
              <w:t xml:space="preserve"> </w:t>
            </w:r>
            <w:r>
              <w:rPr>
                <w:rFonts w:ascii="Arial" w:hAnsi="Arial" w:cs="Arial"/>
                <w:b/>
                <w:szCs w:val="16"/>
              </w:rPr>
              <w:t>sp</w:t>
            </w:r>
            <w:r>
              <w:rPr>
                <w:rFonts w:cs="Arial"/>
                <w:b/>
                <w:szCs w:val="16"/>
              </w:rPr>
              <w:t>.</w:t>
            </w:r>
          </w:p>
        </w:tc>
      </w:tr>
      <w:tr w:rsidR="009D3DC8" w14:paraId="3E90D203" w14:textId="77777777">
        <w:tc>
          <w:tcPr>
            <w:tcW w:w="6459" w:type="dxa"/>
            <w:tcBorders>
              <w:bottom w:val="single" w:sz="8" w:space="0" w:color="C0C0C0"/>
            </w:tcBorders>
          </w:tcPr>
          <w:p w14:paraId="3F7FAD8F" w14:textId="77777777" w:rsidR="009D3DC8" w:rsidRDefault="009D3DC8">
            <w:pPr>
              <w:pStyle w:val="TableText1"/>
              <w:rPr>
                <w:rFonts w:ascii="Arial" w:hAnsi="Arial" w:cs="Arial"/>
              </w:rPr>
            </w:pPr>
            <w:r>
              <w:rPr>
                <w:rFonts w:ascii="Arial" w:hAnsi="Arial" w:cs="Arial"/>
              </w:rPr>
              <w:t>Overall probability of entry, establishment and spread</w:t>
            </w:r>
          </w:p>
        </w:tc>
        <w:tc>
          <w:tcPr>
            <w:tcW w:w="2977" w:type="dxa"/>
            <w:tcBorders>
              <w:bottom w:val="single" w:sz="8" w:space="0" w:color="C0C0C0"/>
            </w:tcBorders>
          </w:tcPr>
          <w:p w14:paraId="203223B6" w14:textId="77777777" w:rsidR="009D3DC8" w:rsidRDefault="009D3DC8">
            <w:pPr>
              <w:pStyle w:val="TableText1"/>
              <w:rPr>
                <w:rFonts w:ascii="Arial" w:hAnsi="Arial" w:cs="Arial"/>
              </w:rPr>
            </w:pPr>
            <w:r>
              <w:rPr>
                <w:rFonts w:ascii="Arial" w:hAnsi="Arial" w:cs="Arial"/>
              </w:rPr>
              <w:t>Very Low</w:t>
            </w:r>
          </w:p>
        </w:tc>
      </w:tr>
      <w:tr w:rsidR="009D3DC8" w14:paraId="05332902" w14:textId="77777777">
        <w:tc>
          <w:tcPr>
            <w:tcW w:w="6459" w:type="dxa"/>
            <w:tcBorders>
              <w:top w:val="single" w:sz="8" w:space="0" w:color="C0C0C0"/>
            </w:tcBorders>
          </w:tcPr>
          <w:p w14:paraId="54D58F36" w14:textId="77777777" w:rsidR="009D3DC8" w:rsidRDefault="009D3DC8">
            <w:pPr>
              <w:pStyle w:val="TableText1"/>
              <w:rPr>
                <w:rFonts w:ascii="Arial" w:hAnsi="Arial" w:cs="Arial"/>
              </w:rPr>
            </w:pPr>
            <w:r>
              <w:rPr>
                <w:rFonts w:ascii="Arial" w:hAnsi="Arial" w:cs="Arial"/>
              </w:rPr>
              <w:t>Consequences</w:t>
            </w:r>
          </w:p>
        </w:tc>
        <w:tc>
          <w:tcPr>
            <w:tcW w:w="2977" w:type="dxa"/>
            <w:tcBorders>
              <w:top w:val="single" w:sz="8" w:space="0" w:color="C0C0C0"/>
            </w:tcBorders>
          </w:tcPr>
          <w:p w14:paraId="1FE3E775" w14:textId="77777777" w:rsidR="009D3DC8" w:rsidRDefault="009D3DC8">
            <w:pPr>
              <w:pStyle w:val="TableText1"/>
              <w:rPr>
                <w:rFonts w:ascii="Arial" w:hAnsi="Arial" w:cs="Arial"/>
              </w:rPr>
            </w:pPr>
            <w:r>
              <w:rPr>
                <w:rFonts w:ascii="Arial" w:hAnsi="Arial" w:cs="Arial"/>
              </w:rPr>
              <w:t>Low</w:t>
            </w:r>
          </w:p>
        </w:tc>
      </w:tr>
      <w:tr w:rsidR="009D3DC8" w14:paraId="248E8BFB" w14:textId="77777777">
        <w:tc>
          <w:tcPr>
            <w:tcW w:w="6459" w:type="dxa"/>
          </w:tcPr>
          <w:p w14:paraId="16B8D95E" w14:textId="77777777" w:rsidR="009D3DC8" w:rsidRDefault="009D3DC8">
            <w:pPr>
              <w:pStyle w:val="TableText1"/>
              <w:rPr>
                <w:rFonts w:ascii="Arial" w:hAnsi="Arial" w:cs="Arial"/>
              </w:rPr>
            </w:pPr>
            <w:r>
              <w:rPr>
                <w:rFonts w:ascii="Arial" w:hAnsi="Arial" w:cs="Arial"/>
              </w:rPr>
              <w:t>Unrestricted risk</w:t>
            </w:r>
          </w:p>
        </w:tc>
        <w:tc>
          <w:tcPr>
            <w:tcW w:w="2977" w:type="dxa"/>
          </w:tcPr>
          <w:p w14:paraId="4C77A1FF" w14:textId="77777777" w:rsidR="009D3DC8" w:rsidRDefault="009D3DC8">
            <w:pPr>
              <w:pStyle w:val="TableText1"/>
              <w:rPr>
                <w:rFonts w:ascii="Arial" w:hAnsi="Arial" w:cs="Arial"/>
              </w:rPr>
            </w:pPr>
            <w:r>
              <w:rPr>
                <w:rFonts w:ascii="Arial" w:hAnsi="Arial" w:cs="Arial"/>
              </w:rPr>
              <w:t>Negligible</w:t>
            </w:r>
          </w:p>
        </w:tc>
      </w:tr>
    </w:tbl>
    <w:p w14:paraId="0B9CD595"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the unrestricted risk estimate for </w:t>
      </w:r>
      <w:r>
        <w:rPr>
          <w:rFonts w:ascii="Times New Roman" w:hAnsi="Times New Roman"/>
          <w:i/>
          <w:sz w:val="24"/>
        </w:rPr>
        <w:t>Curculio</w:t>
      </w:r>
      <w:r>
        <w:rPr>
          <w:rFonts w:ascii="Times New Roman" w:hAnsi="Times New Roman"/>
          <w:sz w:val="24"/>
        </w:rPr>
        <w:t xml:space="preserve"> sp. has been assessed as ‘negligible’, which achieves Australia’s ALOP. Therefore, no specific risk management measures are required for this pest.</w:t>
      </w:r>
    </w:p>
    <w:p w14:paraId="1ABA6DDA" w14:textId="77777777" w:rsidR="009D3DC8" w:rsidRDefault="009D3DC8">
      <w:pPr>
        <w:spacing w:after="180"/>
        <w:rPr>
          <w:sz w:val="24"/>
        </w:rPr>
      </w:pPr>
      <w:r>
        <w:br w:type="page"/>
      </w:r>
    </w:p>
    <w:p w14:paraId="7D150AED" w14:textId="77777777" w:rsidR="009D3DC8" w:rsidRDefault="009D3DC8">
      <w:pPr>
        <w:pStyle w:val="Heading2"/>
        <w:numPr>
          <w:ilvl w:val="1"/>
          <w:numId w:val="8"/>
        </w:numPr>
        <w:spacing w:line="240" w:lineRule="auto"/>
      </w:pPr>
      <w:bookmarkStart w:id="78" w:name="_Toc325618443"/>
      <w:r>
        <w:t>Fruit flies [Diptera: Tephritidae]</w:t>
      </w:r>
      <w:bookmarkEnd w:id="78"/>
    </w:p>
    <w:p w14:paraId="2B5111EC" w14:textId="77777777" w:rsidR="009D3DC8" w:rsidRDefault="009D3DC8">
      <w:pPr>
        <w:spacing w:after="120"/>
        <w:rPr>
          <w:rFonts w:ascii="Arial" w:hAnsi="Arial" w:cs="Arial"/>
          <w:b/>
          <w:sz w:val="24"/>
          <w:vertAlign w:val="superscript"/>
        </w:rPr>
      </w:pPr>
      <w:r>
        <w:rPr>
          <w:rFonts w:ascii="Arial" w:hAnsi="Arial" w:cs="Arial"/>
          <w:b/>
          <w:i/>
          <w:sz w:val="24"/>
        </w:rPr>
        <w:t xml:space="preserve">Bactrocera carambolae </w:t>
      </w:r>
      <w:r>
        <w:rPr>
          <w:rFonts w:ascii="Arial" w:hAnsi="Arial" w:cs="Arial"/>
          <w:b/>
          <w:sz w:val="24"/>
          <w:vertAlign w:val="superscript"/>
        </w:rPr>
        <w:t>EP</w:t>
      </w:r>
      <w:r>
        <w:rPr>
          <w:rFonts w:ascii="Arial" w:hAnsi="Arial" w:cs="Arial"/>
          <w:b/>
          <w:i/>
          <w:sz w:val="24"/>
        </w:rPr>
        <w:t xml:space="preserve"> </w:t>
      </w:r>
      <w:r>
        <w:rPr>
          <w:rFonts w:ascii="Arial" w:hAnsi="Arial" w:cs="Arial"/>
          <w:b/>
          <w:sz w:val="24"/>
        </w:rPr>
        <w:t xml:space="preserve">and </w:t>
      </w:r>
      <w:r>
        <w:rPr>
          <w:rFonts w:ascii="Arial" w:hAnsi="Arial" w:cs="Arial"/>
          <w:b/>
          <w:i/>
          <w:sz w:val="24"/>
        </w:rPr>
        <w:t xml:space="preserve">Bactrocera papayae </w:t>
      </w:r>
      <w:r>
        <w:rPr>
          <w:rFonts w:ascii="Arial" w:hAnsi="Arial" w:cs="Arial"/>
          <w:b/>
          <w:sz w:val="24"/>
          <w:vertAlign w:val="superscript"/>
        </w:rPr>
        <w:t>EP</w:t>
      </w:r>
    </w:p>
    <w:p w14:paraId="60294CE5" w14:textId="77777777" w:rsidR="009D3DC8" w:rsidRDefault="009D3DC8">
      <w:pPr>
        <w:spacing w:before="180" w:line="280" w:lineRule="atLeast"/>
        <w:rPr>
          <w:rFonts w:ascii="Times New Roman" w:hAnsi="Times New Roman"/>
          <w:sz w:val="24"/>
          <w:szCs w:val="24"/>
        </w:rPr>
      </w:pPr>
      <w:r>
        <w:rPr>
          <w:rFonts w:ascii="Times New Roman" w:hAnsi="Times New Roman"/>
          <w:i/>
          <w:sz w:val="24"/>
          <w:szCs w:val="24"/>
        </w:rPr>
        <w:t>Bactrocera carambolae</w:t>
      </w:r>
      <w:r>
        <w:rPr>
          <w:rFonts w:ascii="Times New Roman" w:hAnsi="Times New Roman"/>
          <w:sz w:val="24"/>
          <w:szCs w:val="24"/>
        </w:rPr>
        <w:t xml:space="preserve"> (carambola fruit fly) and </w:t>
      </w:r>
      <w:r>
        <w:rPr>
          <w:rFonts w:ascii="Times New Roman" w:hAnsi="Times New Roman"/>
          <w:i/>
          <w:sz w:val="24"/>
          <w:szCs w:val="24"/>
        </w:rPr>
        <w:t>B. papayae</w:t>
      </w:r>
      <w:r>
        <w:rPr>
          <w:rFonts w:ascii="Times New Roman" w:hAnsi="Times New Roman"/>
          <w:sz w:val="24"/>
          <w:szCs w:val="24"/>
        </w:rPr>
        <w:t xml:space="preserve"> (papaya fruit fly) belong to the fruit fly family Tephritidae that contains some of the most damaging pests of horticultural crops (White and Elson-Harris 1992; Allwood</w:t>
      </w:r>
      <w:r>
        <w:rPr>
          <w:rFonts w:ascii="Times New Roman" w:hAnsi="Times New Roman"/>
          <w:i/>
          <w:sz w:val="24"/>
          <w:szCs w:val="24"/>
        </w:rPr>
        <w:t xml:space="preserve"> et al.</w:t>
      </w:r>
      <w:r>
        <w:rPr>
          <w:rFonts w:ascii="Times New Roman" w:hAnsi="Times New Roman"/>
          <w:sz w:val="24"/>
          <w:szCs w:val="24"/>
        </w:rPr>
        <w:t xml:space="preserve"> 2001). </w:t>
      </w:r>
      <w:r>
        <w:rPr>
          <w:rFonts w:ascii="Times New Roman" w:hAnsi="Times New Roman"/>
          <w:i/>
          <w:sz w:val="24"/>
          <w:szCs w:val="24"/>
        </w:rPr>
        <w:t>Bactrocera carambolae</w:t>
      </w:r>
      <w:r>
        <w:rPr>
          <w:rFonts w:ascii="Times New Roman" w:hAnsi="Times New Roman"/>
          <w:sz w:val="24"/>
          <w:szCs w:val="24"/>
        </w:rPr>
        <w:t xml:space="preserve"> and </w:t>
      </w:r>
      <w:r>
        <w:rPr>
          <w:rFonts w:ascii="Times New Roman" w:hAnsi="Times New Roman"/>
          <w:i/>
          <w:sz w:val="24"/>
          <w:szCs w:val="24"/>
        </w:rPr>
        <w:t>B. papayae</w:t>
      </w:r>
      <w:r>
        <w:rPr>
          <w:rFonts w:ascii="Times New Roman" w:hAnsi="Times New Roman"/>
          <w:sz w:val="24"/>
          <w:szCs w:val="24"/>
        </w:rPr>
        <w:t xml:space="preserve"> are serious pests of a wide range of commercial fruit crops in Southeast Asia (including Indonesia), Oceania, the subcontinent and parts of Africa (White and Elson-Harris 1992; Allwood</w:t>
      </w:r>
      <w:r>
        <w:rPr>
          <w:rFonts w:ascii="Times New Roman" w:hAnsi="Times New Roman"/>
          <w:i/>
          <w:sz w:val="24"/>
          <w:szCs w:val="24"/>
        </w:rPr>
        <w:t xml:space="preserve"> et al.</w:t>
      </w:r>
      <w:r>
        <w:rPr>
          <w:rFonts w:ascii="Times New Roman" w:hAnsi="Times New Roman"/>
          <w:sz w:val="24"/>
          <w:szCs w:val="24"/>
        </w:rPr>
        <w:t xml:space="preserve"> 2001).</w:t>
      </w:r>
    </w:p>
    <w:p w14:paraId="2B77D5F1"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The biology and taxonomy of these two species are considered sufficiently similar to justify combining them into a single assessment. In this assessment, the term ‘fruit flies’ is used to refer to these two species unless otherwise specified.</w:t>
      </w:r>
    </w:p>
    <w:p w14:paraId="2F5755D8"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 xml:space="preserve">In Indonesia and Malaysia, </w:t>
      </w:r>
      <w:r>
        <w:rPr>
          <w:rFonts w:ascii="Times New Roman" w:hAnsi="Times New Roman"/>
          <w:i/>
          <w:sz w:val="24"/>
          <w:szCs w:val="24"/>
        </w:rPr>
        <w:t>B. papayae</w:t>
      </w:r>
      <w:r>
        <w:rPr>
          <w:rFonts w:ascii="Times New Roman" w:hAnsi="Times New Roman"/>
          <w:sz w:val="24"/>
          <w:szCs w:val="24"/>
        </w:rPr>
        <w:t xml:space="preserve"> was previously referred to as </w:t>
      </w:r>
      <w:r>
        <w:rPr>
          <w:rFonts w:ascii="Times New Roman" w:hAnsi="Times New Roman"/>
          <w:i/>
          <w:sz w:val="24"/>
          <w:szCs w:val="24"/>
        </w:rPr>
        <w:t>B. dorsalis</w:t>
      </w:r>
      <w:r>
        <w:rPr>
          <w:rStyle w:val="CommentReference"/>
          <w:rFonts w:ascii="Times New Roman" w:hAnsi="Times New Roman"/>
          <w:sz w:val="24"/>
          <w:szCs w:val="24"/>
        </w:rPr>
        <w:t xml:space="preserve">. </w:t>
      </w:r>
      <w:r>
        <w:rPr>
          <w:rFonts w:ascii="Times New Roman" w:hAnsi="Times New Roman"/>
          <w:sz w:val="24"/>
          <w:szCs w:val="24"/>
        </w:rPr>
        <w:t xml:space="preserve">The taxon was revised in 1994 and </w:t>
      </w:r>
      <w:r>
        <w:rPr>
          <w:rFonts w:ascii="Times New Roman" w:hAnsi="Times New Roman"/>
          <w:i/>
          <w:sz w:val="24"/>
          <w:szCs w:val="24"/>
        </w:rPr>
        <w:t>B. papayae</w:t>
      </w:r>
      <w:r>
        <w:rPr>
          <w:rFonts w:ascii="Times New Roman" w:hAnsi="Times New Roman"/>
          <w:sz w:val="24"/>
          <w:szCs w:val="24"/>
        </w:rPr>
        <w:t xml:space="preserve"> was described as a distinct species (Drew and Hancock 1994). </w:t>
      </w:r>
      <w:r>
        <w:rPr>
          <w:rFonts w:ascii="Times New Roman" w:hAnsi="Times New Roman"/>
          <w:i/>
          <w:sz w:val="24"/>
          <w:szCs w:val="24"/>
        </w:rPr>
        <w:t>Bactrocera papayae</w:t>
      </w:r>
      <w:r>
        <w:rPr>
          <w:rFonts w:ascii="Times New Roman" w:hAnsi="Times New Roman"/>
          <w:sz w:val="24"/>
          <w:szCs w:val="24"/>
        </w:rPr>
        <w:t xml:space="preserve"> is a polyphagous pest and attacks many species of edible fruits and fleshy vegetables. It has been recorded in Southeast Asia on 193 host plants (Allwood</w:t>
      </w:r>
      <w:r>
        <w:rPr>
          <w:rFonts w:ascii="Times New Roman" w:hAnsi="Times New Roman"/>
          <w:i/>
          <w:sz w:val="24"/>
          <w:szCs w:val="24"/>
        </w:rPr>
        <w:t xml:space="preserve"> et al.</w:t>
      </w:r>
      <w:r>
        <w:rPr>
          <w:rFonts w:ascii="Times New Roman" w:hAnsi="Times New Roman"/>
          <w:sz w:val="24"/>
          <w:szCs w:val="24"/>
        </w:rPr>
        <w:t xml:space="preserve"> 1999). </w:t>
      </w:r>
      <w:r>
        <w:rPr>
          <w:rFonts w:ascii="Times New Roman" w:hAnsi="Times New Roman"/>
          <w:i/>
          <w:sz w:val="24"/>
          <w:szCs w:val="24"/>
        </w:rPr>
        <w:t>Bactrocera papayae</w:t>
      </w:r>
      <w:r>
        <w:rPr>
          <w:rFonts w:ascii="Times New Roman" w:hAnsi="Times New Roman"/>
          <w:sz w:val="24"/>
          <w:szCs w:val="24"/>
        </w:rPr>
        <w:t xml:space="preserve"> was detected in Queensland, Australia in 1995 and was declared eradicated in 1999 (Cantrell</w:t>
      </w:r>
      <w:r>
        <w:rPr>
          <w:rFonts w:ascii="Times New Roman" w:hAnsi="Times New Roman"/>
          <w:i/>
          <w:sz w:val="24"/>
          <w:szCs w:val="24"/>
        </w:rPr>
        <w:t xml:space="preserve"> et al.</w:t>
      </w:r>
      <w:r>
        <w:rPr>
          <w:rFonts w:ascii="Times New Roman" w:hAnsi="Times New Roman"/>
          <w:sz w:val="24"/>
          <w:szCs w:val="24"/>
        </w:rPr>
        <w:t xml:space="preserve"> 2002). In Australia, </w:t>
      </w:r>
      <w:r>
        <w:rPr>
          <w:rFonts w:ascii="Times New Roman" w:hAnsi="Times New Roman"/>
          <w:i/>
          <w:sz w:val="24"/>
          <w:szCs w:val="24"/>
        </w:rPr>
        <w:t>B. papayae</w:t>
      </w:r>
      <w:r>
        <w:rPr>
          <w:rFonts w:ascii="Times New Roman" w:hAnsi="Times New Roman"/>
          <w:sz w:val="24"/>
          <w:szCs w:val="24"/>
        </w:rPr>
        <w:t xml:space="preserve"> bred on 35 host species (Hancock</w:t>
      </w:r>
      <w:r>
        <w:rPr>
          <w:rFonts w:ascii="Times New Roman" w:hAnsi="Times New Roman"/>
          <w:i/>
          <w:sz w:val="24"/>
          <w:szCs w:val="24"/>
        </w:rPr>
        <w:t xml:space="preserve"> et al.</w:t>
      </w:r>
      <w:r>
        <w:rPr>
          <w:rFonts w:ascii="Times New Roman" w:hAnsi="Times New Roman"/>
          <w:sz w:val="24"/>
          <w:szCs w:val="24"/>
        </w:rPr>
        <w:t xml:space="preserve"> 2000).</w:t>
      </w:r>
    </w:p>
    <w:p w14:paraId="44850A66" w14:textId="77777777" w:rsidR="009D3DC8" w:rsidRDefault="009D3DC8">
      <w:pPr>
        <w:spacing w:before="180" w:line="280" w:lineRule="atLeast"/>
        <w:rPr>
          <w:rFonts w:ascii="Times New Roman" w:hAnsi="Times New Roman"/>
          <w:sz w:val="24"/>
          <w:szCs w:val="24"/>
        </w:rPr>
      </w:pPr>
      <w:r>
        <w:rPr>
          <w:rFonts w:ascii="Times New Roman" w:hAnsi="Times New Roman"/>
          <w:i/>
          <w:sz w:val="24"/>
          <w:szCs w:val="24"/>
        </w:rPr>
        <w:t>Bactrocera carambolae</w:t>
      </w:r>
      <w:r>
        <w:rPr>
          <w:rFonts w:ascii="Times New Roman" w:hAnsi="Times New Roman"/>
          <w:sz w:val="24"/>
          <w:szCs w:val="24"/>
        </w:rPr>
        <w:t xml:space="preserve"> originates from Indonesia, Malaysia and southern Thailand (Van Sauers-Muller 2005). This species is less virulent than </w:t>
      </w:r>
      <w:r>
        <w:rPr>
          <w:rFonts w:ascii="Times New Roman" w:hAnsi="Times New Roman"/>
          <w:i/>
          <w:sz w:val="24"/>
          <w:szCs w:val="24"/>
        </w:rPr>
        <w:t>B. papayae</w:t>
      </w:r>
      <w:r>
        <w:rPr>
          <w:rFonts w:ascii="Times New Roman" w:hAnsi="Times New Roman"/>
          <w:sz w:val="24"/>
          <w:szCs w:val="24"/>
        </w:rPr>
        <w:t>, and recorded on 75 host plants (Allwood</w:t>
      </w:r>
      <w:r>
        <w:rPr>
          <w:rFonts w:ascii="Times New Roman" w:hAnsi="Times New Roman"/>
          <w:i/>
          <w:sz w:val="24"/>
          <w:szCs w:val="24"/>
        </w:rPr>
        <w:t xml:space="preserve"> et al.</w:t>
      </w:r>
      <w:r>
        <w:rPr>
          <w:rFonts w:ascii="Times New Roman" w:hAnsi="Times New Roman"/>
          <w:sz w:val="24"/>
          <w:szCs w:val="24"/>
        </w:rPr>
        <w:t xml:space="preserve"> 1999).</w:t>
      </w:r>
    </w:p>
    <w:p w14:paraId="3EECB71B" w14:textId="77777777" w:rsidR="009D3DC8" w:rsidRDefault="009D3DC8">
      <w:pPr>
        <w:spacing w:before="180" w:line="280" w:lineRule="atLeast"/>
        <w:rPr>
          <w:rFonts w:ascii="Times New Roman" w:hAnsi="Times New Roman"/>
          <w:sz w:val="24"/>
          <w:szCs w:val="24"/>
        </w:rPr>
      </w:pPr>
      <w:r>
        <w:rPr>
          <w:rFonts w:ascii="Times New Roman" w:hAnsi="Times New Roman"/>
          <w:i/>
          <w:sz w:val="24"/>
          <w:szCs w:val="24"/>
        </w:rPr>
        <w:t>Bactrocera</w:t>
      </w:r>
      <w:r>
        <w:rPr>
          <w:rFonts w:ascii="Times New Roman" w:hAnsi="Times New Roman"/>
          <w:sz w:val="24"/>
          <w:szCs w:val="24"/>
        </w:rPr>
        <w:t xml:space="preserve"> species have four life stages: egg, larva, pupa and adult. Adults are predominantly black, or black and yellow. Eggs are laid below the skin of the host fruit (Cantrell</w:t>
      </w:r>
      <w:r>
        <w:rPr>
          <w:rFonts w:ascii="Times New Roman" w:hAnsi="Times New Roman"/>
          <w:i/>
          <w:sz w:val="24"/>
          <w:szCs w:val="24"/>
        </w:rPr>
        <w:t xml:space="preserve"> et al.</w:t>
      </w:r>
      <w:r>
        <w:rPr>
          <w:rFonts w:ascii="Times New Roman" w:hAnsi="Times New Roman"/>
          <w:sz w:val="24"/>
          <w:szCs w:val="24"/>
        </w:rPr>
        <w:t xml:space="preserve"> 2002). Hatched larvae feed within the fruit. Pupation occurs in the soil under the host plant. Fruit flies can produce several generations a year, depending on the temperature (CABI 2011).</w:t>
      </w:r>
    </w:p>
    <w:p w14:paraId="1A396EA9"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 xml:space="preserve">Reports of fruit fly infestations in mangosteen are scarce. There is one report of </w:t>
      </w:r>
      <w:r>
        <w:rPr>
          <w:rFonts w:ascii="Times New Roman" w:hAnsi="Times New Roman"/>
          <w:i/>
          <w:sz w:val="24"/>
          <w:szCs w:val="24"/>
        </w:rPr>
        <w:t>B. carambolae</w:t>
      </w:r>
      <w:r>
        <w:rPr>
          <w:rFonts w:ascii="Times New Roman" w:hAnsi="Times New Roman"/>
          <w:sz w:val="24"/>
          <w:szCs w:val="24"/>
        </w:rPr>
        <w:t xml:space="preserve"> and </w:t>
      </w:r>
      <w:r>
        <w:rPr>
          <w:rFonts w:ascii="Times New Roman" w:hAnsi="Times New Roman"/>
          <w:i/>
          <w:sz w:val="24"/>
          <w:szCs w:val="24"/>
        </w:rPr>
        <w:t>B. papayae</w:t>
      </w:r>
      <w:r>
        <w:rPr>
          <w:rFonts w:ascii="Times New Roman" w:hAnsi="Times New Roman"/>
          <w:sz w:val="24"/>
          <w:szCs w:val="24"/>
        </w:rPr>
        <w:t xml:space="preserve"> infesting mangosteen fruit in Southeast Asia (Allwood</w:t>
      </w:r>
      <w:r>
        <w:rPr>
          <w:rFonts w:ascii="Times New Roman" w:hAnsi="Times New Roman"/>
          <w:i/>
          <w:sz w:val="24"/>
          <w:szCs w:val="24"/>
        </w:rPr>
        <w:t xml:space="preserve"> et al.</w:t>
      </w:r>
      <w:r>
        <w:rPr>
          <w:rFonts w:ascii="Times New Roman" w:hAnsi="Times New Roman"/>
          <w:sz w:val="24"/>
          <w:szCs w:val="24"/>
        </w:rPr>
        <w:t xml:space="preserve"> 1999). However, the condition of the infested fruit was not recorded. It is possible that the fruit was damaged.</w:t>
      </w:r>
    </w:p>
    <w:p w14:paraId="285719CB"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 xml:space="preserve">Extensive research on the host status of mangosteen for both species as well as the related </w:t>
      </w:r>
      <w:r>
        <w:rPr>
          <w:rFonts w:ascii="Times New Roman" w:hAnsi="Times New Roman"/>
          <w:i/>
          <w:sz w:val="24"/>
          <w:szCs w:val="24"/>
        </w:rPr>
        <w:t>B. dorsalis</w:t>
      </w:r>
      <w:r>
        <w:rPr>
          <w:rFonts w:ascii="Times New Roman" w:hAnsi="Times New Roman"/>
          <w:sz w:val="24"/>
          <w:szCs w:val="24"/>
        </w:rPr>
        <w:t xml:space="preserve"> has shown that sound fruit does not support the development of any of these fruit fly species, while infestations of damaged fruit, especially where the aril is accessible, are possible (Leach 1997; Unahawutti and Oonthonglang 2002; Iswari</w:t>
      </w:r>
      <w:r>
        <w:rPr>
          <w:rFonts w:ascii="Times New Roman" w:hAnsi="Times New Roman"/>
          <w:i/>
          <w:sz w:val="24"/>
          <w:szCs w:val="24"/>
        </w:rPr>
        <w:t xml:space="preserve"> et al.</w:t>
      </w:r>
      <w:r>
        <w:rPr>
          <w:rFonts w:ascii="Times New Roman" w:hAnsi="Times New Roman"/>
          <w:sz w:val="24"/>
          <w:szCs w:val="24"/>
        </w:rPr>
        <w:t xml:space="preserve"> 2011).</w:t>
      </w:r>
    </w:p>
    <w:p w14:paraId="308556C4"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 xml:space="preserve">The risk scenario of concern for </w:t>
      </w:r>
      <w:r>
        <w:rPr>
          <w:rFonts w:ascii="Times New Roman" w:hAnsi="Times New Roman"/>
          <w:i/>
          <w:sz w:val="24"/>
          <w:szCs w:val="24"/>
        </w:rPr>
        <w:t>B. carambolae</w:t>
      </w:r>
      <w:r>
        <w:rPr>
          <w:rFonts w:ascii="Times New Roman" w:hAnsi="Times New Roman"/>
          <w:sz w:val="24"/>
          <w:szCs w:val="24"/>
        </w:rPr>
        <w:t xml:space="preserve"> and </w:t>
      </w:r>
      <w:r>
        <w:rPr>
          <w:rFonts w:ascii="Times New Roman" w:hAnsi="Times New Roman"/>
          <w:i/>
          <w:sz w:val="24"/>
          <w:szCs w:val="24"/>
        </w:rPr>
        <w:t>B. papayae</w:t>
      </w:r>
      <w:r>
        <w:rPr>
          <w:rFonts w:ascii="Times New Roman" w:hAnsi="Times New Roman"/>
          <w:sz w:val="24"/>
          <w:szCs w:val="24"/>
        </w:rPr>
        <w:t xml:space="preserve"> is the presence of eggs and developing larvae within imported mangosteen fruit.</w:t>
      </w:r>
    </w:p>
    <w:p w14:paraId="065E64C3" w14:textId="77777777" w:rsidR="009D3DC8" w:rsidRDefault="009D3DC8">
      <w:pPr>
        <w:spacing w:before="180" w:line="280" w:lineRule="atLeast"/>
        <w:rPr>
          <w:rFonts w:ascii="Times New Roman" w:hAnsi="Times New Roman"/>
          <w:sz w:val="24"/>
          <w:szCs w:val="24"/>
        </w:rPr>
      </w:pPr>
      <w:r>
        <w:rPr>
          <w:rFonts w:ascii="Times New Roman" w:hAnsi="Times New Roman"/>
          <w:i/>
          <w:sz w:val="24"/>
          <w:szCs w:val="24"/>
        </w:rPr>
        <w:t>Bactrocera carambolae</w:t>
      </w:r>
      <w:r>
        <w:rPr>
          <w:rFonts w:ascii="Times New Roman" w:hAnsi="Times New Roman"/>
          <w:sz w:val="24"/>
          <w:szCs w:val="24"/>
        </w:rPr>
        <w:t xml:space="preserve"> and </w:t>
      </w:r>
      <w:r>
        <w:rPr>
          <w:rFonts w:ascii="Times New Roman" w:hAnsi="Times New Roman"/>
          <w:i/>
          <w:sz w:val="24"/>
          <w:szCs w:val="24"/>
        </w:rPr>
        <w:t>B. papayae</w:t>
      </w:r>
      <w:r>
        <w:rPr>
          <w:rFonts w:ascii="Times New Roman" w:hAnsi="Times New Roman"/>
          <w:sz w:val="24"/>
          <w:szCs w:val="24"/>
        </w:rPr>
        <w:t xml:space="preserve"> were assessed in the existing import policy for mangosteen fruit from Thailand (DAFF 2004b). The assessment of </w:t>
      </w:r>
      <w:r>
        <w:rPr>
          <w:rFonts w:ascii="Times New Roman" w:hAnsi="Times New Roman"/>
          <w:i/>
          <w:sz w:val="24"/>
          <w:szCs w:val="24"/>
        </w:rPr>
        <w:t>B. carambolae</w:t>
      </w:r>
      <w:r>
        <w:rPr>
          <w:rFonts w:ascii="Times New Roman" w:hAnsi="Times New Roman"/>
          <w:sz w:val="24"/>
          <w:szCs w:val="24"/>
        </w:rPr>
        <w:t xml:space="preserve"> and </w:t>
      </w:r>
      <w:r>
        <w:rPr>
          <w:rFonts w:ascii="Times New Roman" w:hAnsi="Times New Roman"/>
          <w:i/>
          <w:sz w:val="24"/>
          <w:szCs w:val="24"/>
        </w:rPr>
        <w:t>B. papayae</w:t>
      </w:r>
      <w:r>
        <w:rPr>
          <w:rFonts w:ascii="Times New Roman" w:hAnsi="Times New Roman"/>
          <w:sz w:val="24"/>
          <w:szCs w:val="24"/>
        </w:rPr>
        <w:t xml:space="preserve"> presented here builds on this previous assessment.</w:t>
      </w:r>
    </w:p>
    <w:p w14:paraId="6E4C5239"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lastRenderedPageBreak/>
        <w:t>Differences in the commodity, horticultural practices, climatic conditions and prevalence of fruit flies between previous export areas (Thailand) and Indonesia make it necessary to reassess the likelihood that fruit flies will be imported into and distributed within Australia with mangosteen fruit from Indonesia.</w:t>
      </w:r>
    </w:p>
    <w:p w14:paraId="00FB3631"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 xml:space="preserve">The probability of establishment and spread of </w:t>
      </w:r>
      <w:r>
        <w:rPr>
          <w:rFonts w:ascii="Times New Roman" w:hAnsi="Times New Roman"/>
          <w:i/>
          <w:sz w:val="24"/>
          <w:szCs w:val="24"/>
        </w:rPr>
        <w:t>B. carambolae</w:t>
      </w:r>
      <w:r>
        <w:rPr>
          <w:rFonts w:ascii="Times New Roman" w:hAnsi="Times New Roman"/>
          <w:sz w:val="24"/>
          <w:szCs w:val="24"/>
        </w:rPr>
        <w:t xml:space="preserve"> and</w:t>
      </w:r>
      <w:r>
        <w:rPr>
          <w:rFonts w:ascii="Times New Roman" w:hAnsi="Times New Roman"/>
          <w:i/>
          <w:sz w:val="24"/>
          <w:szCs w:val="24"/>
        </w:rPr>
        <w:t xml:space="preserve"> B. papayae</w:t>
      </w:r>
      <w:r>
        <w:rPr>
          <w:rFonts w:ascii="Times New Roman" w:hAnsi="Times New Roman"/>
          <w:sz w:val="24"/>
          <w:szCs w:val="24"/>
        </w:rPr>
        <w:t xml:space="preserve"> in Australia and the consequences they may cause will be comparable for any commodity from which these species are imported into Australia, as these probabilities relate specifically to events that occur in Australia and are largely independent of the importation pathway. Accordingly, there is no need to reassess these components, and the risk ratings for establishment, spread and consequences, as set out for </w:t>
      </w:r>
      <w:r>
        <w:rPr>
          <w:rFonts w:ascii="Times New Roman" w:hAnsi="Times New Roman"/>
          <w:i/>
          <w:sz w:val="24"/>
          <w:szCs w:val="24"/>
        </w:rPr>
        <w:t>B. carambolae</w:t>
      </w:r>
      <w:r>
        <w:rPr>
          <w:rFonts w:ascii="Times New Roman" w:hAnsi="Times New Roman"/>
          <w:sz w:val="24"/>
          <w:szCs w:val="24"/>
        </w:rPr>
        <w:t xml:space="preserve"> and </w:t>
      </w:r>
      <w:r>
        <w:rPr>
          <w:rFonts w:ascii="Times New Roman" w:hAnsi="Times New Roman"/>
          <w:i/>
          <w:sz w:val="24"/>
          <w:szCs w:val="24"/>
        </w:rPr>
        <w:t>B. papayae</w:t>
      </w:r>
      <w:r>
        <w:rPr>
          <w:rFonts w:ascii="Times New Roman" w:hAnsi="Times New Roman"/>
          <w:sz w:val="24"/>
          <w:szCs w:val="24"/>
        </w:rPr>
        <w:t xml:space="preserve"> in the mangosteen fruit from Thailand import risk analysis report (DAFF 2004b), will be adopted for this assessment.</w:t>
      </w:r>
    </w:p>
    <w:p w14:paraId="405AB56A" w14:textId="77777777" w:rsidR="009D3DC8" w:rsidRDefault="009D3DC8">
      <w:pPr>
        <w:pStyle w:val="Heading3"/>
        <w:numPr>
          <w:ilvl w:val="2"/>
          <w:numId w:val="8"/>
        </w:numPr>
        <w:spacing w:line="240" w:lineRule="auto"/>
      </w:pPr>
      <w:r>
        <w:t>Reassessment of probability of entry</w:t>
      </w:r>
    </w:p>
    <w:p w14:paraId="72EE8583" w14:textId="77777777" w:rsidR="009D3DC8" w:rsidRDefault="009D3DC8">
      <w:pPr>
        <w:spacing w:before="180" w:line="280" w:lineRule="atLeast"/>
        <w:rPr>
          <w:rFonts w:ascii="Times New Roman" w:hAnsi="Times New Roman"/>
          <w:sz w:val="24"/>
        </w:rPr>
      </w:pPr>
      <w:r>
        <w:rPr>
          <w:rFonts w:ascii="Times New Roman" w:hAnsi="Times New Roman"/>
          <w:sz w:val="24"/>
        </w:rPr>
        <w:t>The probability of entry is considered in two parts, the probability of importation and the probability of distribution, which consider pre-border and post-border issues, respectively.</w:t>
      </w:r>
    </w:p>
    <w:p w14:paraId="4384EE5F"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importation</w:t>
      </w:r>
    </w:p>
    <w:p w14:paraId="5DB98F0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 xml:space="preserve">B. carambolae </w:t>
      </w:r>
      <w:r>
        <w:rPr>
          <w:rFonts w:ascii="Times New Roman" w:hAnsi="Times New Roman"/>
          <w:sz w:val="24"/>
        </w:rPr>
        <w:t xml:space="preserve">and </w:t>
      </w:r>
      <w:r>
        <w:rPr>
          <w:rFonts w:ascii="Times New Roman" w:hAnsi="Times New Roman"/>
          <w:i/>
          <w:sz w:val="24"/>
        </w:rPr>
        <w:t xml:space="preserve">B. papayae </w:t>
      </w:r>
      <w:r>
        <w:rPr>
          <w:rFonts w:ascii="Times New Roman" w:hAnsi="Times New Roman"/>
          <w:sz w:val="24"/>
        </w:rPr>
        <w:t xml:space="preserve">will arrive in Australia with the importation of mangosteen fruit from Indonesia is: </w:t>
      </w:r>
      <w:r>
        <w:rPr>
          <w:rFonts w:ascii="Times New Roman" w:hAnsi="Times New Roman"/>
          <w:b/>
          <w:sz w:val="24"/>
        </w:rPr>
        <w:t>EXTREMELY LOW</w:t>
      </w:r>
      <w:r>
        <w:rPr>
          <w:rFonts w:ascii="Times New Roman" w:hAnsi="Times New Roman"/>
          <w:sz w:val="24"/>
        </w:rPr>
        <w:t>.</w:t>
      </w:r>
    </w:p>
    <w:p w14:paraId="32B1A5B6"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642F159A" w14:textId="77777777" w:rsidR="009D3DC8" w:rsidRDefault="009D3DC8">
      <w:pPr>
        <w:pStyle w:val="Bullet"/>
        <w:numPr>
          <w:ilvl w:val="0"/>
          <w:numId w:val="30"/>
        </w:numPr>
        <w:spacing w:before="120" w:after="60" w:line="280" w:lineRule="atLeast"/>
        <w:rPr>
          <w:rFonts w:ascii="Times New Roman" w:hAnsi="Times New Roman"/>
          <w:szCs w:val="24"/>
        </w:rPr>
      </w:pPr>
      <w:r>
        <w:rPr>
          <w:rFonts w:ascii="Times New Roman" w:hAnsi="Times New Roman"/>
          <w:i/>
          <w:szCs w:val="24"/>
        </w:rPr>
        <w:t xml:space="preserve">Bactrocera carambolae </w:t>
      </w:r>
      <w:r>
        <w:rPr>
          <w:rFonts w:ascii="Times New Roman" w:hAnsi="Times New Roman"/>
          <w:szCs w:val="24"/>
        </w:rPr>
        <w:t xml:space="preserve">and </w:t>
      </w:r>
      <w:r>
        <w:rPr>
          <w:rFonts w:ascii="Times New Roman" w:hAnsi="Times New Roman"/>
          <w:i/>
          <w:szCs w:val="24"/>
        </w:rPr>
        <w:t xml:space="preserve">B. papayae </w:t>
      </w:r>
      <w:r>
        <w:rPr>
          <w:rFonts w:ascii="Times New Roman" w:hAnsi="Times New Roman"/>
          <w:szCs w:val="24"/>
        </w:rPr>
        <w:t>are present in Indonesia (Van Sauers-Muller 2005).</w:t>
      </w:r>
    </w:p>
    <w:p w14:paraId="7D5C90A7"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i/>
          <w:szCs w:val="24"/>
        </w:rPr>
        <w:t xml:space="preserve">Bactrocera carambolae </w:t>
      </w:r>
      <w:r>
        <w:rPr>
          <w:rFonts w:ascii="Times New Roman" w:hAnsi="Times New Roman"/>
          <w:szCs w:val="24"/>
        </w:rPr>
        <w:t xml:space="preserve">and </w:t>
      </w:r>
      <w:r>
        <w:rPr>
          <w:rFonts w:ascii="Times New Roman" w:hAnsi="Times New Roman"/>
          <w:i/>
          <w:szCs w:val="24"/>
        </w:rPr>
        <w:t>B. papayae</w:t>
      </w:r>
      <w:r>
        <w:rPr>
          <w:rFonts w:ascii="Times New Roman" w:hAnsi="Times New Roman"/>
          <w:szCs w:val="24"/>
        </w:rPr>
        <w:t xml:space="preserve"> are polyphagous and are pests of a wide range of commercial fruit including summerfruit, tropical fruit and citrus (Allwood</w:t>
      </w:r>
      <w:r>
        <w:rPr>
          <w:rFonts w:ascii="Times New Roman" w:hAnsi="Times New Roman"/>
          <w:i/>
          <w:szCs w:val="24"/>
        </w:rPr>
        <w:t xml:space="preserve"> et al.</w:t>
      </w:r>
      <w:r>
        <w:rPr>
          <w:rFonts w:ascii="Times New Roman" w:hAnsi="Times New Roman"/>
          <w:szCs w:val="24"/>
        </w:rPr>
        <w:t xml:space="preserve"> 1999).</w:t>
      </w:r>
    </w:p>
    <w:p w14:paraId="63266375"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In general, female fruit flies deposit eggs beneath the skin of host fruit (CABI 2011). Larvae feed within the fruit for a few days after hatching. Eggs and larvae within the fruit may be difficult to detect.</w:t>
      </w:r>
    </w:p>
    <w:p w14:paraId="52C26508"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i/>
          <w:szCs w:val="24"/>
        </w:rPr>
        <w:t>Bactrocera papayae</w:t>
      </w:r>
      <w:r>
        <w:rPr>
          <w:rFonts w:ascii="Times New Roman" w:hAnsi="Times New Roman"/>
          <w:szCs w:val="24"/>
        </w:rPr>
        <w:t xml:space="preserve"> females have a long ovipositor enabling them to infest hard skinned fruits, including citrus, pawpaw and very young bananas (Pacific Fruit Fly Web 2002).</w:t>
      </w:r>
    </w:p>
    <w:p w14:paraId="06AAC278"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 xml:space="preserve">Records of fruit flies in mangosteens are rare and often anecdotal. There are no confirmed reports of fruit fly infestations of undamaged mangosteen fruit in the literature. Allwood </w:t>
      </w:r>
      <w:r>
        <w:rPr>
          <w:rFonts w:ascii="Times New Roman" w:hAnsi="Times New Roman"/>
          <w:i/>
          <w:szCs w:val="24"/>
        </w:rPr>
        <w:t>et al</w:t>
      </w:r>
      <w:r>
        <w:rPr>
          <w:rFonts w:ascii="Times New Roman" w:hAnsi="Times New Roman"/>
          <w:szCs w:val="24"/>
        </w:rPr>
        <w:t>. (1999) reported that fruit flies had been reared from mangosteen fruit from Thailand and Malaysia. However, the condition of the fruit (i.e. whether it was sound or damaged, and its maturity level) was not reported. It is possible that the infested fruit was already damaged.</w:t>
      </w:r>
    </w:p>
    <w:p w14:paraId="5FF331E9"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 xml:space="preserve">Mangosteen fruit that are undamaged are considered to be a conditional non-host to fruit flies. </w:t>
      </w:r>
      <w:r>
        <w:rPr>
          <w:rFonts w:ascii="Times New Roman" w:hAnsi="Times New Roman"/>
          <w:i/>
          <w:szCs w:val="24"/>
        </w:rPr>
        <w:t xml:space="preserve">Bactrocera carambolae </w:t>
      </w:r>
      <w:r>
        <w:rPr>
          <w:rFonts w:ascii="Times New Roman" w:hAnsi="Times New Roman"/>
          <w:szCs w:val="24"/>
        </w:rPr>
        <w:t xml:space="preserve">and </w:t>
      </w:r>
      <w:r>
        <w:rPr>
          <w:rFonts w:ascii="Times New Roman" w:hAnsi="Times New Roman"/>
          <w:i/>
          <w:szCs w:val="24"/>
        </w:rPr>
        <w:t>B. papayae</w:t>
      </w:r>
      <w:r>
        <w:rPr>
          <w:rFonts w:ascii="Times New Roman" w:hAnsi="Times New Roman"/>
          <w:szCs w:val="24"/>
        </w:rPr>
        <w:t xml:space="preserve"> have been shown to be unable to infest sound mangosteen fruit in laboratory studies in Australia and Indonesia (Leach 1997; Iswari</w:t>
      </w:r>
      <w:r>
        <w:rPr>
          <w:rFonts w:ascii="Times New Roman" w:hAnsi="Times New Roman"/>
          <w:i/>
          <w:szCs w:val="24"/>
        </w:rPr>
        <w:t xml:space="preserve"> et al.</w:t>
      </w:r>
      <w:r>
        <w:rPr>
          <w:rFonts w:ascii="Times New Roman" w:hAnsi="Times New Roman"/>
          <w:szCs w:val="24"/>
        </w:rPr>
        <w:t xml:space="preserve"> 2011).</w:t>
      </w:r>
    </w:p>
    <w:p w14:paraId="0FCE99F4"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lastRenderedPageBreak/>
        <w:t>In Indonesia, mangosteens are grown in mixed cultivation with other fruit</w:t>
      </w:r>
      <w:r>
        <w:rPr>
          <w:rFonts w:ascii="Times New Roman" w:hAnsi="Times New Roman"/>
          <w:i/>
          <w:szCs w:val="24"/>
        </w:rPr>
        <w:t xml:space="preserve"> </w:t>
      </w:r>
      <w:r>
        <w:rPr>
          <w:rFonts w:ascii="Times New Roman" w:hAnsi="Times New Roman"/>
          <w:szCs w:val="24"/>
        </w:rPr>
        <w:t>fly host</w:t>
      </w:r>
      <w:r>
        <w:rPr>
          <w:rFonts w:ascii="Times New Roman" w:hAnsi="Times New Roman"/>
          <w:i/>
          <w:szCs w:val="24"/>
        </w:rPr>
        <w:t xml:space="preserve"> </w:t>
      </w:r>
      <w:r>
        <w:rPr>
          <w:rFonts w:ascii="Times New Roman" w:hAnsi="Times New Roman"/>
          <w:szCs w:val="24"/>
        </w:rPr>
        <w:t>crops</w:t>
      </w:r>
      <w:r>
        <w:rPr>
          <w:rFonts w:ascii="Times New Roman" w:hAnsi="Times New Roman"/>
          <w:i/>
          <w:szCs w:val="24"/>
        </w:rPr>
        <w:t xml:space="preserve"> </w:t>
      </w:r>
      <w:r>
        <w:rPr>
          <w:rFonts w:ascii="Times New Roman" w:hAnsi="Times New Roman"/>
          <w:szCs w:val="24"/>
        </w:rPr>
        <w:t>such as duku, papaya and banana. Fruit flies favour these crops over mangosteen.</w:t>
      </w:r>
    </w:p>
    <w:p w14:paraId="03F4E51C"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The flesh of mangosteen fruit is nutritionally supportive for larval growth (Leach 1997; Unahawutti and Oonthonglang 2002; Iswari</w:t>
      </w:r>
      <w:r>
        <w:rPr>
          <w:rFonts w:ascii="Times New Roman" w:hAnsi="Times New Roman"/>
          <w:i/>
          <w:szCs w:val="24"/>
        </w:rPr>
        <w:t xml:space="preserve"> et al.</w:t>
      </w:r>
      <w:r>
        <w:rPr>
          <w:rFonts w:ascii="Times New Roman" w:hAnsi="Times New Roman"/>
          <w:szCs w:val="24"/>
        </w:rPr>
        <w:t xml:space="preserve"> 2011). However, Iswari </w:t>
      </w:r>
      <w:r>
        <w:rPr>
          <w:rFonts w:ascii="Times New Roman" w:hAnsi="Times New Roman"/>
          <w:i/>
          <w:szCs w:val="24"/>
        </w:rPr>
        <w:t xml:space="preserve">et al. </w:t>
      </w:r>
      <w:r>
        <w:rPr>
          <w:rFonts w:ascii="Times New Roman" w:hAnsi="Times New Roman"/>
          <w:szCs w:val="24"/>
        </w:rPr>
        <w:t>(2011) observed that larvae were still present within the fruit 21 days after fruit fly infestation. The fruit fly larvae were unable to emerge out of the pericarp to complete their life cycle. This may be due to the toxic chemical nature of the mangosteen rind (Leach 1997; Unahawutti and Oonthonglang 2002; Iswari</w:t>
      </w:r>
      <w:r>
        <w:rPr>
          <w:rFonts w:ascii="Times New Roman" w:hAnsi="Times New Roman"/>
          <w:i/>
          <w:szCs w:val="24"/>
        </w:rPr>
        <w:t xml:space="preserve"> et al.</w:t>
      </w:r>
      <w:r>
        <w:rPr>
          <w:rFonts w:ascii="Times New Roman" w:hAnsi="Times New Roman"/>
          <w:szCs w:val="24"/>
        </w:rPr>
        <w:t xml:space="preserve"> 2011).</w:t>
      </w:r>
    </w:p>
    <w:p w14:paraId="650610E0"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Fruit flies will infest mangosteen fruit that is damaged through to the aril. Where fruit flies lay eggs in the pericarp of the mangosteen fruit that is not damaged through to the aril, the larvae cannot penetrate the pericarp to feed on the flesh (Unahawutti and Oonthonglang 2002).</w:t>
      </w:r>
    </w:p>
    <w:p w14:paraId="34C259F0"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Indonesia has indicated that undamaged mangosteen fruit at maturity index 2–3 would be exported to Australia. These fruit are considered to be a conditional non-host for fruit flies (Iswari</w:t>
      </w:r>
      <w:r>
        <w:rPr>
          <w:rFonts w:ascii="Times New Roman" w:hAnsi="Times New Roman"/>
          <w:i/>
          <w:szCs w:val="24"/>
        </w:rPr>
        <w:t xml:space="preserve"> et al.</w:t>
      </w:r>
      <w:r>
        <w:rPr>
          <w:rFonts w:ascii="Times New Roman" w:hAnsi="Times New Roman"/>
          <w:szCs w:val="24"/>
        </w:rPr>
        <w:t xml:space="preserve"> 2011). Any fruit that does not meet this criteria (i.e. is visibly damaged or cracked and at maturity index above 3) is easily detected and likely to be removed during the sorting, grading and packing process.</w:t>
      </w:r>
    </w:p>
    <w:p w14:paraId="1F0109A2"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Mangosteen fruit at maturity index 2–3 have a thick pericarp filled with sticky resinous latex that is released when fruit is damaged (Unahawutti and Oonthonglang 2002; Dorly</w:t>
      </w:r>
      <w:r>
        <w:rPr>
          <w:rFonts w:ascii="Times New Roman" w:hAnsi="Times New Roman"/>
          <w:i/>
          <w:szCs w:val="24"/>
        </w:rPr>
        <w:t xml:space="preserve"> et al.</w:t>
      </w:r>
      <w:r>
        <w:rPr>
          <w:rFonts w:ascii="Times New Roman" w:hAnsi="Times New Roman"/>
          <w:szCs w:val="24"/>
        </w:rPr>
        <w:t xml:space="preserve"> 2009). The secretion of the yellow latex seals off any damage to the mangosteen skin such as feeding punctures, physical cracks or mechanical injuries. The sealing of the mangosteen skin prevents fruit flies from entering the fruit.</w:t>
      </w:r>
    </w:p>
    <w:p w14:paraId="05DB3D3C" w14:textId="77777777" w:rsidR="009D3DC8" w:rsidRDefault="009D3DC8">
      <w:pPr>
        <w:pStyle w:val="BAText1bullet"/>
        <w:numPr>
          <w:ilvl w:val="0"/>
          <w:numId w:val="30"/>
        </w:numPr>
        <w:spacing w:before="120" w:after="60"/>
        <w:jc w:val="left"/>
        <w:rPr>
          <w:rFonts w:ascii="Times New Roman" w:hAnsi="Times New Roman"/>
          <w:szCs w:val="24"/>
        </w:rPr>
      </w:pPr>
      <w:r>
        <w:rPr>
          <w:rFonts w:ascii="Times New Roman" w:hAnsi="Times New Roman"/>
          <w:szCs w:val="24"/>
        </w:rPr>
        <w:t>Fruit flies have not been intercepted in Australia on mangosteen fruit imported from Thailand since trade commenced in 2004.</w:t>
      </w:r>
    </w:p>
    <w:p w14:paraId="46C8CECF" w14:textId="77777777" w:rsidR="009D3DC8" w:rsidRDefault="009D3DC8">
      <w:pPr>
        <w:spacing w:before="180" w:line="280" w:lineRule="atLeast"/>
        <w:rPr>
          <w:rFonts w:ascii="Times New Roman" w:hAnsi="Times New Roman"/>
          <w:sz w:val="24"/>
        </w:rPr>
      </w:pPr>
      <w:r>
        <w:rPr>
          <w:rFonts w:ascii="Times New Roman" w:hAnsi="Times New Roman"/>
          <w:sz w:val="24"/>
        </w:rPr>
        <w:t>Although fruit flies can infest damaged mangosteen fruit, the conditional non-host status of sound mangosteen fruit, importation of fruit of maturity index 2</w:t>
      </w:r>
      <w:r>
        <w:rPr>
          <w:rFonts w:ascii="Times New Roman" w:hAnsi="Times New Roman"/>
          <w:b/>
          <w:sz w:val="24"/>
        </w:rPr>
        <w:t>–</w:t>
      </w:r>
      <w:r>
        <w:rPr>
          <w:rFonts w:ascii="Times New Roman" w:hAnsi="Times New Roman"/>
          <w:sz w:val="24"/>
        </w:rPr>
        <w:t>3, the inability for larvae to penetrate the fruit skin to complete their life cycle, the fact that damaged and mature fruit which are susceptible to fruit flies are easily detected and the fact that fruit flies have not been detected in imported mangosteen fruit from Thailand support a likelihood estimate for importation of ‘extremely low’.</w:t>
      </w:r>
    </w:p>
    <w:p w14:paraId="20B2B4E4"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distribution</w:t>
      </w:r>
    </w:p>
    <w:p w14:paraId="02D25291"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Bactrocera carambolae</w:t>
      </w:r>
      <w:r>
        <w:rPr>
          <w:rFonts w:ascii="Times New Roman" w:hAnsi="Times New Roman"/>
          <w:sz w:val="24"/>
        </w:rPr>
        <w:t xml:space="preserve"> and </w:t>
      </w:r>
      <w:r>
        <w:rPr>
          <w:rFonts w:ascii="Times New Roman" w:hAnsi="Times New Roman"/>
          <w:i/>
          <w:sz w:val="24"/>
        </w:rPr>
        <w:t>B. papayae</w:t>
      </w:r>
      <w:r>
        <w:rPr>
          <w:rFonts w:ascii="Times New Roman" w:hAnsi="Times New Roman"/>
          <w:sz w:val="24"/>
        </w:rPr>
        <w:t xml:space="preserve"> will be distributed in Australia in a viable state as a result of the processing, sale or disposal of mangosteen fruit from Indonesia and subsequently transfer to a susceptible part of a host is: </w:t>
      </w:r>
      <w:r>
        <w:rPr>
          <w:rFonts w:ascii="Times New Roman" w:hAnsi="Times New Roman"/>
          <w:b/>
          <w:sz w:val="24"/>
        </w:rPr>
        <w:t>HIGH</w:t>
      </w:r>
      <w:r>
        <w:rPr>
          <w:rFonts w:ascii="Times New Roman" w:hAnsi="Times New Roman"/>
          <w:sz w:val="24"/>
        </w:rPr>
        <w:t>.</w:t>
      </w:r>
    </w:p>
    <w:p w14:paraId="59B63FF1"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3FBFF465" w14:textId="77777777" w:rsidR="009D3DC8" w:rsidRDefault="009D3DC8">
      <w:pPr>
        <w:pStyle w:val="BAText1bullet"/>
        <w:numPr>
          <w:ilvl w:val="0"/>
          <w:numId w:val="31"/>
        </w:numPr>
        <w:spacing w:before="120" w:after="60"/>
        <w:jc w:val="left"/>
        <w:rPr>
          <w:rFonts w:ascii="Times New Roman" w:hAnsi="Times New Roman"/>
        </w:rPr>
      </w:pPr>
      <w:r>
        <w:rPr>
          <w:rFonts w:ascii="Times New Roman" w:hAnsi="Times New Roman"/>
        </w:rPr>
        <w:t>Mangosteen fruit may be distributed throughout Australia for retail sale, as the intended use of the commodity is human consumption.</w:t>
      </w:r>
    </w:p>
    <w:p w14:paraId="420F8A21" w14:textId="77777777" w:rsidR="009D3DC8" w:rsidRDefault="009D3DC8">
      <w:pPr>
        <w:pStyle w:val="BAText1bullet"/>
        <w:numPr>
          <w:ilvl w:val="0"/>
          <w:numId w:val="31"/>
        </w:numPr>
        <w:spacing w:before="120" w:after="60"/>
        <w:jc w:val="left"/>
        <w:rPr>
          <w:rFonts w:ascii="Times New Roman" w:hAnsi="Times New Roman"/>
        </w:rPr>
      </w:pPr>
      <w:r>
        <w:rPr>
          <w:rFonts w:ascii="Times New Roman" w:hAnsi="Times New Roman"/>
        </w:rPr>
        <w:t>Fruit fly eggs and larvae present within the mangosteen fruit and are likely to remain undetected in the fruit during retail distribution. The pest may enter the environment as larvae discarded with infested mangosteen fruit.</w:t>
      </w:r>
    </w:p>
    <w:p w14:paraId="6932D9BF" w14:textId="77777777" w:rsidR="009D3DC8" w:rsidRDefault="009D3DC8">
      <w:pPr>
        <w:pStyle w:val="BAText1bullet"/>
        <w:numPr>
          <w:ilvl w:val="0"/>
          <w:numId w:val="31"/>
        </w:numPr>
        <w:spacing w:before="120" w:after="60"/>
        <w:jc w:val="left"/>
        <w:rPr>
          <w:rFonts w:ascii="Times New Roman" w:hAnsi="Times New Roman"/>
        </w:rPr>
      </w:pPr>
      <w:r>
        <w:rPr>
          <w:rFonts w:ascii="Times New Roman" w:hAnsi="Times New Roman"/>
        </w:rPr>
        <w:t>After arriving in Australia, the fruit fly larvae would need to complete their development within the fruit, exit the fruit, pupate in a suitable substrate and emerge as adults.</w:t>
      </w:r>
    </w:p>
    <w:p w14:paraId="5ED85258" w14:textId="77777777" w:rsidR="009D3DC8" w:rsidRDefault="009D3DC8">
      <w:pPr>
        <w:pStyle w:val="BAText1bullet"/>
        <w:numPr>
          <w:ilvl w:val="0"/>
          <w:numId w:val="31"/>
        </w:numPr>
        <w:spacing w:before="120" w:after="60"/>
        <w:jc w:val="left"/>
        <w:rPr>
          <w:rFonts w:ascii="Times New Roman" w:hAnsi="Times New Roman"/>
        </w:rPr>
      </w:pPr>
      <w:r>
        <w:rPr>
          <w:rFonts w:ascii="Times New Roman" w:hAnsi="Times New Roman"/>
        </w:rPr>
        <w:lastRenderedPageBreak/>
        <w:t>Disposal of infested fruit is likely to be by commercial or domestic rubbish systems or where the fruit is consumed. Some infested fruit may be disposed of in the home garden or on the side of the road, where suitable substrates including sand, soil, leaf litter, compost heaps and grass clippings are available for pupation and in close proximity to possible host plants, so that following pupation the adult will emerge near a suitable food source.</w:t>
      </w:r>
    </w:p>
    <w:p w14:paraId="2BDBF1A1" w14:textId="77777777" w:rsidR="009D3DC8" w:rsidRDefault="009D3DC8">
      <w:pPr>
        <w:pStyle w:val="BAText1bullet"/>
        <w:numPr>
          <w:ilvl w:val="0"/>
          <w:numId w:val="32"/>
        </w:numPr>
        <w:spacing w:before="120" w:after="60"/>
        <w:jc w:val="left"/>
        <w:rPr>
          <w:rFonts w:ascii="Times New Roman" w:hAnsi="Times New Roman"/>
        </w:rPr>
      </w:pPr>
      <w:r>
        <w:rPr>
          <w:rFonts w:ascii="Times New Roman" w:hAnsi="Times New Roman"/>
        </w:rPr>
        <w:t>Fruit fly larvae are unable to emerge from mangosteen fruit to complete their life cycle (Iswari</w:t>
      </w:r>
      <w:r>
        <w:rPr>
          <w:rFonts w:ascii="Times New Roman" w:hAnsi="Times New Roman"/>
          <w:i/>
        </w:rPr>
        <w:t xml:space="preserve"> et al.</w:t>
      </w:r>
      <w:r>
        <w:rPr>
          <w:rFonts w:ascii="Times New Roman" w:hAnsi="Times New Roman"/>
        </w:rPr>
        <w:t xml:space="preserve"> 2011) and only mechanical or physical disruption of the mangosteen fruit can assist with the exiting of larvae. However, disruption of the mangosteen fruit by consumers is likely.</w:t>
      </w:r>
    </w:p>
    <w:p w14:paraId="2FD18A67" w14:textId="77777777" w:rsidR="009D3DC8" w:rsidRDefault="009D3DC8">
      <w:pPr>
        <w:pStyle w:val="BAText1bullet"/>
        <w:numPr>
          <w:ilvl w:val="0"/>
          <w:numId w:val="32"/>
        </w:numPr>
        <w:spacing w:before="120" w:after="60"/>
        <w:jc w:val="left"/>
        <w:rPr>
          <w:rFonts w:ascii="Times New Roman" w:hAnsi="Times New Roman"/>
        </w:rPr>
      </w:pPr>
      <w:r>
        <w:rPr>
          <w:rFonts w:ascii="Times New Roman" w:hAnsi="Times New Roman"/>
          <w:i/>
        </w:rPr>
        <w:t>Bactrocera</w:t>
      </w:r>
      <w:r>
        <w:rPr>
          <w:rFonts w:ascii="Times New Roman" w:hAnsi="Times New Roman"/>
        </w:rPr>
        <w:t xml:space="preserve"> </w:t>
      </w:r>
      <w:r>
        <w:rPr>
          <w:rFonts w:ascii="Times New Roman" w:hAnsi="Times New Roman"/>
          <w:i/>
        </w:rPr>
        <w:t>carambolae</w:t>
      </w:r>
      <w:r>
        <w:rPr>
          <w:rFonts w:ascii="Times New Roman" w:hAnsi="Times New Roman"/>
        </w:rPr>
        <w:t xml:space="preserve"> and </w:t>
      </w:r>
      <w:r>
        <w:rPr>
          <w:rFonts w:ascii="Times New Roman" w:hAnsi="Times New Roman"/>
          <w:i/>
        </w:rPr>
        <w:t>B. papayae</w:t>
      </w:r>
      <w:r>
        <w:rPr>
          <w:rFonts w:ascii="Times New Roman" w:hAnsi="Times New Roman"/>
        </w:rPr>
        <w:t xml:space="preserve"> are polyphagous and recorded on more than 200 fruit and vegetable crops (Allwood</w:t>
      </w:r>
      <w:r>
        <w:rPr>
          <w:rFonts w:ascii="Times New Roman" w:hAnsi="Times New Roman"/>
          <w:i/>
        </w:rPr>
        <w:t xml:space="preserve"> et al.</w:t>
      </w:r>
      <w:r>
        <w:rPr>
          <w:rFonts w:ascii="Times New Roman" w:hAnsi="Times New Roman"/>
        </w:rPr>
        <w:t xml:space="preserve"> 1999)</w:t>
      </w:r>
      <w:r>
        <w:rPr>
          <w:rFonts w:ascii="Times New Roman" w:hAnsi="Times New Roman"/>
        </w:rPr>
        <w:fldChar w:fldCharType="begin"/>
      </w:r>
      <w:r>
        <w:rPr>
          <w:rFonts w:ascii="Times New Roman" w:hAnsi="Times New Roman"/>
        </w:rPr>
        <w:instrText xml:space="preserve"> QUOTE "" </w:instrText>
      </w:r>
      <w:r>
        <w:rPr>
          <w:rFonts w:ascii="Times New Roman" w:hAnsi="Times New Roman"/>
        </w:rPr>
        <w:fldChar w:fldCharType="begin"/>
      </w:r>
      <w:r>
        <w:rPr>
          <w:rFonts w:ascii="Times New Roman" w:hAnsi="Times New Roman"/>
        </w:rPr>
        <w:instrText xml:space="preserve"> ADDIN PROCITE ÿ\11\05‘\19\02\00\00\00\00\01\00\00\17\0B\00\00EJ:\5CPlant\5CPublications\5CProject C Publications\5CProject_C_References.pdt\1CCAB International 2008 #3150\01\02\00\11\00àà\00\00\00¿H\00Ø3\14\00\14\00\00\00\01\00\00\00\00\00\00\00\00\00\00\00\10\00\00\00\00\00\00\00\0B\00\00\00\00\00\00ºI_øúÆ\00\01\00\00\00\01\00\00\00\00\00\00\00tò\12\000¬W\00ÿÿÿÿ </w:instrText>
      </w:r>
      <w:r>
        <w:rPr>
          <w:rFonts w:ascii="Times New Roman" w:hAnsi="Times New Roman"/>
        </w:rPr>
        <w:fldChar w:fldCharType="end"/>
      </w:r>
      <w:r>
        <w:rPr>
          <w:rFonts w:ascii="Times New Roman" w:hAnsi="Times New Roman"/>
        </w:rPr>
        <w:fldChar w:fldCharType="end"/>
      </w:r>
      <w:r>
        <w:rPr>
          <w:rFonts w:ascii="Times New Roman" w:hAnsi="Times New Roman"/>
        </w:rPr>
        <w:t>. Host plants are widely available in Australia.</w:t>
      </w:r>
    </w:p>
    <w:p w14:paraId="14B74DE3" w14:textId="77777777" w:rsidR="009D3DC8" w:rsidRDefault="009D3DC8">
      <w:pPr>
        <w:spacing w:before="180" w:line="280" w:lineRule="atLeast"/>
        <w:rPr>
          <w:rFonts w:ascii="Times New Roman" w:hAnsi="Times New Roman"/>
          <w:sz w:val="24"/>
        </w:rPr>
      </w:pPr>
      <w:r>
        <w:rPr>
          <w:rFonts w:ascii="Times New Roman" w:hAnsi="Times New Roman"/>
          <w:sz w:val="24"/>
        </w:rPr>
        <w:t>The possibility of dispersal near suitable hosts and the wide availability of hosts support a likelihood estimate for distribution of ‘high’.</w:t>
      </w:r>
    </w:p>
    <w:p w14:paraId="5733C758"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 xml:space="preserve">Overall probability of entry (importation </w:t>
      </w:r>
      <w:r>
        <w:rPr>
          <w:rFonts w:ascii="Times New Roman" w:hAnsi="Times New Roman" w:cs="Arial"/>
          <w:i w:val="0"/>
          <w:iCs w:val="0"/>
          <w:color w:val="000000"/>
          <w:sz w:val="24"/>
          <w:szCs w:val="28"/>
        </w:rPr>
        <w:sym w:font="Symbol" w:char="F0B4"/>
      </w:r>
      <w:r>
        <w:rPr>
          <w:rFonts w:ascii="Times New Roman" w:hAnsi="Times New Roman" w:cs="Arial"/>
          <w:i w:val="0"/>
          <w:iCs w:val="0"/>
          <w:color w:val="000000"/>
          <w:sz w:val="24"/>
          <w:szCs w:val="28"/>
        </w:rPr>
        <w:t xml:space="preserve"> distribution)</w:t>
      </w:r>
    </w:p>
    <w:p w14:paraId="7873588D"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is determined by combining the probabilities of importation and of distribution using the matrix of rules shown in Table 2.2.</w:t>
      </w:r>
    </w:p>
    <w:p w14:paraId="7C191467"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 xml:space="preserve">B. carambolae </w:t>
      </w:r>
      <w:r>
        <w:rPr>
          <w:rFonts w:ascii="Times New Roman" w:hAnsi="Times New Roman"/>
          <w:sz w:val="24"/>
        </w:rPr>
        <w:t xml:space="preserve">and </w:t>
      </w:r>
      <w:r>
        <w:rPr>
          <w:rFonts w:ascii="Times New Roman" w:hAnsi="Times New Roman"/>
          <w:i/>
          <w:sz w:val="24"/>
        </w:rPr>
        <w:t xml:space="preserve">B. papayae </w:t>
      </w:r>
      <w:r>
        <w:rPr>
          <w:rFonts w:ascii="Times New Roman" w:hAnsi="Times New Roman"/>
          <w:sz w:val="24"/>
        </w:rPr>
        <w:t xml:space="preserve">will enter Australia as a result of trade in mangosteen fruit from Indonesia and be distributed in a viable state to a susceptible host is: </w:t>
      </w:r>
      <w:r>
        <w:rPr>
          <w:rFonts w:ascii="Times New Roman" w:hAnsi="Times New Roman"/>
          <w:b/>
          <w:sz w:val="24"/>
        </w:rPr>
        <w:t>EXTREMELY LOW</w:t>
      </w:r>
      <w:r>
        <w:rPr>
          <w:rFonts w:ascii="Times New Roman" w:hAnsi="Times New Roman"/>
          <w:sz w:val="24"/>
        </w:rPr>
        <w:t xml:space="preserve">. </w:t>
      </w:r>
    </w:p>
    <w:p w14:paraId="6930A4EF" w14:textId="77777777" w:rsidR="009D3DC8" w:rsidRDefault="009D3DC8">
      <w:pPr>
        <w:pStyle w:val="Heading3"/>
        <w:numPr>
          <w:ilvl w:val="2"/>
          <w:numId w:val="8"/>
        </w:numPr>
        <w:spacing w:line="240" w:lineRule="auto"/>
      </w:pPr>
      <w:r>
        <w:t>Probability of establishment and spread</w:t>
      </w:r>
    </w:p>
    <w:p w14:paraId="0A3445D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above, the probability of establishment and of spread for </w:t>
      </w:r>
      <w:r>
        <w:rPr>
          <w:rFonts w:ascii="Times New Roman" w:hAnsi="Times New Roman"/>
          <w:i/>
          <w:sz w:val="24"/>
        </w:rPr>
        <w:t xml:space="preserve">B. carambolae </w:t>
      </w:r>
      <w:r>
        <w:rPr>
          <w:rFonts w:ascii="Times New Roman" w:hAnsi="Times New Roman"/>
          <w:sz w:val="24"/>
        </w:rPr>
        <w:t xml:space="preserve">and </w:t>
      </w:r>
      <w:r>
        <w:rPr>
          <w:rFonts w:ascii="Times New Roman" w:hAnsi="Times New Roman"/>
          <w:i/>
          <w:sz w:val="24"/>
        </w:rPr>
        <w:t xml:space="preserve">B. papayae </w:t>
      </w:r>
      <w:r>
        <w:rPr>
          <w:rFonts w:ascii="Times New Roman" w:hAnsi="Times New Roman"/>
          <w:sz w:val="24"/>
        </w:rPr>
        <w:t>would be the same as that assessed for mangosteen fruit from Thailand (DAFF 2004b). The ratings from the previous assessment are presented below:</w:t>
      </w:r>
    </w:p>
    <w:p w14:paraId="1268C504" w14:textId="77777777" w:rsidR="009D3DC8" w:rsidRDefault="009D3DC8">
      <w:pPr>
        <w:spacing w:before="180" w:line="280" w:lineRule="atLeast"/>
        <w:rPr>
          <w:rFonts w:ascii="Times New Roman" w:hAnsi="Times New Roman"/>
          <w:sz w:val="24"/>
        </w:rPr>
      </w:pPr>
      <w:r>
        <w:rPr>
          <w:rFonts w:ascii="Times New Roman" w:hAnsi="Times New Roman"/>
          <w:sz w:val="24"/>
        </w:rPr>
        <w:t>Probability of establishment:</w:t>
      </w:r>
      <w:r>
        <w:rPr>
          <w:rFonts w:ascii="Times New Roman" w:hAnsi="Times New Roman"/>
          <w:sz w:val="24"/>
        </w:rPr>
        <w:tab/>
      </w:r>
      <w:r>
        <w:rPr>
          <w:rFonts w:ascii="Times New Roman" w:hAnsi="Times New Roman"/>
          <w:sz w:val="24"/>
        </w:rPr>
        <w:tab/>
      </w:r>
      <w:r>
        <w:rPr>
          <w:rFonts w:ascii="Times New Roman" w:hAnsi="Times New Roman"/>
          <w:b/>
          <w:sz w:val="24"/>
        </w:rPr>
        <w:t>HIGH</w:t>
      </w:r>
    </w:p>
    <w:p w14:paraId="585AF7DA" w14:textId="77777777" w:rsidR="009D3DC8" w:rsidRDefault="009D3DC8">
      <w:pPr>
        <w:spacing w:before="180" w:line="280" w:lineRule="atLeast"/>
        <w:rPr>
          <w:rFonts w:ascii="Times New Roman" w:hAnsi="Times New Roman"/>
          <w:sz w:val="24"/>
        </w:rPr>
      </w:pPr>
      <w:r>
        <w:rPr>
          <w:rFonts w:ascii="Times New Roman" w:hAnsi="Times New Roman"/>
          <w:sz w:val="24"/>
        </w:rPr>
        <w:t>Probability of spread: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HIGH</w:t>
      </w:r>
    </w:p>
    <w:p w14:paraId="34E35863" w14:textId="77777777" w:rsidR="009D3DC8" w:rsidRDefault="009D3DC8">
      <w:pPr>
        <w:pStyle w:val="Heading3"/>
        <w:numPr>
          <w:ilvl w:val="2"/>
          <w:numId w:val="8"/>
        </w:numPr>
        <w:spacing w:line="240" w:lineRule="auto"/>
      </w:pPr>
      <w:r>
        <w:t>Overall probability of entry, establishment and spread</w:t>
      </w:r>
    </w:p>
    <w:p w14:paraId="10C2A0EA"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establishment and spread is determined by combining the probability of entry, of establishment and of spread using the matrix of rules shown in Table 2.2.</w:t>
      </w:r>
    </w:p>
    <w:p w14:paraId="15A3E76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overall likelihood that </w:t>
      </w:r>
      <w:r>
        <w:rPr>
          <w:rFonts w:ascii="Times New Roman" w:hAnsi="Times New Roman"/>
          <w:i/>
          <w:sz w:val="24"/>
        </w:rPr>
        <w:t>B. carambolae</w:t>
      </w:r>
      <w:r>
        <w:rPr>
          <w:rFonts w:ascii="Times New Roman" w:hAnsi="Times New Roman"/>
          <w:sz w:val="24"/>
        </w:rPr>
        <w:t xml:space="preserve"> and </w:t>
      </w:r>
      <w:r>
        <w:rPr>
          <w:rFonts w:ascii="Times New Roman" w:hAnsi="Times New Roman"/>
          <w:i/>
          <w:sz w:val="24"/>
        </w:rPr>
        <w:t xml:space="preserve">B. papayae </w:t>
      </w:r>
      <w:r>
        <w:rPr>
          <w:rFonts w:ascii="Times New Roman" w:hAnsi="Times New Roman"/>
          <w:sz w:val="24"/>
        </w:rPr>
        <w:t xml:space="preserve">will enter Australia as a result of trade in mangosteen fruit from Indonesia, be distributed in a viable state to a susceptible host, establish in Australia and subsequently spread within Australia is: </w:t>
      </w:r>
      <w:r>
        <w:rPr>
          <w:rFonts w:ascii="Times New Roman" w:hAnsi="Times New Roman"/>
          <w:b/>
          <w:sz w:val="24"/>
        </w:rPr>
        <w:t>EXTREMELY LOW</w:t>
      </w:r>
      <w:r>
        <w:rPr>
          <w:rFonts w:ascii="Times New Roman" w:hAnsi="Times New Roman"/>
          <w:sz w:val="24"/>
        </w:rPr>
        <w:t>.</w:t>
      </w:r>
    </w:p>
    <w:p w14:paraId="4BF155AD" w14:textId="77777777" w:rsidR="009D3DC8" w:rsidRDefault="009D3DC8">
      <w:pPr>
        <w:pStyle w:val="Heading3"/>
        <w:numPr>
          <w:ilvl w:val="2"/>
          <w:numId w:val="8"/>
        </w:numPr>
        <w:spacing w:line="240" w:lineRule="auto"/>
      </w:pPr>
      <w:r>
        <w:t>Consequences</w:t>
      </w:r>
    </w:p>
    <w:p w14:paraId="04709FF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consequences of the establishment of </w:t>
      </w:r>
      <w:r>
        <w:rPr>
          <w:rFonts w:ascii="Times New Roman" w:hAnsi="Times New Roman"/>
          <w:i/>
          <w:sz w:val="24"/>
        </w:rPr>
        <w:t>B. carambolae</w:t>
      </w:r>
      <w:r>
        <w:rPr>
          <w:rFonts w:ascii="Times New Roman" w:hAnsi="Times New Roman"/>
          <w:sz w:val="24"/>
        </w:rPr>
        <w:t xml:space="preserve"> and </w:t>
      </w:r>
      <w:r>
        <w:rPr>
          <w:rFonts w:ascii="Times New Roman" w:hAnsi="Times New Roman"/>
          <w:i/>
          <w:sz w:val="24"/>
        </w:rPr>
        <w:t>B. papayae</w:t>
      </w:r>
      <w:r>
        <w:rPr>
          <w:rFonts w:ascii="Times New Roman" w:hAnsi="Times New Roman"/>
          <w:sz w:val="24"/>
        </w:rPr>
        <w:t xml:space="preserve"> in Australia have been estimated previously for mangosteen fruit from Thailand (DAFF 2004b). This estimate of impact scores is provided below. As the ratings in 2004 were conducted on a scale from A to F, they have been adjusted here to reflect a current rating scale from A to G.</w:t>
      </w:r>
    </w:p>
    <w:p w14:paraId="6FB5C9ED" w14:textId="77777777" w:rsidR="009D3DC8" w:rsidRDefault="009D3DC8">
      <w:pPr>
        <w:spacing w:after="0" w:line="240" w:lineRule="auto"/>
        <w:rPr>
          <w:rFonts w:ascii="Times New Roman" w:hAnsi="Times New Roman"/>
          <w:sz w:val="24"/>
        </w:rPr>
      </w:pPr>
      <w:r>
        <w:rPr>
          <w:rFonts w:ascii="Times New Roman" w:hAnsi="Times New Roman"/>
          <w:sz w:val="24"/>
        </w:rPr>
        <w:br w:type="page"/>
      </w:r>
    </w:p>
    <w:p w14:paraId="2C108B53" w14:textId="77777777" w:rsidR="009D3DC8" w:rsidRDefault="009D3DC8">
      <w:pPr>
        <w:spacing w:after="0" w:line="240" w:lineRule="auto"/>
        <w:rPr>
          <w:rFonts w:ascii="Times New Roman" w:hAnsi="Times New Roman"/>
          <w:b/>
          <w:sz w:val="24"/>
        </w:rPr>
      </w:pPr>
      <w:r>
        <w:rPr>
          <w:rFonts w:ascii="Times New Roman" w:hAnsi="Times New Roman"/>
          <w:sz w:val="24"/>
        </w:rPr>
        <w:t xml:space="preserve">Plant life or heath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E</w:t>
      </w:r>
    </w:p>
    <w:p w14:paraId="11BDBD4E" w14:textId="77777777" w:rsidR="009D3DC8" w:rsidRDefault="009D3DC8">
      <w:pPr>
        <w:spacing w:after="0" w:line="240" w:lineRule="auto"/>
        <w:rPr>
          <w:rFonts w:ascii="Times New Roman" w:hAnsi="Times New Roman"/>
          <w:sz w:val="24"/>
        </w:rPr>
      </w:pPr>
      <w:r>
        <w:rPr>
          <w:rFonts w:ascii="Times New Roman" w:hAnsi="Times New Roman"/>
          <w:sz w:val="24"/>
        </w:rPr>
        <w:t>Any other aspects of the environment</w:t>
      </w:r>
      <w:r>
        <w:rPr>
          <w:rFonts w:ascii="Times New Roman" w:hAnsi="Times New Roman"/>
          <w:sz w:val="24"/>
        </w:rPr>
        <w:tab/>
      </w:r>
      <w:r>
        <w:rPr>
          <w:rFonts w:ascii="Times New Roman" w:hAnsi="Times New Roman"/>
          <w:b/>
          <w:sz w:val="24"/>
        </w:rPr>
        <w:t>C</w:t>
      </w:r>
    </w:p>
    <w:p w14:paraId="37141E1F" w14:textId="77777777" w:rsidR="009D3DC8" w:rsidRDefault="009D3DC8">
      <w:pPr>
        <w:spacing w:after="0" w:line="240" w:lineRule="auto"/>
        <w:rPr>
          <w:rFonts w:ascii="Times New Roman" w:hAnsi="Times New Roman"/>
          <w:sz w:val="24"/>
        </w:rPr>
      </w:pPr>
      <w:r>
        <w:rPr>
          <w:rFonts w:ascii="Times New Roman" w:hAnsi="Times New Roman"/>
          <w:sz w:val="24"/>
        </w:rPr>
        <w:t>Eradication, control, etc.</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F</w:t>
      </w:r>
    </w:p>
    <w:p w14:paraId="19D45B5D" w14:textId="77777777" w:rsidR="009D3DC8" w:rsidRDefault="009D3DC8">
      <w:pPr>
        <w:spacing w:after="0" w:line="240" w:lineRule="auto"/>
        <w:rPr>
          <w:rFonts w:ascii="Times New Roman" w:hAnsi="Times New Roman"/>
          <w:b/>
          <w:sz w:val="24"/>
        </w:rPr>
      </w:pPr>
      <w:r>
        <w:rPr>
          <w:rFonts w:ascii="Times New Roman" w:hAnsi="Times New Roman"/>
          <w:sz w:val="24"/>
        </w:rPr>
        <w:t>Domestic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E</w:t>
      </w:r>
    </w:p>
    <w:p w14:paraId="02C1B8EF" w14:textId="77777777" w:rsidR="009D3DC8" w:rsidRDefault="009D3DC8">
      <w:pPr>
        <w:spacing w:after="0" w:line="240" w:lineRule="auto"/>
        <w:rPr>
          <w:rFonts w:ascii="Times New Roman" w:hAnsi="Times New Roman"/>
          <w:sz w:val="24"/>
        </w:rPr>
      </w:pPr>
      <w:r>
        <w:rPr>
          <w:rFonts w:ascii="Times New Roman" w:hAnsi="Times New Roman"/>
          <w:sz w:val="24"/>
        </w:rPr>
        <w:t>International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E</w:t>
      </w:r>
    </w:p>
    <w:p w14:paraId="5CE05A80" w14:textId="77777777" w:rsidR="009D3DC8" w:rsidRDefault="009D3DC8">
      <w:pPr>
        <w:spacing w:after="0" w:line="240" w:lineRule="auto"/>
        <w:rPr>
          <w:rFonts w:ascii="Times New Roman" w:hAnsi="Times New Roman"/>
          <w:sz w:val="24"/>
        </w:rPr>
      </w:pPr>
      <w:r>
        <w:rPr>
          <w:rFonts w:ascii="Times New Roman" w:hAnsi="Times New Roman"/>
          <w:sz w:val="24"/>
        </w:rPr>
        <w:t>Environment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25FCCAC1" w14:textId="77777777" w:rsidR="009D3DC8" w:rsidRDefault="009D3DC8">
      <w:pPr>
        <w:spacing w:before="180" w:line="280" w:lineRule="atLeast"/>
        <w:rPr>
          <w:rFonts w:ascii="Times New Roman" w:hAnsi="Times New Roman"/>
          <w:sz w:val="24"/>
        </w:rPr>
      </w:pPr>
      <w:r>
        <w:rPr>
          <w:rFonts w:ascii="Times New Roman" w:hAnsi="Times New Roman"/>
          <w:sz w:val="24"/>
        </w:rPr>
        <w:t>Based on the description rules described in Table 2.4, that is, where the consequences of a pest with respect to one or more criteria are ‘</w:t>
      </w:r>
      <w:r>
        <w:rPr>
          <w:rFonts w:ascii="Times New Roman" w:hAnsi="Times New Roman"/>
          <w:b/>
          <w:sz w:val="24"/>
        </w:rPr>
        <w:t>F’</w:t>
      </w:r>
      <w:r>
        <w:rPr>
          <w:rFonts w:ascii="Times New Roman" w:hAnsi="Times New Roman"/>
          <w:sz w:val="24"/>
        </w:rPr>
        <w:t xml:space="preserve">, the overall consequences are estimated to be </w:t>
      </w:r>
      <w:r>
        <w:rPr>
          <w:rFonts w:ascii="Times New Roman" w:hAnsi="Times New Roman"/>
          <w:b/>
          <w:sz w:val="24"/>
        </w:rPr>
        <w:t>HIGH</w:t>
      </w:r>
      <w:r>
        <w:rPr>
          <w:rFonts w:ascii="Times New Roman" w:hAnsi="Times New Roman"/>
          <w:sz w:val="24"/>
        </w:rPr>
        <w:t>.</w:t>
      </w:r>
    </w:p>
    <w:p w14:paraId="6DFB07F5" w14:textId="77777777" w:rsidR="009D3DC8" w:rsidRDefault="009D3DC8">
      <w:pPr>
        <w:pStyle w:val="Heading3"/>
        <w:numPr>
          <w:ilvl w:val="2"/>
          <w:numId w:val="8"/>
        </w:numPr>
        <w:spacing w:line="240" w:lineRule="auto"/>
      </w:pPr>
      <w:r>
        <w:t>Unrestricted risk estimate</w:t>
      </w:r>
    </w:p>
    <w:p w14:paraId="526D2489" w14:textId="77777777" w:rsidR="009D3DC8" w:rsidRDefault="009D3DC8">
      <w:pPr>
        <w:spacing w:before="180" w:after="180" w:line="280" w:lineRule="atLeast"/>
        <w:rPr>
          <w:rFonts w:ascii="Times New Roman" w:hAnsi="Times New Roman"/>
          <w:sz w:val="24"/>
        </w:rPr>
      </w:pPr>
      <w:r>
        <w:rPr>
          <w:rFonts w:ascii="Times New Roman" w:hAnsi="Times New Roman"/>
          <w:sz w:val="24"/>
        </w:rPr>
        <w:t>Unrestricted risk is the result of combining the probability of entry, establishment and spread with the estimate of consequences. Probabilities and consequences are combined using the risk estimation matrix shown in Table 2.5.</w:t>
      </w:r>
    </w:p>
    <w:tbl>
      <w:tblPr>
        <w:tblW w:w="9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9"/>
        <w:gridCol w:w="2977"/>
      </w:tblGrid>
      <w:tr w:rsidR="009D3DC8" w14:paraId="1120BCA9" w14:textId="77777777">
        <w:tc>
          <w:tcPr>
            <w:tcW w:w="9436" w:type="dxa"/>
            <w:gridSpan w:val="2"/>
            <w:shd w:val="clear" w:color="auto" w:fill="E0E0E0"/>
          </w:tcPr>
          <w:p w14:paraId="401F7037" w14:textId="77777777" w:rsidR="009D3DC8" w:rsidRDefault="009D3DC8">
            <w:pPr>
              <w:pStyle w:val="TableText1"/>
              <w:rPr>
                <w:rFonts w:ascii="Arial" w:hAnsi="Arial" w:cs="Arial"/>
                <w:b/>
              </w:rPr>
            </w:pPr>
            <w:r>
              <w:rPr>
                <w:rFonts w:ascii="Arial" w:hAnsi="Arial" w:cs="Arial"/>
                <w:b/>
              </w:rPr>
              <w:t xml:space="preserve">Unrestricted risk estimate for </w:t>
            </w:r>
            <w:r>
              <w:rPr>
                <w:rFonts w:ascii="Arial" w:hAnsi="Arial" w:cs="Arial"/>
                <w:b/>
                <w:i/>
                <w:szCs w:val="16"/>
              </w:rPr>
              <w:t xml:space="preserve">Bactrocera carambolae </w:t>
            </w:r>
            <w:r>
              <w:rPr>
                <w:rFonts w:ascii="Arial" w:hAnsi="Arial" w:cs="Arial"/>
                <w:b/>
                <w:szCs w:val="16"/>
              </w:rPr>
              <w:t xml:space="preserve">and </w:t>
            </w:r>
            <w:r>
              <w:rPr>
                <w:rFonts w:ascii="Arial" w:hAnsi="Arial" w:cs="Arial"/>
                <w:b/>
                <w:i/>
                <w:szCs w:val="16"/>
              </w:rPr>
              <w:t xml:space="preserve">Bactrocera papayae </w:t>
            </w:r>
          </w:p>
        </w:tc>
      </w:tr>
      <w:tr w:rsidR="009D3DC8" w14:paraId="6698847D" w14:textId="77777777">
        <w:tc>
          <w:tcPr>
            <w:tcW w:w="6459" w:type="dxa"/>
            <w:tcBorders>
              <w:bottom w:val="single" w:sz="8" w:space="0" w:color="C0C0C0"/>
            </w:tcBorders>
          </w:tcPr>
          <w:p w14:paraId="2FF2483B" w14:textId="77777777" w:rsidR="009D3DC8" w:rsidRDefault="009D3DC8">
            <w:pPr>
              <w:pStyle w:val="TableText1"/>
              <w:rPr>
                <w:rFonts w:ascii="Arial" w:hAnsi="Arial" w:cs="Arial"/>
              </w:rPr>
            </w:pPr>
            <w:r>
              <w:rPr>
                <w:rFonts w:ascii="Arial" w:hAnsi="Arial" w:cs="Arial"/>
              </w:rPr>
              <w:t>Overall probability of entry, establishment and spread</w:t>
            </w:r>
          </w:p>
        </w:tc>
        <w:tc>
          <w:tcPr>
            <w:tcW w:w="2977" w:type="dxa"/>
            <w:tcBorders>
              <w:bottom w:val="single" w:sz="8" w:space="0" w:color="C0C0C0"/>
            </w:tcBorders>
          </w:tcPr>
          <w:p w14:paraId="7CC9D90B" w14:textId="77777777" w:rsidR="009D3DC8" w:rsidRDefault="009D3DC8">
            <w:pPr>
              <w:pStyle w:val="TableText1"/>
              <w:rPr>
                <w:rFonts w:ascii="Arial" w:hAnsi="Arial" w:cs="Arial"/>
              </w:rPr>
            </w:pPr>
            <w:r>
              <w:rPr>
                <w:rFonts w:ascii="Arial" w:hAnsi="Arial" w:cs="Arial"/>
              </w:rPr>
              <w:t>Extremely low</w:t>
            </w:r>
          </w:p>
        </w:tc>
      </w:tr>
      <w:tr w:rsidR="009D3DC8" w14:paraId="6DADBEA1" w14:textId="77777777">
        <w:tc>
          <w:tcPr>
            <w:tcW w:w="6459" w:type="dxa"/>
            <w:tcBorders>
              <w:top w:val="single" w:sz="8" w:space="0" w:color="C0C0C0"/>
            </w:tcBorders>
          </w:tcPr>
          <w:p w14:paraId="041F953E" w14:textId="77777777" w:rsidR="009D3DC8" w:rsidRDefault="009D3DC8">
            <w:pPr>
              <w:pStyle w:val="TableText1"/>
              <w:rPr>
                <w:rFonts w:ascii="Arial" w:hAnsi="Arial" w:cs="Arial"/>
              </w:rPr>
            </w:pPr>
            <w:r>
              <w:rPr>
                <w:rFonts w:ascii="Arial" w:hAnsi="Arial" w:cs="Arial"/>
              </w:rPr>
              <w:t>Consequences</w:t>
            </w:r>
          </w:p>
        </w:tc>
        <w:tc>
          <w:tcPr>
            <w:tcW w:w="2977" w:type="dxa"/>
            <w:tcBorders>
              <w:top w:val="single" w:sz="8" w:space="0" w:color="C0C0C0"/>
            </w:tcBorders>
          </w:tcPr>
          <w:p w14:paraId="4AAD193B" w14:textId="77777777" w:rsidR="009D3DC8" w:rsidRDefault="009D3DC8">
            <w:pPr>
              <w:pStyle w:val="TableText1"/>
              <w:rPr>
                <w:rFonts w:ascii="Arial" w:hAnsi="Arial" w:cs="Arial"/>
              </w:rPr>
            </w:pPr>
            <w:r>
              <w:rPr>
                <w:rFonts w:ascii="Arial" w:hAnsi="Arial" w:cs="Arial"/>
              </w:rPr>
              <w:t>High</w:t>
            </w:r>
          </w:p>
        </w:tc>
      </w:tr>
      <w:tr w:rsidR="009D3DC8" w14:paraId="20C2D64A" w14:textId="77777777">
        <w:tc>
          <w:tcPr>
            <w:tcW w:w="6459" w:type="dxa"/>
          </w:tcPr>
          <w:p w14:paraId="3D770A4B" w14:textId="77777777" w:rsidR="009D3DC8" w:rsidRDefault="009D3DC8">
            <w:pPr>
              <w:pStyle w:val="TableText1"/>
              <w:rPr>
                <w:rFonts w:ascii="Arial" w:hAnsi="Arial" w:cs="Arial"/>
              </w:rPr>
            </w:pPr>
            <w:r>
              <w:rPr>
                <w:rFonts w:ascii="Arial" w:hAnsi="Arial" w:cs="Arial"/>
              </w:rPr>
              <w:t>Unrestricted risk</w:t>
            </w:r>
          </w:p>
        </w:tc>
        <w:tc>
          <w:tcPr>
            <w:tcW w:w="2977" w:type="dxa"/>
          </w:tcPr>
          <w:p w14:paraId="1AD2B6FD" w14:textId="77777777" w:rsidR="009D3DC8" w:rsidRDefault="009D3DC8">
            <w:pPr>
              <w:pStyle w:val="TableText1"/>
              <w:rPr>
                <w:rFonts w:ascii="Arial" w:hAnsi="Arial" w:cs="Arial"/>
              </w:rPr>
            </w:pPr>
            <w:r>
              <w:rPr>
                <w:rFonts w:ascii="Arial" w:hAnsi="Arial" w:cs="Arial"/>
              </w:rPr>
              <w:t>Very low</w:t>
            </w:r>
          </w:p>
        </w:tc>
      </w:tr>
    </w:tbl>
    <w:p w14:paraId="6DA38835" w14:textId="77777777" w:rsidR="009D3DC8" w:rsidRDefault="009D3DC8">
      <w:pPr>
        <w:spacing w:before="180" w:line="280" w:lineRule="atLeast"/>
        <w:rPr>
          <w:rFonts w:ascii="Arial" w:hAnsi="Arial"/>
          <w:b/>
          <w:snapToGrid w:val="0"/>
          <w:color w:val="000000"/>
          <w:w w:val="0"/>
          <w:sz w:val="28"/>
          <w:szCs w:val="28"/>
        </w:rPr>
      </w:pPr>
      <w:r>
        <w:rPr>
          <w:rFonts w:ascii="Times New Roman" w:hAnsi="Times New Roman"/>
          <w:sz w:val="24"/>
        </w:rPr>
        <w:t xml:space="preserve">As indicated, the unrestricted risk estimate for </w:t>
      </w:r>
      <w:r>
        <w:rPr>
          <w:rFonts w:ascii="Times New Roman" w:hAnsi="Times New Roman"/>
          <w:i/>
          <w:sz w:val="24"/>
        </w:rPr>
        <w:t>B. carambolae</w:t>
      </w:r>
      <w:r>
        <w:rPr>
          <w:rFonts w:ascii="Times New Roman" w:hAnsi="Times New Roman"/>
          <w:sz w:val="24"/>
        </w:rPr>
        <w:t xml:space="preserve"> and </w:t>
      </w:r>
      <w:r>
        <w:rPr>
          <w:rFonts w:ascii="Times New Roman" w:hAnsi="Times New Roman"/>
          <w:i/>
          <w:sz w:val="24"/>
        </w:rPr>
        <w:t>B. papayae</w:t>
      </w:r>
      <w:r>
        <w:rPr>
          <w:rFonts w:ascii="Times New Roman" w:hAnsi="Times New Roman"/>
          <w:sz w:val="24"/>
        </w:rPr>
        <w:t xml:space="preserve"> has been assessed as ‘very low’, which achieves Australia’s ALOP. Therefore, no specific risk management measures are required for these pests</w:t>
      </w:r>
      <w:r>
        <w:rPr>
          <w:sz w:val="24"/>
        </w:rPr>
        <w:t>.</w:t>
      </w:r>
      <w:r>
        <w:br w:type="page"/>
      </w:r>
    </w:p>
    <w:p w14:paraId="35AD435A" w14:textId="77777777" w:rsidR="009D3DC8" w:rsidRDefault="009D3DC8">
      <w:pPr>
        <w:pStyle w:val="Heading2"/>
        <w:numPr>
          <w:ilvl w:val="1"/>
          <w:numId w:val="8"/>
        </w:numPr>
        <w:spacing w:line="240" w:lineRule="auto"/>
      </w:pPr>
      <w:bookmarkStart w:id="79" w:name="_Toc325618444"/>
      <w:r>
        <w:t>Soft scales [Hemiptera: Coccidae]</w:t>
      </w:r>
      <w:bookmarkEnd w:id="79"/>
    </w:p>
    <w:p w14:paraId="52FDB553" w14:textId="77777777" w:rsidR="009D3DC8" w:rsidRDefault="009D3DC8">
      <w:pPr>
        <w:spacing w:after="120"/>
        <w:rPr>
          <w:rFonts w:ascii="Arial" w:hAnsi="Arial" w:cs="Arial"/>
          <w:b/>
          <w:i/>
          <w:sz w:val="24"/>
        </w:rPr>
      </w:pPr>
      <w:r>
        <w:rPr>
          <w:rFonts w:ascii="Arial" w:hAnsi="Arial" w:cs="Arial"/>
          <w:b/>
          <w:i/>
          <w:sz w:val="24"/>
        </w:rPr>
        <w:t xml:space="preserve">Drepanococcus chiton </w:t>
      </w:r>
      <w:r>
        <w:rPr>
          <w:rFonts w:ascii="Arial" w:hAnsi="Arial" w:cs="Arial"/>
          <w:b/>
          <w:sz w:val="24"/>
          <w:vertAlign w:val="superscript"/>
        </w:rPr>
        <w:t>EP</w:t>
      </w:r>
    </w:p>
    <w:p w14:paraId="6A2224FD" w14:textId="77777777" w:rsidR="009D3DC8" w:rsidRDefault="009D3DC8">
      <w:pPr>
        <w:spacing w:before="180" w:line="280" w:lineRule="atLeast"/>
        <w:rPr>
          <w:rFonts w:ascii="Times New Roman" w:hAnsi="Times New Roman"/>
          <w:sz w:val="24"/>
        </w:rPr>
      </w:pPr>
      <w:r>
        <w:rPr>
          <w:rFonts w:ascii="Times New Roman" w:hAnsi="Times New Roman"/>
          <w:i/>
          <w:sz w:val="24"/>
        </w:rPr>
        <w:t>Drepanococcus</w:t>
      </w:r>
      <w:r>
        <w:rPr>
          <w:rFonts w:ascii="Times New Roman" w:hAnsi="Times New Roman"/>
          <w:sz w:val="24"/>
        </w:rPr>
        <w:t xml:space="preserve"> </w:t>
      </w:r>
      <w:r>
        <w:rPr>
          <w:rFonts w:ascii="Times New Roman" w:hAnsi="Times New Roman"/>
          <w:i/>
          <w:sz w:val="24"/>
        </w:rPr>
        <w:t>chiton</w:t>
      </w:r>
      <w:r>
        <w:rPr>
          <w:rFonts w:ascii="Times New Roman" w:hAnsi="Times New Roman"/>
          <w:sz w:val="24"/>
        </w:rPr>
        <w:t xml:space="preserve"> belongs to the family Coccidae or soft scale insects. These are sessile, small and covered with a wax secretion which serves as a protective covering against harsh environmental conditions and predators (Miller and Williams 1997).</w:t>
      </w:r>
    </w:p>
    <w:p w14:paraId="3AF1F712"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genus </w:t>
      </w:r>
      <w:r>
        <w:rPr>
          <w:rFonts w:ascii="Times New Roman" w:hAnsi="Times New Roman"/>
          <w:i/>
          <w:sz w:val="24"/>
        </w:rPr>
        <w:t>Drepanococcus</w:t>
      </w:r>
      <w:r>
        <w:rPr>
          <w:rFonts w:ascii="Times New Roman" w:hAnsi="Times New Roman"/>
          <w:sz w:val="24"/>
        </w:rPr>
        <w:t xml:space="preserve"> contains four species which are restricted to the Afro</w:t>
      </w:r>
      <w:r>
        <w:rPr>
          <w:rFonts w:ascii="Times New Roman" w:hAnsi="Times New Roman"/>
          <w:b/>
          <w:sz w:val="24"/>
        </w:rPr>
        <w:t>-</w:t>
      </w:r>
      <w:r>
        <w:rPr>
          <w:rFonts w:ascii="Times New Roman" w:hAnsi="Times New Roman"/>
          <w:sz w:val="24"/>
        </w:rPr>
        <w:t xml:space="preserve">tropical, Oriental and Australasian regions of the world (Ben-Dov 2011b). Of the genus, the only species that is recorded present in Indonesia is </w:t>
      </w:r>
      <w:r>
        <w:rPr>
          <w:rFonts w:ascii="Times New Roman" w:hAnsi="Times New Roman"/>
          <w:i/>
          <w:sz w:val="24"/>
        </w:rPr>
        <w:t>D. chiton</w:t>
      </w:r>
      <w:r>
        <w:rPr>
          <w:rFonts w:ascii="Times New Roman" w:hAnsi="Times New Roman"/>
          <w:sz w:val="24"/>
        </w:rPr>
        <w:t xml:space="preserve"> (Ben-Dov 2011b).</w:t>
      </w:r>
    </w:p>
    <w:p w14:paraId="6FA03C5C" w14:textId="77777777" w:rsidR="009D3DC8" w:rsidRDefault="009D3DC8">
      <w:pPr>
        <w:spacing w:before="180" w:line="280" w:lineRule="atLeast"/>
        <w:rPr>
          <w:rFonts w:ascii="Times New Roman" w:hAnsi="Times New Roman"/>
          <w:sz w:val="24"/>
        </w:rPr>
      </w:pPr>
      <w:r>
        <w:rPr>
          <w:rFonts w:ascii="Times New Roman" w:hAnsi="Times New Roman"/>
          <w:i/>
          <w:sz w:val="24"/>
        </w:rPr>
        <w:t>Drepanococcus chiton</w:t>
      </w:r>
      <w:r>
        <w:rPr>
          <w:rFonts w:ascii="Times New Roman" w:hAnsi="Times New Roman"/>
          <w:sz w:val="24"/>
        </w:rPr>
        <w:t xml:space="preserve"> is a polyphagous species and has been recorded on hosts from across 15 families. It has been found on a number of subtropical fruit trees and shrubs including papaya, soursop, tea, cocoa, lime and eggplant (Ben-Dov 2011b), and it is considered a pest of carambola in Malaysia (Ibrahim 1994). </w:t>
      </w:r>
      <w:r>
        <w:rPr>
          <w:rFonts w:ascii="Times New Roman" w:hAnsi="Times New Roman"/>
          <w:i/>
          <w:sz w:val="24"/>
        </w:rPr>
        <w:t>Drepanococcus</w:t>
      </w:r>
      <w:r>
        <w:rPr>
          <w:rFonts w:ascii="Times New Roman" w:hAnsi="Times New Roman"/>
          <w:sz w:val="24"/>
        </w:rPr>
        <w:t xml:space="preserve"> sp. has been intercepted on mangosteen fruit imported from Thailand into Australia. Given the distribution of the genus, it is almost certain that the intercepted species was </w:t>
      </w:r>
      <w:r>
        <w:rPr>
          <w:rFonts w:ascii="Times New Roman" w:hAnsi="Times New Roman"/>
          <w:i/>
          <w:sz w:val="24"/>
        </w:rPr>
        <w:t>D. chiton</w:t>
      </w:r>
      <w:r>
        <w:rPr>
          <w:rFonts w:ascii="Times New Roman" w:hAnsi="Times New Roman"/>
          <w:sz w:val="24"/>
        </w:rPr>
        <w:t>.</w:t>
      </w:r>
    </w:p>
    <w:p w14:paraId="713898EB" w14:textId="77777777" w:rsidR="009D3DC8" w:rsidRDefault="009D3DC8">
      <w:pPr>
        <w:spacing w:before="180" w:line="280" w:lineRule="atLeast"/>
        <w:rPr>
          <w:rFonts w:ascii="Times New Roman" w:hAnsi="Times New Roman"/>
          <w:sz w:val="24"/>
        </w:rPr>
      </w:pPr>
      <w:r>
        <w:rPr>
          <w:rFonts w:ascii="Times New Roman" w:hAnsi="Times New Roman"/>
          <w:sz w:val="24"/>
        </w:rPr>
        <w:t>Soft scales feed on almost all parts of the host plant. However, most species prefer to feed on the leaves, twigs or trunk (Ben-Dov 2011b). They feed by inserting their piercing and sucking mouthparts into the plant tissue to consume the phloem sap, which is excreted as honeydew (Vranjic 1997). The main economic damage caused by soft scales is from the downgrading of fruit quality caused by sooty mould fungi growing on the honeydew produced by these insects.</w:t>
      </w:r>
    </w:p>
    <w:p w14:paraId="234F672F"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life cycle of the female has an egg stage, three nymphal stages and an adult stage (Ibrahim 1994). Male soft scales have an egg stage, two nymphal stages, a prepupa and pupa stage and an adult stage (Williams 1997). The adult female is similar in appearance to the nymphal stages but is larger in size and covered with a wax secretion (Matile-Ferrero 1997). This contrasts with the adult male, which has a pupal stage, emerging as a winged adult form (Giliomee 1997). The size of mature adult female soft scales varies depending on the species, host plant and feeding site e.g. leaves, stems or twigs (Matile-Ferrero 1997). The adult female of </w:t>
      </w:r>
      <w:r>
        <w:rPr>
          <w:rFonts w:ascii="Times New Roman" w:hAnsi="Times New Roman"/>
          <w:i/>
          <w:sz w:val="24"/>
        </w:rPr>
        <w:t>D. chiton</w:t>
      </w:r>
      <w:r>
        <w:rPr>
          <w:rFonts w:ascii="Times New Roman" w:hAnsi="Times New Roman"/>
          <w:sz w:val="24"/>
        </w:rPr>
        <w:t xml:space="preserve"> is approximately 3.5 mm in length, whereas the males are only 2.3 mm in length (Ibrahim 1994).</w:t>
      </w:r>
    </w:p>
    <w:p w14:paraId="38363AA2"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adult female mainly reproduces parthenogenetically, that is, without a mate (Ibrahim 1994). However, occasionally males appear in the field, suggesting that females may also reproduce sexually (Ibrahim 1994). </w:t>
      </w:r>
      <w:r>
        <w:rPr>
          <w:rFonts w:ascii="Times New Roman" w:hAnsi="Times New Roman"/>
          <w:i/>
          <w:sz w:val="24"/>
        </w:rPr>
        <w:t>Drepanococcus chiton</w:t>
      </w:r>
      <w:r>
        <w:rPr>
          <w:rFonts w:ascii="Times New Roman" w:hAnsi="Times New Roman"/>
          <w:sz w:val="24"/>
        </w:rPr>
        <w:t xml:space="preserve"> can produce around 1000 eggs per female, and the total duration from egg to adult emergence takes approximately 50 days (Ibrahim 1994).</w:t>
      </w:r>
    </w:p>
    <w:p w14:paraId="13743A6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In general, soft scale crawlers hatch and then remain motionless under the scale cover of the adult female for a short period of time. Depending on the environmental conditions this may vary from a few minutes to several days (Marotta 1997). Crawlers are the primary dispersal stage and move to new areas of the plant or are dispersed by wind or animal contact (Greathead 1997a). The dispersal phase may last for several hours to a few days with settling generally occurring within about a metre from the parent female (Marotta 1997). Crawlers that do not settle during the first 24 hours accumulate at the tips of leaves or at the top of host </w:t>
      </w:r>
      <w:r>
        <w:rPr>
          <w:rFonts w:ascii="Times New Roman" w:hAnsi="Times New Roman"/>
          <w:sz w:val="24"/>
        </w:rPr>
        <w:lastRenderedPageBreak/>
        <w:t>plants to be dispersed by wind currents (Greathead 1997a). Once settled, the crawlers commence feeding and remain sessile throughout the remaining nymphal development stages (Marotta 1997).</w:t>
      </w:r>
    </w:p>
    <w:p w14:paraId="6CF194A6"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risk scenario of concern for </w:t>
      </w:r>
      <w:r>
        <w:rPr>
          <w:rFonts w:ascii="Times New Roman" w:hAnsi="Times New Roman"/>
          <w:i/>
          <w:sz w:val="24"/>
        </w:rPr>
        <w:t>D. chiton</w:t>
      </w:r>
      <w:r>
        <w:rPr>
          <w:rFonts w:ascii="Times New Roman" w:hAnsi="Times New Roman"/>
          <w:sz w:val="24"/>
        </w:rPr>
        <w:t xml:space="preserve"> is the presence of crawlers, immobile juveniles or adult females and their eggs on imported mangosteen fruit.</w:t>
      </w:r>
    </w:p>
    <w:p w14:paraId="0AE0A197" w14:textId="77777777" w:rsidR="009D3DC8" w:rsidRDefault="009D3DC8">
      <w:pPr>
        <w:spacing w:before="180" w:line="280" w:lineRule="atLeast"/>
        <w:rPr>
          <w:rFonts w:ascii="Times New Roman" w:hAnsi="Times New Roman"/>
          <w:i/>
          <w:sz w:val="24"/>
        </w:rPr>
      </w:pPr>
      <w:r>
        <w:rPr>
          <w:rFonts w:ascii="Times New Roman" w:hAnsi="Times New Roman"/>
          <w:i/>
          <w:sz w:val="24"/>
        </w:rPr>
        <w:t>Drepanococcus chiton</w:t>
      </w:r>
      <w:r>
        <w:rPr>
          <w:rFonts w:ascii="Times New Roman" w:hAnsi="Times New Roman"/>
          <w:sz w:val="24"/>
        </w:rPr>
        <w:t xml:space="preserve"> (together with other soft scales) were assessed in the existing import policy for longan and lychee fruit from China and Thailand (DAFF 2004a). The assessment of </w:t>
      </w:r>
      <w:r>
        <w:rPr>
          <w:rFonts w:ascii="Times New Roman" w:hAnsi="Times New Roman"/>
          <w:i/>
          <w:sz w:val="24"/>
        </w:rPr>
        <w:t>D. chiton</w:t>
      </w:r>
      <w:r>
        <w:rPr>
          <w:rFonts w:ascii="Times New Roman" w:hAnsi="Times New Roman"/>
          <w:sz w:val="24"/>
        </w:rPr>
        <w:t xml:space="preserve"> presented here builds on this previous assessment.</w:t>
      </w:r>
    </w:p>
    <w:p w14:paraId="66A3C5F1"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Differences in horticultural practices, climatic conditions and the prevalence of </w:t>
      </w:r>
      <w:r>
        <w:rPr>
          <w:rFonts w:ascii="Times New Roman" w:hAnsi="Times New Roman"/>
          <w:i/>
          <w:sz w:val="24"/>
        </w:rPr>
        <w:t xml:space="preserve">D. chiton </w:t>
      </w:r>
      <w:r>
        <w:rPr>
          <w:rFonts w:ascii="Times New Roman" w:hAnsi="Times New Roman"/>
          <w:sz w:val="24"/>
        </w:rPr>
        <w:t xml:space="preserve">between previous export areas (China and Thailand) and Indonesia make it necessary to reassess the likelihood that </w:t>
      </w:r>
      <w:r>
        <w:rPr>
          <w:rFonts w:ascii="Times New Roman" w:hAnsi="Times New Roman"/>
          <w:i/>
          <w:sz w:val="24"/>
        </w:rPr>
        <w:t>D. chiton</w:t>
      </w:r>
      <w:r>
        <w:rPr>
          <w:rFonts w:ascii="Times New Roman" w:hAnsi="Times New Roman"/>
          <w:sz w:val="24"/>
        </w:rPr>
        <w:t xml:space="preserve"> will be imported into and distributed within Australia with mangosteen fruit from Indonesia.</w:t>
      </w:r>
    </w:p>
    <w:p w14:paraId="33ED8F36"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probability of establishment and of spread of </w:t>
      </w:r>
      <w:r>
        <w:rPr>
          <w:rFonts w:ascii="Times New Roman" w:hAnsi="Times New Roman"/>
          <w:i/>
          <w:sz w:val="24"/>
        </w:rPr>
        <w:t>D. chiton</w:t>
      </w:r>
      <w:r>
        <w:rPr>
          <w:rFonts w:ascii="Times New Roman" w:hAnsi="Times New Roman"/>
          <w:sz w:val="24"/>
        </w:rPr>
        <w:t xml:space="preserve"> in Australia, and the consequences it may cause will be comparable for any commodity from which this species is imported into Australia, as these probabilities relate specifically to events that occur in Australia and are largely independent of the importation pathway. Accordingly, there is no need to reassess these components, and the risk ratings for establishment, spread and consequences as set out for </w:t>
      </w:r>
      <w:r>
        <w:rPr>
          <w:rFonts w:ascii="Times New Roman" w:hAnsi="Times New Roman"/>
          <w:i/>
          <w:sz w:val="24"/>
        </w:rPr>
        <w:t>D. chiton</w:t>
      </w:r>
      <w:r>
        <w:rPr>
          <w:rFonts w:ascii="Times New Roman" w:hAnsi="Times New Roman"/>
          <w:sz w:val="24"/>
        </w:rPr>
        <w:t xml:space="preserve"> in the import risk analysis report for longans and lychees from China and Thailand (DAFF 2004a), will be adopted for this assessment.</w:t>
      </w:r>
    </w:p>
    <w:p w14:paraId="3B9BCA3B" w14:textId="77777777" w:rsidR="009D3DC8" w:rsidRDefault="009D3DC8">
      <w:pPr>
        <w:pStyle w:val="Heading3"/>
        <w:numPr>
          <w:ilvl w:val="2"/>
          <w:numId w:val="8"/>
        </w:numPr>
        <w:spacing w:line="240" w:lineRule="auto"/>
      </w:pPr>
      <w:r>
        <w:t>Reassessment of probability of entry</w:t>
      </w:r>
    </w:p>
    <w:p w14:paraId="62AA1B70" w14:textId="77777777" w:rsidR="009D3DC8" w:rsidRDefault="009D3DC8">
      <w:pPr>
        <w:spacing w:before="180" w:line="280" w:lineRule="atLeast"/>
        <w:rPr>
          <w:rFonts w:ascii="Times New Roman" w:hAnsi="Times New Roman"/>
          <w:sz w:val="24"/>
        </w:rPr>
      </w:pPr>
      <w:r>
        <w:rPr>
          <w:rFonts w:ascii="Times New Roman" w:hAnsi="Times New Roman"/>
          <w:sz w:val="24"/>
        </w:rPr>
        <w:t>The probability of entry is considered in two parts, the probability of importation and the probability of distribution, which consider pre-border and post-border issues, respectively.</w:t>
      </w:r>
    </w:p>
    <w:p w14:paraId="32EB8802"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importation</w:t>
      </w:r>
    </w:p>
    <w:p w14:paraId="10CD72E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chiton</w:t>
      </w:r>
      <w:r>
        <w:rPr>
          <w:rFonts w:ascii="Times New Roman" w:hAnsi="Times New Roman"/>
          <w:sz w:val="24"/>
        </w:rPr>
        <w:t xml:space="preserve"> will arrive in Australia with the importation of mangosteen fruit from Indonesia is: </w:t>
      </w:r>
      <w:r>
        <w:rPr>
          <w:rFonts w:ascii="Times New Roman" w:hAnsi="Times New Roman"/>
          <w:b/>
          <w:sz w:val="24"/>
        </w:rPr>
        <w:t>HIGH</w:t>
      </w:r>
      <w:r>
        <w:rPr>
          <w:rFonts w:ascii="Times New Roman" w:hAnsi="Times New Roman"/>
          <w:sz w:val="24"/>
        </w:rPr>
        <w:t>.</w:t>
      </w:r>
    </w:p>
    <w:p w14:paraId="34BE7212"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092AE812"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Drepanococcus chiton</w:t>
      </w:r>
      <w:r>
        <w:rPr>
          <w:rFonts w:ascii="Times New Roman" w:hAnsi="Times New Roman"/>
        </w:rPr>
        <w:t xml:space="preserve"> occurs throughout Africa and Asia, including Indonesia (Ben-Dov 2011b).</w:t>
      </w:r>
    </w:p>
    <w:p w14:paraId="4E15B19C"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Soft scales feed on almost all parts of the host plant, which may include the fruit. However, most species prefer the leaves, twigs or trunk (Ben-Dov 1997).</w:t>
      </w:r>
    </w:p>
    <w:p w14:paraId="314B9AEB"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The life history of soft scales depends on the species and environmental factors. For </w:t>
      </w:r>
      <w:r>
        <w:rPr>
          <w:rFonts w:ascii="Times New Roman" w:hAnsi="Times New Roman"/>
          <w:i/>
        </w:rPr>
        <w:t>D. chiton</w:t>
      </w:r>
      <w:r>
        <w:rPr>
          <w:rFonts w:ascii="Times New Roman" w:hAnsi="Times New Roman"/>
        </w:rPr>
        <w:t xml:space="preserve">, the period from egg to adult emergence is approximately 50 days (Ibrahim 1994). Therefore, </w:t>
      </w:r>
      <w:r>
        <w:rPr>
          <w:rFonts w:ascii="Times New Roman" w:hAnsi="Times New Roman"/>
          <w:i/>
        </w:rPr>
        <w:t>D. chiton</w:t>
      </w:r>
      <w:r>
        <w:rPr>
          <w:rFonts w:ascii="Times New Roman" w:hAnsi="Times New Roman"/>
        </w:rPr>
        <w:t xml:space="preserve"> is likely to be present on the fruit when harvested.</w:t>
      </w:r>
    </w:p>
    <w:p w14:paraId="3C82FCC4"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Second instar nymphs produce a waxy cover or ‘test’, which remains intact throughout the subsequent development stages (Miller and Williams 1997). The test protects developing soft scales from harsh environmental conditions, natural enemies and chemical damage (Miller and Williams 1997). Chemical pest control or commercial fruit cleaning may only eliminate first instar nymphs or crawlers and not all of the viable scales present on the fruit surface or under the calyx.</w:t>
      </w:r>
    </w:p>
    <w:p w14:paraId="0827CB6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lastRenderedPageBreak/>
        <w:t>The small size of nymphs and adult females may make them difficult to detect, especially at low population levels or when they are under the calyx of the fruit. Therefore, the sorting, grading and packing process may not remove them effectively from the export pathway.</w:t>
      </w:r>
    </w:p>
    <w:p w14:paraId="79B35DAC"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The brushing process would likely dislodge any crawlers present on the surface of the fruit. However, the sessile stages that are firmly attached to the fruit may remain.</w:t>
      </w:r>
    </w:p>
    <w:p w14:paraId="711D8A37"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Soft scales overwinter as second instar nymphs or adult females (Marotta and Tranfaglia 1997). </w:t>
      </w:r>
      <w:r>
        <w:rPr>
          <w:rFonts w:ascii="Times New Roman" w:hAnsi="Times New Roman"/>
          <w:i/>
        </w:rPr>
        <w:t>D. chiton</w:t>
      </w:r>
      <w:r>
        <w:rPr>
          <w:rFonts w:ascii="Times New Roman" w:hAnsi="Times New Roman"/>
        </w:rPr>
        <w:t xml:space="preserve"> is likely to survive cold storage and transportation as a species of </w:t>
      </w:r>
      <w:r>
        <w:rPr>
          <w:rFonts w:ascii="Times New Roman" w:hAnsi="Times New Roman"/>
          <w:i/>
        </w:rPr>
        <w:t>Drepanococcus</w:t>
      </w:r>
      <w:r>
        <w:rPr>
          <w:rFonts w:ascii="Times New Roman" w:hAnsi="Times New Roman"/>
        </w:rPr>
        <w:t xml:space="preserve">, most likely </w:t>
      </w:r>
      <w:r>
        <w:rPr>
          <w:rFonts w:ascii="Times New Roman" w:hAnsi="Times New Roman"/>
          <w:i/>
        </w:rPr>
        <w:t xml:space="preserve">D. chiton, </w:t>
      </w:r>
      <w:r>
        <w:rPr>
          <w:rFonts w:ascii="Times New Roman" w:hAnsi="Times New Roman"/>
        </w:rPr>
        <w:t>has been intercepted on mangosteen fruit imported from Thailand into Australia.</w:t>
      </w:r>
    </w:p>
    <w:p w14:paraId="154C4E34" w14:textId="77777777" w:rsidR="009D3DC8" w:rsidRDefault="009D3DC8">
      <w:pPr>
        <w:spacing w:before="180" w:line="280" w:lineRule="atLeast"/>
        <w:rPr>
          <w:rFonts w:ascii="Times New Roman" w:hAnsi="Times New Roman"/>
          <w:sz w:val="24"/>
        </w:rPr>
      </w:pPr>
      <w:r>
        <w:rPr>
          <w:rFonts w:ascii="Times New Roman" w:hAnsi="Times New Roman"/>
          <w:sz w:val="24"/>
        </w:rPr>
        <w:t>The small size, sessile nature of most life stages, cold tolerance and host status all support a likelihood estimate for importation of ‘high’.</w:t>
      </w:r>
    </w:p>
    <w:p w14:paraId="2B60DBDC"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distribution</w:t>
      </w:r>
    </w:p>
    <w:p w14:paraId="3DDF5EE3"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chiton</w:t>
      </w:r>
      <w:r>
        <w:rPr>
          <w:rFonts w:ascii="Times New Roman" w:hAnsi="Times New Roman"/>
          <w:sz w:val="24"/>
        </w:rPr>
        <w:t xml:space="preserve"> will be distributed within Australia in a viable state as a result of the processing, sale or disposal of mangosteen fruit from Indonesia and subsequently transfer to a susceptible part of a host is: </w:t>
      </w:r>
      <w:r>
        <w:rPr>
          <w:rFonts w:ascii="Times New Roman" w:hAnsi="Times New Roman"/>
          <w:b/>
          <w:sz w:val="24"/>
        </w:rPr>
        <w:t>LOW</w:t>
      </w:r>
      <w:r>
        <w:rPr>
          <w:rFonts w:ascii="Times New Roman" w:hAnsi="Times New Roman"/>
          <w:sz w:val="24"/>
        </w:rPr>
        <w:t>.</w:t>
      </w:r>
    </w:p>
    <w:p w14:paraId="3D480DBF"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104425B7"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Mangosteen fruit may be distributed throughout Australia for retail sale, as the intended use of the commodity is human consumption. Waste material would be generated.</w:t>
      </w:r>
    </w:p>
    <w:p w14:paraId="2167A257"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Soft scale eggs, nymphs and adult females may remain on the fruit during retail distribution. The unconsumed parts of the fruit, especially the skin and calyx, are likely to end up in fruit waste, which may further aid distribution of viable scales. Disposal of infested fruit waste is likely to be by commercial or domestic rubbish systems or where the fruit is consumed. Some fruit waste may be disposed of in the home garden which provides an opportunity for </w:t>
      </w:r>
      <w:r>
        <w:rPr>
          <w:rFonts w:ascii="Times New Roman" w:hAnsi="Times New Roman"/>
          <w:i/>
        </w:rPr>
        <w:t xml:space="preserve">D. chiton </w:t>
      </w:r>
      <w:r>
        <w:rPr>
          <w:rFonts w:ascii="Times New Roman" w:hAnsi="Times New Roman"/>
        </w:rPr>
        <w:t>to transfer to susceptible hosts in the vicinity.</w:t>
      </w:r>
    </w:p>
    <w:p w14:paraId="1FCBBAAD"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Drepanococcus chiton</w:t>
      </w:r>
      <w:r>
        <w:rPr>
          <w:rFonts w:ascii="Times New Roman" w:hAnsi="Times New Roman"/>
        </w:rPr>
        <w:t xml:space="preserve"> is recorded on a number of host plants including various subtropical fruit trees and shrubs (Campbell 1997; Swirski</w:t>
      </w:r>
      <w:r>
        <w:rPr>
          <w:rFonts w:ascii="Times New Roman" w:hAnsi="Times New Roman"/>
          <w:i/>
        </w:rPr>
        <w:t xml:space="preserve"> et al.</w:t>
      </w:r>
      <w:r>
        <w:rPr>
          <w:rFonts w:ascii="Times New Roman" w:hAnsi="Times New Roman"/>
        </w:rPr>
        <w:t xml:space="preserve"> 1997; Greathead 1997b). Host plants are widely available in Australia.</w:t>
      </w:r>
    </w:p>
    <w:p w14:paraId="65C534DE"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Drepanococcus chiton</w:t>
      </w:r>
      <w:r>
        <w:rPr>
          <w:rFonts w:ascii="Times New Roman" w:hAnsi="Times New Roman"/>
        </w:rPr>
        <w:t xml:space="preserve"> eggs hatch within 6 days (Ibrahim 1994) and become crawlers. Crawlers are the primary dispersal stage and can also be dispersed by wind or animal contact (Greathead 1997a). The dispersal stage is relatively short, usually lasting from several hours to a few days (Marotta and Tranfaglia 1997), but generally a suitable settling site or feeding site is found within 24 hours (Greathead 1997a). Crawlers do not disperse far on the host plant, generally settling within about a metre from the parent female (Marotta and Tranfaglia 1997).</w:t>
      </w:r>
    </w:p>
    <w:p w14:paraId="598A276D"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The principal natural means of dispersal of crawlers from host plant to host plant is on wind currents (Greathead 1997a).</w:t>
      </w:r>
    </w:p>
    <w:p w14:paraId="24176754"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Other nymphal stages and adult females are sessile (Ben-Dov 1997). Adult males have wings but only live for a few hours to a few days (Marotta and Tranfaglia 1997), limiting their dispersal ability.</w:t>
      </w:r>
    </w:p>
    <w:p w14:paraId="30E3B61E"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Mortality is greatest during the crawler stage. Failure to settle is considered to be one of the major mortality factors. Additionally, crawlers lack the waxy protective cover and are susceptible to environmental factors (Marotta and Tranfaglia 1997). </w:t>
      </w:r>
      <w:r>
        <w:rPr>
          <w:rFonts w:ascii="Times New Roman" w:hAnsi="Times New Roman"/>
          <w:i/>
        </w:rPr>
        <w:t xml:space="preserve">D. chiton </w:t>
      </w:r>
      <w:r>
        <w:rPr>
          <w:rFonts w:ascii="Times New Roman" w:hAnsi="Times New Roman"/>
        </w:rPr>
        <w:t xml:space="preserve">can produce </w:t>
      </w:r>
      <w:r>
        <w:rPr>
          <w:rFonts w:ascii="Times New Roman" w:hAnsi="Times New Roman"/>
        </w:rPr>
        <w:lastRenderedPageBreak/>
        <w:t>approximately 1000 eggs. However, only 2.5% of the eggs hatched are likely to reach maturity (Ibrahim 1994).</w:t>
      </w:r>
    </w:p>
    <w:p w14:paraId="2ACE6402" w14:textId="77777777" w:rsidR="009D3DC8" w:rsidRDefault="009D3DC8">
      <w:pPr>
        <w:spacing w:before="180" w:line="280" w:lineRule="atLeast"/>
        <w:rPr>
          <w:rFonts w:ascii="Times New Roman" w:hAnsi="Times New Roman"/>
          <w:sz w:val="24"/>
        </w:rPr>
      </w:pPr>
      <w:r>
        <w:rPr>
          <w:rFonts w:ascii="Times New Roman" w:hAnsi="Times New Roman"/>
          <w:sz w:val="24"/>
        </w:rPr>
        <w:t>The possibility of dispersal near suitable hosts and the wide availability of hosts, moderated by the short dispersal stage and short travel distance of crawlers and adult males; the sessile status of other life stages; and the high mortality rate of scales reaching maturity support a likelihood estimate for distribution of ‘low’.</w:t>
      </w:r>
    </w:p>
    <w:p w14:paraId="4ADF62AA"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 xml:space="preserve">Overall probability of entry (importation </w:t>
      </w:r>
      <w:r>
        <w:rPr>
          <w:rFonts w:ascii="Times New Roman" w:hAnsi="Times New Roman" w:cs="Arial"/>
          <w:i w:val="0"/>
          <w:iCs w:val="0"/>
          <w:color w:val="000000"/>
          <w:sz w:val="24"/>
          <w:szCs w:val="28"/>
        </w:rPr>
        <w:sym w:font="Symbol" w:char="F0B4"/>
      </w:r>
      <w:r>
        <w:rPr>
          <w:rFonts w:ascii="Times New Roman" w:hAnsi="Times New Roman" w:cs="Arial"/>
          <w:i w:val="0"/>
          <w:iCs w:val="0"/>
          <w:color w:val="000000"/>
          <w:sz w:val="24"/>
          <w:szCs w:val="28"/>
        </w:rPr>
        <w:t xml:space="preserve"> distribution)</w:t>
      </w:r>
    </w:p>
    <w:p w14:paraId="76D8E799"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is determined by combining the probabilities of importation and of distribution using the matrix of rules shown in Table 2.2.</w:t>
      </w:r>
    </w:p>
    <w:p w14:paraId="7A39E29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chiton</w:t>
      </w:r>
      <w:r>
        <w:rPr>
          <w:rFonts w:ascii="Times New Roman" w:hAnsi="Times New Roman"/>
          <w:sz w:val="24"/>
        </w:rPr>
        <w:t xml:space="preserve"> will enter Australia as a result of trade in mangosteen fruit from Indonesia and be distributed in a viable state to a susceptible host is: </w:t>
      </w:r>
      <w:r>
        <w:rPr>
          <w:rFonts w:ascii="Times New Roman" w:hAnsi="Times New Roman"/>
          <w:b/>
          <w:sz w:val="24"/>
        </w:rPr>
        <w:t>LOW</w:t>
      </w:r>
      <w:r>
        <w:rPr>
          <w:rFonts w:ascii="Times New Roman" w:hAnsi="Times New Roman"/>
          <w:sz w:val="24"/>
        </w:rPr>
        <w:t>.</w:t>
      </w:r>
    </w:p>
    <w:p w14:paraId="19B6F7E7" w14:textId="77777777" w:rsidR="009D3DC8" w:rsidRDefault="009D3DC8">
      <w:pPr>
        <w:pStyle w:val="Heading3"/>
        <w:numPr>
          <w:ilvl w:val="2"/>
          <w:numId w:val="8"/>
        </w:numPr>
        <w:spacing w:line="240" w:lineRule="auto"/>
      </w:pPr>
      <w:r>
        <w:t>Probability of establishment and spread</w:t>
      </w:r>
    </w:p>
    <w:p w14:paraId="1B511730"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above, the probability of establishment and of spread for </w:t>
      </w:r>
      <w:r>
        <w:rPr>
          <w:rFonts w:ascii="Times New Roman" w:hAnsi="Times New Roman"/>
          <w:i/>
          <w:sz w:val="24"/>
        </w:rPr>
        <w:t>D. chiton</w:t>
      </w:r>
      <w:r>
        <w:rPr>
          <w:rFonts w:ascii="Times New Roman" w:hAnsi="Times New Roman"/>
          <w:sz w:val="24"/>
        </w:rPr>
        <w:t xml:space="preserve"> is being based on the assessment for longan and lychee fruit from China and Thailand (DAFF 2004a). The ratings from the previous assessment are presented below:</w:t>
      </w:r>
    </w:p>
    <w:p w14:paraId="10F33DBE" w14:textId="77777777" w:rsidR="009D3DC8" w:rsidRDefault="009D3DC8">
      <w:pPr>
        <w:spacing w:before="180" w:after="120" w:line="280" w:lineRule="atLeast"/>
        <w:rPr>
          <w:rFonts w:ascii="Times New Roman" w:hAnsi="Times New Roman"/>
          <w:sz w:val="24"/>
        </w:rPr>
      </w:pPr>
      <w:r>
        <w:rPr>
          <w:rFonts w:ascii="Times New Roman" w:hAnsi="Times New Roman"/>
          <w:sz w:val="24"/>
        </w:rPr>
        <w:t>Probability of establishment:</w:t>
      </w:r>
      <w:r>
        <w:rPr>
          <w:rFonts w:ascii="Times New Roman" w:hAnsi="Times New Roman"/>
          <w:sz w:val="24"/>
        </w:rPr>
        <w:tab/>
      </w:r>
      <w:r>
        <w:rPr>
          <w:rFonts w:ascii="Times New Roman" w:hAnsi="Times New Roman"/>
          <w:sz w:val="24"/>
        </w:rPr>
        <w:tab/>
      </w:r>
      <w:r>
        <w:rPr>
          <w:rFonts w:ascii="Times New Roman" w:hAnsi="Times New Roman"/>
          <w:b/>
          <w:sz w:val="24"/>
        </w:rPr>
        <w:t>HIGH</w:t>
      </w:r>
    </w:p>
    <w:p w14:paraId="5E94696E" w14:textId="77777777" w:rsidR="009D3DC8" w:rsidRDefault="009D3DC8">
      <w:pPr>
        <w:spacing w:before="120" w:line="280" w:lineRule="atLeast"/>
        <w:rPr>
          <w:rFonts w:ascii="Times New Roman" w:hAnsi="Times New Roman"/>
          <w:sz w:val="24"/>
        </w:rPr>
      </w:pPr>
      <w:r>
        <w:rPr>
          <w:rFonts w:ascii="Times New Roman" w:hAnsi="Times New Roman"/>
          <w:sz w:val="24"/>
        </w:rPr>
        <w:t>Probability of spread: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HIGH</w:t>
      </w:r>
    </w:p>
    <w:p w14:paraId="7E9D7EC5" w14:textId="77777777" w:rsidR="009D3DC8" w:rsidRDefault="009D3DC8">
      <w:pPr>
        <w:pStyle w:val="Heading3"/>
        <w:numPr>
          <w:ilvl w:val="2"/>
          <w:numId w:val="8"/>
        </w:numPr>
        <w:spacing w:line="240" w:lineRule="auto"/>
      </w:pPr>
      <w:r>
        <w:t>Overall probability of entry, establishment and spread</w:t>
      </w:r>
    </w:p>
    <w:p w14:paraId="7B153549"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establishment and spread is determined by combining the probability of entry, of establishment and of spread using the matrix of rules shown in Table 2.2.</w:t>
      </w:r>
    </w:p>
    <w:p w14:paraId="77AA3D1C" w14:textId="77777777" w:rsidR="009D3DC8" w:rsidRDefault="009D3DC8">
      <w:pPr>
        <w:spacing w:before="180" w:after="12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chiton</w:t>
      </w:r>
      <w:r>
        <w:rPr>
          <w:rFonts w:ascii="Times New Roman" w:hAnsi="Times New Roman"/>
          <w:sz w:val="24"/>
        </w:rPr>
        <w:t xml:space="preserve"> will enter Australia as a result of trade in mangosteen fruit from Indonesia, be distributed in a viable state to a susceptible host, establish in Australia and subsequently spread within Australia is: </w:t>
      </w:r>
      <w:r>
        <w:rPr>
          <w:rFonts w:ascii="Times New Roman" w:hAnsi="Times New Roman"/>
          <w:b/>
          <w:sz w:val="24"/>
        </w:rPr>
        <w:t>LOW</w:t>
      </w:r>
      <w:r>
        <w:rPr>
          <w:rFonts w:ascii="Times New Roman" w:hAnsi="Times New Roman"/>
          <w:sz w:val="24"/>
        </w:rPr>
        <w:t>.</w:t>
      </w:r>
    </w:p>
    <w:p w14:paraId="58F7444C" w14:textId="77777777" w:rsidR="009D3DC8" w:rsidRDefault="009D3DC8">
      <w:pPr>
        <w:pStyle w:val="Heading3"/>
        <w:numPr>
          <w:ilvl w:val="2"/>
          <w:numId w:val="8"/>
        </w:numPr>
        <w:spacing w:before="240" w:line="240" w:lineRule="auto"/>
      </w:pPr>
      <w:r>
        <w:t>Consequences</w:t>
      </w:r>
    </w:p>
    <w:p w14:paraId="2103EB75"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consequences of the establishment of </w:t>
      </w:r>
      <w:r>
        <w:rPr>
          <w:rFonts w:ascii="Times New Roman" w:hAnsi="Times New Roman"/>
          <w:i/>
          <w:sz w:val="24"/>
        </w:rPr>
        <w:t>D. chiton</w:t>
      </w:r>
      <w:r>
        <w:rPr>
          <w:rFonts w:ascii="Times New Roman" w:hAnsi="Times New Roman"/>
          <w:sz w:val="24"/>
        </w:rPr>
        <w:t xml:space="preserve"> in Australia have been estimated previously for longan and lychee fruit from China and Thailand (DAFF 2004a). This estimate of impact scores is provided below. As the ratings in 2004 were conducted on a scale from A to F, they have been adjusted here to reflect a current rating scale from A to G.</w:t>
      </w:r>
    </w:p>
    <w:p w14:paraId="2E6CA4CC" w14:textId="77777777" w:rsidR="009D3DC8" w:rsidRDefault="009D3DC8">
      <w:pPr>
        <w:spacing w:after="0" w:line="240" w:lineRule="auto"/>
        <w:rPr>
          <w:rFonts w:ascii="Times New Roman" w:hAnsi="Times New Roman"/>
          <w:sz w:val="24"/>
        </w:rPr>
      </w:pPr>
      <w:r>
        <w:rPr>
          <w:rFonts w:ascii="Times New Roman" w:hAnsi="Times New Roman"/>
          <w:sz w:val="24"/>
        </w:rPr>
        <w:t xml:space="preserve">Plant life or heath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18FAEFEB" w14:textId="77777777" w:rsidR="009D3DC8" w:rsidRDefault="009D3DC8">
      <w:pPr>
        <w:spacing w:after="0" w:line="240" w:lineRule="auto"/>
        <w:rPr>
          <w:rFonts w:ascii="Times New Roman" w:hAnsi="Times New Roman"/>
          <w:b/>
          <w:sz w:val="24"/>
        </w:rPr>
      </w:pPr>
      <w:r>
        <w:rPr>
          <w:rFonts w:ascii="Times New Roman" w:hAnsi="Times New Roman"/>
          <w:sz w:val="24"/>
        </w:rPr>
        <w:t>Any other aspects of the environment</w:t>
      </w:r>
      <w:r>
        <w:rPr>
          <w:rFonts w:ascii="Times New Roman" w:hAnsi="Times New Roman"/>
          <w:sz w:val="24"/>
        </w:rPr>
        <w:tab/>
      </w:r>
      <w:r>
        <w:rPr>
          <w:rFonts w:ascii="Times New Roman" w:hAnsi="Times New Roman"/>
          <w:b/>
          <w:sz w:val="24"/>
        </w:rPr>
        <w:t>B</w:t>
      </w:r>
    </w:p>
    <w:p w14:paraId="6DD2BA9F" w14:textId="77777777" w:rsidR="009D3DC8" w:rsidRDefault="009D3DC8">
      <w:pPr>
        <w:spacing w:after="0" w:line="240" w:lineRule="auto"/>
        <w:rPr>
          <w:rFonts w:ascii="Times New Roman" w:hAnsi="Times New Roman"/>
          <w:sz w:val="24"/>
        </w:rPr>
      </w:pPr>
      <w:r>
        <w:rPr>
          <w:rFonts w:ascii="Times New Roman" w:hAnsi="Times New Roman"/>
          <w:sz w:val="24"/>
        </w:rPr>
        <w:t>Eradication, control, etc.</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C</w:t>
      </w:r>
    </w:p>
    <w:p w14:paraId="484E6511" w14:textId="77777777" w:rsidR="009D3DC8" w:rsidRDefault="009D3DC8">
      <w:pPr>
        <w:spacing w:after="0" w:line="240" w:lineRule="auto"/>
        <w:rPr>
          <w:rFonts w:ascii="Times New Roman" w:hAnsi="Times New Roman"/>
          <w:sz w:val="24"/>
        </w:rPr>
      </w:pPr>
      <w:r>
        <w:rPr>
          <w:rFonts w:ascii="Times New Roman" w:hAnsi="Times New Roman"/>
          <w:sz w:val="24"/>
        </w:rPr>
        <w:t>Domestic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C</w:t>
      </w:r>
    </w:p>
    <w:p w14:paraId="02880809" w14:textId="77777777" w:rsidR="009D3DC8" w:rsidRDefault="009D3DC8">
      <w:pPr>
        <w:spacing w:after="0" w:line="240" w:lineRule="auto"/>
        <w:rPr>
          <w:rFonts w:ascii="Times New Roman" w:hAnsi="Times New Roman"/>
          <w:sz w:val="24"/>
        </w:rPr>
      </w:pPr>
      <w:r>
        <w:rPr>
          <w:rFonts w:ascii="Times New Roman" w:hAnsi="Times New Roman"/>
          <w:sz w:val="24"/>
        </w:rPr>
        <w:t>International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37A8DFFE" w14:textId="77777777" w:rsidR="009D3DC8" w:rsidRDefault="009D3DC8">
      <w:pPr>
        <w:spacing w:after="0" w:line="240" w:lineRule="auto"/>
        <w:rPr>
          <w:rFonts w:ascii="Times New Roman" w:hAnsi="Times New Roman"/>
          <w:sz w:val="24"/>
        </w:rPr>
      </w:pPr>
      <w:r>
        <w:rPr>
          <w:rFonts w:ascii="Times New Roman" w:hAnsi="Times New Roman"/>
          <w:sz w:val="24"/>
        </w:rPr>
        <w:t>Environment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B</w:t>
      </w:r>
    </w:p>
    <w:p w14:paraId="64A5D8E2" w14:textId="77777777" w:rsidR="009D3DC8" w:rsidRDefault="009D3DC8">
      <w:pPr>
        <w:spacing w:before="180" w:line="280" w:lineRule="atLeast"/>
        <w:rPr>
          <w:rFonts w:ascii="Times New Roman" w:hAnsi="Times New Roman"/>
          <w:sz w:val="24"/>
        </w:rPr>
      </w:pPr>
      <w:r>
        <w:rPr>
          <w:rFonts w:ascii="Times New Roman" w:hAnsi="Times New Roman"/>
          <w:sz w:val="24"/>
        </w:rPr>
        <w:t>Based on the description rules described in Table 2.4, that is, where the consequences of a pest with respect to one or more criteria are ‘</w:t>
      </w:r>
      <w:r>
        <w:rPr>
          <w:rFonts w:ascii="Times New Roman" w:hAnsi="Times New Roman"/>
          <w:b/>
          <w:sz w:val="24"/>
        </w:rPr>
        <w:t>D</w:t>
      </w:r>
      <w:r>
        <w:rPr>
          <w:rFonts w:ascii="Times New Roman" w:hAnsi="Times New Roman"/>
          <w:sz w:val="24"/>
        </w:rPr>
        <w:t xml:space="preserve">’, the overall consequences are estimated to be </w:t>
      </w:r>
      <w:r>
        <w:rPr>
          <w:rFonts w:ascii="Times New Roman" w:hAnsi="Times New Roman"/>
          <w:b/>
          <w:sz w:val="24"/>
        </w:rPr>
        <w:t>LOW</w:t>
      </w:r>
      <w:r>
        <w:rPr>
          <w:rFonts w:ascii="Times New Roman" w:hAnsi="Times New Roman"/>
          <w:sz w:val="24"/>
        </w:rPr>
        <w:t>.</w:t>
      </w:r>
    </w:p>
    <w:p w14:paraId="497E3D21" w14:textId="77777777" w:rsidR="009D3DC8" w:rsidRDefault="009D3DC8">
      <w:pPr>
        <w:pStyle w:val="Heading3"/>
        <w:numPr>
          <w:ilvl w:val="2"/>
          <w:numId w:val="8"/>
        </w:numPr>
        <w:spacing w:line="240" w:lineRule="auto"/>
      </w:pPr>
      <w:r>
        <w:lastRenderedPageBreak/>
        <w:t>Unrestricted risk estimate</w:t>
      </w:r>
    </w:p>
    <w:p w14:paraId="0AFBEB77" w14:textId="77777777" w:rsidR="009D3DC8" w:rsidRDefault="009D3DC8">
      <w:pPr>
        <w:spacing w:before="180" w:after="180" w:line="280" w:lineRule="atLeast"/>
        <w:rPr>
          <w:rFonts w:ascii="Times New Roman" w:hAnsi="Times New Roman"/>
          <w:sz w:val="24"/>
        </w:rPr>
      </w:pPr>
      <w:r>
        <w:rPr>
          <w:rFonts w:ascii="Times New Roman" w:hAnsi="Times New Roman"/>
          <w:sz w:val="24"/>
        </w:rPr>
        <w:t>Unrestricted risk is the result of combining the probability of entry, establishment and spread with the estimate of consequences. Probabilities and consequences are combined using the risk estimation matrix shown in Table 2.5.</w:t>
      </w:r>
    </w:p>
    <w:tbl>
      <w:tblPr>
        <w:tblW w:w="9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9"/>
        <w:gridCol w:w="2977"/>
      </w:tblGrid>
      <w:tr w:rsidR="009D3DC8" w14:paraId="6F3296FE" w14:textId="77777777">
        <w:tc>
          <w:tcPr>
            <w:tcW w:w="9436" w:type="dxa"/>
            <w:gridSpan w:val="2"/>
            <w:shd w:val="clear" w:color="auto" w:fill="E0E0E0"/>
          </w:tcPr>
          <w:p w14:paraId="7D84EADA" w14:textId="77777777" w:rsidR="009D3DC8" w:rsidRDefault="009D3DC8">
            <w:pPr>
              <w:pStyle w:val="TableText1"/>
              <w:rPr>
                <w:rFonts w:ascii="Arial" w:hAnsi="Arial" w:cs="Arial"/>
                <w:b/>
              </w:rPr>
            </w:pPr>
            <w:r>
              <w:rPr>
                <w:rFonts w:ascii="Arial" w:hAnsi="Arial" w:cs="Arial"/>
                <w:b/>
              </w:rPr>
              <w:t xml:space="preserve">Unrestricted risk estimate for </w:t>
            </w:r>
            <w:r>
              <w:rPr>
                <w:rFonts w:ascii="Arial" w:hAnsi="Arial" w:cs="Arial"/>
                <w:b/>
                <w:i/>
              </w:rPr>
              <w:t>Drepanococcus chiton</w:t>
            </w:r>
          </w:p>
        </w:tc>
      </w:tr>
      <w:tr w:rsidR="009D3DC8" w14:paraId="729581D6" w14:textId="77777777">
        <w:tc>
          <w:tcPr>
            <w:tcW w:w="6459" w:type="dxa"/>
            <w:tcBorders>
              <w:bottom w:val="single" w:sz="8" w:space="0" w:color="C0C0C0"/>
            </w:tcBorders>
          </w:tcPr>
          <w:p w14:paraId="02D77A66" w14:textId="77777777" w:rsidR="009D3DC8" w:rsidRDefault="009D3DC8">
            <w:pPr>
              <w:pStyle w:val="TableText1"/>
              <w:rPr>
                <w:rFonts w:ascii="Arial" w:hAnsi="Arial" w:cs="Arial"/>
              </w:rPr>
            </w:pPr>
            <w:r>
              <w:rPr>
                <w:rFonts w:ascii="Arial" w:hAnsi="Arial" w:cs="Arial"/>
              </w:rPr>
              <w:t>Overall probability of entry, establishment and spread</w:t>
            </w:r>
          </w:p>
        </w:tc>
        <w:tc>
          <w:tcPr>
            <w:tcW w:w="2977" w:type="dxa"/>
            <w:tcBorders>
              <w:bottom w:val="single" w:sz="8" w:space="0" w:color="C0C0C0"/>
            </w:tcBorders>
          </w:tcPr>
          <w:p w14:paraId="1F7F52BB" w14:textId="77777777" w:rsidR="009D3DC8" w:rsidRDefault="009D3DC8">
            <w:pPr>
              <w:pStyle w:val="TableText1"/>
              <w:rPr>
                <w:rFonts w:ascii="Arial" w:hAnsi="Arial" w:cs="Arial"/>
              </w:rPr>
            </w:pPr>
            <w:r>
              <w:rPr>
                <w:rFonts w:ascii="Arial" w:hAnsi="Arial" w:cs="Arial"/>
              </w:rPr>
              <w:t>Low</w:t>
            </w:r>
          </w:p>
        </w:tc>
      </w:tr>
      <w:tr w:rsidR="009D3DC8" w14:paraId="167C3CE7" w14:textId="77777777">
        <w:tc>
          <w:tcPr>
            <w:tcW w:w="6459" w:type="dxa"/>
            <w:tcBorders>
              <w:top w:val="single" w:sz="8" w:space="0" w:color="C0C0C0"/>
            </w:tcBorders>
          </w:tcPr>
          <w:p w14:paraId="6CA2DE88" w14:textId="77777777" w:rsidR="009D3DC8" w:rsidRDefault="009D3DC8">
            <w:pPr>
              <w:pStyle w:val="TableText1"/>
              <w:rPr>
                <w:rFonts w:ascii="Arial" w:hAnsi="Arial" w:cs="Arial"/>
              </w:rPr>
            </w:pPr>
            <w:r>
              <w:rPr>
                <w:rFonts w:ascii="Arial" w:hAnsi="Arial" w:cs="Arial"/>
              </w:rPr>
              <w:t>Consequences</w:t>
            </w:r>
          </w:p>
        </w:tc>
        <w:tc>
          <w:tcPr>
            <w:tcW w:w="2977" w:type="dxa"/>
            <w:tcBorders>
              <w:top w:val="single" w:sz="8" w:space="0" w:color="C0C0C0"/>
            </w:tcBorders>
          </w:tcPr>
          <w:p w14:paraId="3F4007E9" w14:textId="77777777" w:rsidR="009D3DC8" w:rsidRDefault="009D3DC8">
            <w:pPr>
              <w:pStyle w:val="TableText1"/>
              <w:rPr>
                <w:rFonts w:ascii="Arial" w:hAnsi="Arial" w:cs="Arial"/>
              </w:rPr>
            </w:pPr>
            <w:r>
              <w:rPr>
                <w:rFonts w:ascii="Arial" w:hAnsi="Arial" w:cs="Arial"/>
              </w:rPr>
              <w:t>Low</w:t>
            </w:r>
          </w:p>
        </w:tc>
      </w:tr>
      <w:tr w:rsidR="009D3DC8" w14:paraId="05F9F6BD" w14:textId="77777777">
        <w:tc>
          <w:tcPr>
            <w:tcW w:w="6459" w:type="dxa"/>
          </w:tcPr>
          <w:p w14:paraId="373939CB" w14:textId="77777777" w:rsidR="009D3DC8" w:rsidRDefault="009D3DC8">
            <w:pPr>
              <w:pStyle w:val="TableText1"/>
              <w:rPr>
                <w:rFonts w:ascii="Arial" w:hAnsi="Arial" w:cs="Arial"/>
              </w:rPr>
            </w:pPr>
            <w:r>
              <w:rPr>
                <w:rFonts w:ascii="Arial" w:hAnsi="Arial" w:cs="Arial"/>
              </w:rPr>
              <w:t>Unrestricted risk</w:t>
            </w:r>
          </w:p>
        </w:tc>
        <w:tc>
          <w:tcPr>
            <w:tcW w:w="2977" w:type="dxa"/>
          </w:tcPr>
          <w:p w14:paraId="296AEC5A" w14:textId="77777777" w:rsidR="009D3DC8" w:rsidRDefault="009D3DC8">
            <w:pPr>
              <w:pStyle w:val="TableText1"/>
              <w:rPr>
                <w:rFonts w:ascii="Arial" w:hAnsi="Arial" w:cs="Arial"/>
              </w:rPr>
            </w:pPr>
            <w:r>
              <w:rPr>
                <w:rFonts w:ascii="Arial" w:hAnsi="Arial" w:cs="Arial"/>
              </w:rPr>
              <w:t>Very Low</w:t>
            </w:r>
          </w:p>
        </w:tc>
      </w:tr>
    </w:tbl>
    <w:p w14:paraId="617B736B"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the unrestricted risk estimate for </w:t>
      </w:r>
      <w:r>
        <w:rPr>
          <w:rFonts w:ascii="Times New Roman" w:hAnsi="Times New Roman"/>
          <w:i/>
          <w:sz w:val="24"/>
        </w:rPr>
        <w:t>D. chiton</w:t>
      </w:r>
      <w:r>
        <w:rPr>
          <w:rFonts w:ascii="Times New Roman" w:hAnsi="Times New Roman"/>
          <w:sz w:val="24"/>
        </w:rPr>
        <w:t xml:space="preserve"> has been assessed as ‘very low’, which achieves Australia’s ALOP. Therefore, no specific risk management measures are required for this pest.</w:t>
      </w:r>
    </w:p>
    <w:p w14:paraId="5807CA01" w14:textId="77777777" w:rsidR="009D3DC8" w:rsidRDefault="009D3DC8">
      <w:pPr>
        <w:rPr>
          <w:rFonts w:ascii="Arial" w:hAnsi="Arial"/>
          <w:b/>
          <w:snapToGrid w:val="0"/>
          <w:color w:val="000000"/>
          <w:w w:val="0"/>
          <w:sz w:val="28"/>
          <w:szCs w:val="28"/>
        </w:rPr>
      </w:pPr>
      <w:r>
        <w:br w:type="page"/>
      </w:r>
    </w:p>
    <w:p w14:paraId="3DDD650D" w14:textId="77777777" w:rsidR="009D3DC8" w:rsidRDefault="009D3DC8">
      <w:pPr>
        <w:pStyle w:val="Heading2"/>
        <w:numPr>
          <w:ilvl w:val="1"/>
          <w:numId w:val="8"/>
        </w:numPr>
        <w:spacing w:line="240" w:lineRule="auto"/>
      </w:pPr>
      <w:bookmarkStart w:id="80" w:name="_Toc325618445"/>
      <w:r>
        <w:t>Armoured scales [Hemiptera: Diaspididae]</w:t>
      </w:r>
      <w:bookmarkEnd w:id="80"/>
    </w:p>
    <w:p w14:paraId="717A71A5" w14:textId="77777777" w:rsidR="009D3DC8" w:rsidRDefault="009D3DC8">
      <w:pPr>
        <w:spacing w:after="120"/>
        <w:rPr>
          <w:rFonts w:ascii="Arial" w:hAnsi="Arial" w:cs="Arial"/>
          <w:b/>
          <w:i/>
          <w:sz w:val="24"/>
        </w:rPr>
      </w:pPr>
      <w:r>
        <w:rPr>
          <w:rFonts w:ascii="Arial" w:hAnsi="Arial" w:cs="Arial"/>
          <w:b/>
          <w:i/>
          <w:sz w:val="24"/>
        </w:rPr>
        <w:t xml:space="preserve">Diaspis boisduvalii </w:t>
      </w:r>
      <w:r>
        <w:rPr>
          <w:rFonts w:ascii="Arial" w:hAnsi="Arial" w:cs="Arial"/>
          <w:b/>
          <w:i/>
          <w:sz w:val="24"/>
          <w:vertAlign w:val="superscript"/>
        </w:rPr>
        <w:t>WA</w:t>
      </w:r>
      <w:r>
        <w:rPr>
          <w:rFonts w:ascii="Arial" w:hAnsi="Arial" w:cs="Arial"/>
          <w:b/>
          <w:i/>
          <w:sz w:val="24"/>
        </w:rPr>
        <w:t xml:space="preserve">, Ischnaspis longirostris </w:t>
      </w:r>
      <w:r>
        <w:rPr>
          <w:rFonts w:ascii="Arial" w:hAnsi="Arial" w:cs="Arial"/>
          <w:b/>
          <w:i/>
          <w:sz w:val="24"/>
          <w:vertAlign w:val="superscript"/>
        </w:rPr>
        <w:t>EP, WA</w:t>
      </w:r>
      <w:r>
        <w:rPr>
          <w:rFonts w:ascii="Arial" w:hAnsi="Arial" w:cs="Arial"/>
          <w:b/>
          <w:i/>
          <w:sz w:val="24"/>
        </w:rPr>
        <w:t xml:space="preserve">, Pseudaonidia trilobitiformis </w:t>
      </w:r>
      <w:r>
        <w:rPr>
          <w:rFonts w:ascii="Arial" w:hAnsi="Arial" w:cs="Arial"/>
          <w:b/>
          <w:i/>
          <w:sz w:val="24"/>
          <w:vertAlign w:val="superscript"/>
        </w:rPr>
        <w:t>EP, WA</w:t>
      </w:r>
    </w:p>
    <w:p w14:paraId="0166C38D" w14:textId="77777777" w:rsidR="009D3DC8" w:rsidRDefault="009D3DC8">
      <w:pPr>
        <w:spacing w:before="180" w:line="280" w:lineRule="atLeast"/>
        <w:rPr>
          <w:rFonts w:ascii="Times New Roman" w:hAnsi="Times New Roman"/>
          <w:sz w:val="24"/>
        </w:rPr>
      </w:pPr>
      <w:r>
        <w:rPr>
          <w:rFonts w:ascii="Times New Roman" w:hAnsi="Times New Roman"/>
          <w:i/>
          <w:sz w:val="24"/>
        </w:rPr>
        <w:t>Diaspis boisduvalii</w:t>
      </w:r>
      <w:r>
        <w:rPr>
          <w:rFonts w:ascii="Times New Roman" w:hAnsi="Times New Roman"/>
          <w:sz w:val="24"/>
        </w:rPr>
        <w:t xml:space="preserve">, </w:t>
      </w:r>
      <w:r>
        <w:rPr>
          <w:rFonts w:ascii="Times New Roman" w:hAnsi="Times New Roman"/>
          <w:i/>
          <w:sz w:val="24"/>
        </w:rPr>
        <w:t>Ischnaspis longirostris</w:t>
      </w:r>
      <w:r>
        <w:rPr>
          <w:rFonts w:ascii="Times New Roman" w:hAnsi="Times New Roman"/>
          <w:sz w:val="24"/>
        </w:rPr>
        <w:t xml:space="preserve"> and </w:t>
      </w:r>
      <w:r>
        <w:rPr>
          <w:rFonts w:ascii="Times New Roman" w:hAnsi="Times New Roman"/>
          <w:i/>
          <w:sz w:val="24"/>
        </w:rPr>
        <w:t>Pseudaonidia trilobitiformis</w:t>
      </w:r>
      <w:r>
        <w:rPr>
          <w:rFonts w:ascii="Times New Roman" w:hAnsi="Times New Roman"/>
          <w:sz w:val="24"/>
        </w:rPr>
        <w:t xml:space="preserve"> are not present in Western Australia and are pests of regional quarantine concern for that state.</w:t>
      </w:r>
    </w:p>
    <w:p w14:paraId="5E68AE65" w14:textId="77777777" w:rsidR="009D3DC8" w:rsidRDefault="009D3DC8">
      <w:pPr>
        <w:spacing w:before="180" w:line="280" w:lineRule="atLeast"/>
        <w:rPr>
          <w:rFonts w:ascii="Times New Roman" w:hAnsi="Times New Roman"/>
          <w:sz w:val="24"/>
        </w:rPr>
      </w:pPr>
      <w:r>
        <w:rPr>
          <w:rFonts w:ascii="Times New Roman" w:hAnsi="Times New Roman"/>
          <w:sz w:val="24"/>
        </w:rPr>
        <w:t>The biology and taxonomy of these three species are considered sufficiently similar to justify combining them into a single assessment. In this assessment, the term ‘armoured scales’ is used to refer to these three species unless otherwise specified.</w:t>
      </w:r>
    </w:p>
    <w:p w14:paraId="70F73F0B" w14:textId="77777777" w:rsidR="009D3DC8" w:rsidRDefault="009D3DC8">
      <w:pPr>
        <w:spacing w:before="180" w:line="280" w:lineRule="atLeast"/>
        <w:rPr>
          <w:rFonts w:ascii="Times New Roman" w:hAnsi="Times New Roman"/>
          <w:sz w:val="24"/>
        </w:rPr>
      </w:pPr>
      <w:r>
        <w:rPr>
          <w:rFonts w:ascii="Times New Roman" w:hAnsi="Times New Roman"/>
          <w:i/>
          <w:sz w:val="24"/>
        </w:rPr>
        <w:t>Diaspis boisduvalii, 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are members of the family Diaspididae, which produce a hard, fibrous, wax-like covering that attaches the scale to the host plant (Carver</w:t>
      </w:r>
      <w:r>
        <w:rPr>
          <w:rFonts w:ascii="Times New Roman" w:hAnsi="Times New Roman"/>
          <w:i/>
          <w:sz w:val="24"/>
        </w:rPr>
        <w:t xml:space="preserve"> et al.</w:t>
      </w:r>
      <w:r>
        <w:rPr>
          <w:rFonts w:ascii="Times New Roman" w:hAnsi="Times New Roman"/>
          <w:sz w:val="24"/>
        </w:rPr>
        <w:t xml:space="preserve"> 1991). Unlike the soft scales, armoured scales do not produce honeydew-like secretions that commonly cause sooty mould to develop (Beardsley and Gonzalez 1975).</w:t>
      </w:r>
    </w:p>
    <w:p w14:paraId="583A72F2" w14:textId="77777777" w:rsidR="009D3DC8" w:rsidRDefault="009D3DC8">
      <w:pPr>
        <w:spacing w:before="180" w:line="280" w:lineRule="atLeast"/>
        <w:rPr>
          <w:rFonts w:ascii="Times New Roman" w:hAnsi="Times New Roman"/>
          <w:sz w:val="24"/>
        </w:rPr>
      </w:pPr>
      <w:r>
        <w:rPr>
          <w:rFonts w:ascii="Times New Roman" w:hAnsi="Times New Roman"/>
          <w:sz w:val="24"/>
        </w:rPr>
        <w:t>The listed armoured scales are near-cosmopolitan and occur throughout the tropics, including Indonesia, and the subtropics of the world. They are also common in greenhouses of the cold to temperate climates of the northern hemisphere (Miller and Davidson 2005a).</w:t>
      </w:r>
    </w:p>
    <w:p w14:paraId="555881C2" w14:textId="77777777" w:rsidR="009D3DC8" w:rsidRDefault="009D3DC8">
      <w:pPr>
        <w:spacing w:before="180" w:line="280" w:lineRule="atLeast"/>
        <w:rPr>
          <w:rFonts w:ascii="Times New Roman" w:hAnsi="Times New Roman"/>
          <w:sz w:val="24"/>
        </w:rPr>
      </w:pPr>
      <w:r>
        <w:rPr>
          <w:rFonts w:ascii="Times New Roman" w:hAnsi="Times New Roman"/>
          <w:i/>
          <w:sz w:val="24"/>
        </w:rPr>
        <w:t>Diaspis boisduvalii</w:t>
      </w:r>
      <w:r>
        <w:rPr>
          <w:rFonts w:ascii="Times New Roman" w:hAnsi="Times New Roman"/>
          <w:sz w:val="24"/>
        </w:rPr>
        <w:t xml:space="preserve"> is a polyphagous species that has been recorded on hosts from 44 genera in 15 families (Miller and Davidson 2005a). It is a pest of economic importance for </w:t>
      </w:r>
      <w:r>
        <w:rPr>
          <w:rFonts w:ascii="Times New Roman" w:hAnsi="Times New Roman"/>
          <w:i/>
          <w:sz w:val="24"/>
        </w:rPr>
        <w:t>Cattleya</w:t>
      </w:r>
      <w:r>
        <w:rPr>
          <w:rFonts w:ascii="Times New Roman" w:hAnsi="Times New Roman"/>
          <w:sz w:val="24"/>
        </w:rPr>
        <w:t xml:space="preserve"> orchids in Indonesia (Tjoa 1960). Other hosts include; banana, pineapple, palms, cacti, coffee and coconut (Tenbrink and Hara 1992a; Miller and Davidson 2005a). </w:t>
      </w:r>
      <w:r>
        <w:rPr>
          <w:rFonts w:ascii="Times New Roman" w:hAnsi="Times New Roman"/>
          <w:i/>
          <w:sz w:val="24"/>
        </w:rPr>
        <w:t>Diaspis boisduvalii</w:t>
      </w:r>
      <w:r>
        <w:rPr>
          <w:rFonts w:ascii="Times New Roman" w:hAnsi="Times New Roman"/>
          <w:sz w:val="24"/>
        </w:rPr>
        <w:t xml:space="preserve"> is considered a pest of mangosteen plants in Malaysia and is found mainly feeding on the leaves (Yunus and Ho 1980). However, armoured scales feed on all aerial parts of a tree (Kosztarab 1990); therefore </w:t>
      </w:r>
      <w:r>
        <w:rPr>
          <w:rFonts w:ascii="Times New Roman" w:hAnsi="Times New Roman"/>
          <w:i/>
          <w:sz w:val="24"/>
        </w:rPr>
        <w:t>D. boisduvalii</w:t>
      </w:r>
      <w:r>
        <w:rPr>
          <w:rFonts w:ascii="Times New Roman" w:hAnsi="Times New Roman"/>
          <w:sz w:val="24"/>
        </w:rPr>
        <w:t xml:space="preserve"> may also be found on mangosteen fruit.</w:t>
      </w:r>
    </w:p>
    <w:p w14:paraId="3F76D322" w14:textId="77777777" w:rsidR="009D3DC8" w:rsidRDefault="009D3DC8">
      <w:pPr>
        <w:spacing w:before="180" w:line="280" w:lineRule="atLeast"/>
        <w:rPr>
          <w:rFonts w:ascii="Times New Roman" w:hAnsi="Times New Roman"/>
          <w:sz w:val="24"/>
        </w:rPr>
      </w:pPr>
      <w:r>
        <w:rPr>
          <w:rFonts w:ascii="Times New Roman" w:hAnsi="Times New Roman"/>
          <w:i/>
          <w:sz w:val="24"/>
        </w:rPr>
        <w:t>Ischnaspis longirostris</w:t>
      </w:r>
      <w:r>
        <w:rPr>
          <w:rFonts w:ascii="Times New Roman" w:hAnsi="Times New Roman"/>
          <w:sz w:val="24"/>
        </w:rPr>
        <w:t xml:space="preserve"> is a highly polyphagous species that has been recorded on hosts from 70 genera in 35 families (Miller and Davidson 2005a), including mangosteen (Watson 2005b). It is an economic pest of citrus, coconut, coffee, mango, avocado, banana, palms and greenhouse plants (Miller and Davidson 2005a; CABI 2011).</w:t>
      </w:r>
    </w:p>
    <w:p w14:paraId="4C8E8928" w14:textId="77777777" w:rsidR="009D3DC8" w:rsidRDefault="009D3DC8">
      <w:pPr>
        <w:spacing w:before="180" w:line="280" w:lineRule="atLeast"/>
        <w:rPr>
          <w:rFonts w:ascii="Times New Roman" w:hAnsi="Times New Roman"/>
          <w:sz w:val="24"/>
        </w:rPr>
      </w:pPr>
      <w:r>
        <w:rPr>
          <w:rFonts w:ascii="Times New Roman" w:hAnsi="Times New Roman"/>
          <w:i/>
          <w:sz w:val="24"/>
        </w:rPr>
        <w:t>Pseudaonidia trilobitiformis</w:t>
      </w:r>
      <w:r>
        <w:rPr>
          <w:rFonts w:ascii="Times New Roman" w:hAnsi="Times New Roman"/>
          <w:sz w:val="24"/>
        </w:rPr>
        <w:t xml:space="preserve"> is also highly polyphagous and has been recorded on hosts from 80 genera in 42 families (Miller and Davidson 2005a). It is an important pest of citrus, cacao, cashew, mango and avocado (Miller and Davidson 2005a), but other horticulture crops and ornamentals are also attacked. </w:t>
      </w:r>
      <w:r>
        <w:rPr>
          <w:rFonts w:ascii="Times New Roman" w:hAnsi="Times New Roman"/>
          <w:i/>
          <w:sz w:val="24"/>
        </w:rPr>
        <w:t>Pseudaonidia trilobitiformis</w:t>
      </w:r>
      <w:r>
        <w:rPr>
          <w:rFonts w:ascii="Times New Roman" w:hAnsi="Times New Roman"/>
          <w:sz w:val="24"/>
        </w:rPr>
        <w:t xml:space="preserve"> has been intercepted in the USA on mangosteen fruit from Thailand (USDA-APHIS 2007).</w:t>
      </w:r>
    </w:p>
    <w:p w14:paraId="13309A27" w14:textId="77777777" w:rsidR="009D3DC8" w:rsidRDefault="009D3DC8">
      <w:pPr>
        <w:spacing w:before="180" w:line="280" w:lineRule="atLeast"/>
        <w:rPr>
          <w:rFonts w:ascii="Times New Roman" w:hAnsi="Times New Roman"/>
          <w:sz w:val="24"/>
        </w:rPr>
      </w:pPr>
      <w:r>
        <w:rPr>
          <w:rFonts w:ascii="Times New Roman" w:hAnsi="Times New Roman"/>
          <w:sz w:val="24"/>
        </w:rPr>
        <w:t>Armoured scales affect their hosts by removing sap, as well as by injecting toxic saliva during feeding (Kosztarab 1990; McClure 1990a). The feeding process results in cell death, deformation of plant parts and the formation of galls and pits, as well as increased susceptibility to other destructive agents such as frosts, disease and other pests (Kosztarab 1990; McClure 1990a). High populations of scales can cause the death of host plants (Beardsley and Gonzalez 1975).</w:t>
      </w:r>
    </w:p>
    <w:p w14:paraId="4A967CBF"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In general, scale nymphs (crawlers) settle and feed on branches, leaves and fruit of the host plant, becoming immobile as they develop into late instar nymphs (Beardsley and Gonzalez 1975; Koteja 1990b). The female life stages includes an adult, egg and nymph, while the male has adult, egg, nymph, pre-pupa and pupa stages (Beardsley and Gonzalez 1975; Koteja 1990b). The female reaches sexual maturity undergoing slight metamorphosis of the internal and external organs (Koteja 1990b). The adult female resembles a slightly larger nymph, remaining legless and immobile on the host plant (Takagi 1990). This contrasts with the male scale, which has a pupal stage, emerging as a winged adult form (Koteja 1990b). The mature adult female is approximately 1.0–1.5 mm in length (Takagi 1990). The mature adult male is seldom seen and is rarely more than 1.0 mm in length (Giliomee 1990).</w:t>
      </w:r>
    </w:p>
    <w:p w14:paraId="0A3C762B" w14:textId="77777777" w:rsidR="009D3DC8" w:rsidRDefault="009D3DC8">
      <w:pPr>
        <w:spacing w:before="180" w:line="280" w:lineRule="atLeast"/>
        <w:rPr>
          <w:rFonts w:ascii="Times New Roman" w:hAnsi="Times New Roman"/>
          <w:sz w:val="24"/>
        </w:rPr>
      </w:pPr>
      <w:r>
        <w:rPr>
          <w:rFonts w:ascii="Times New Roman" w:hAnsi="Times New Roman"/>
          <w:sz w:val="24"/>
        </w:rPr>
        <w:t>The adult males of armoured scales only live for 1–3 days (Koteja 1990b). They do not feed and their primary purpose is to locate a female and mate (Koteja 1990b). The adult female can reproduce with or without a male scale (Beardsley and Gonzalez 1975) and will continuously produce offspring for several weeks until death (Koteja 1990a). Female scales will lay 1–10 eggs daily, with some scale species also able to give birth to live young (Beardsley and Gonzalez 1975; Koteja 1990a). The number of offspring produced by a female armoured scale is relatively low, generally around 50–150 (Koteja 1990a). The number of generations per year varies depending on the species and climatic conditions (McClure 1990b) with either eggs, first instar nymphs or adult females overwintering (Beardsley and Gonzalez 1975). The hatched or live-born young remain motionless under the body or scale cover of the adult female for a short period of time before emerging as crawlers. Depending on the environmental conditions this time may vary from half an hour to a couple of days (Beardsley and Gonzalez 1975; Koteja 1990b; Miller and Davidson 2005a). Removal of the mother scale may also trigger the emergence of crawlers (Koteja 1990b).</w:t>
      </w:r>
    </w:p>
    <w:p w14:paraId="4C8E0DBC" w14:textId="77777777" w:rsidR="009D3DC8" w:rsidRDefault="009D3DC8">
      <w:pPr>
        <w:spacing w:before="180" w:line="280" w:lineRule="atLeast"/>
        <w:rPr>
          <w:rFonts w:ascii="Times New Roman" w:hAnsi="Times New Roman"/>
          <w:sz w:val="24"/>
        </w:rPr>
      </w:pPr>
      <w:r>
        <w:rPr>
          <w:rFonts w:ascii="Times New Roman" w:hAnsi="Times New Roman"/>
          <w:sz w:val="24"/>
        </w:rPr>
        <w:t>Crawlers are the primary dispersal stage and move to new areas of the plant or are dispersed by wind or animal contact (Watson 2005c). Although wind is an agent of dispersal, it can also cause mortality because crawlers dislodged by wind may not land on a suitable host plant (Beardsley and Gonzalez 1975; Watson 2005c). The dispersal phase or wandering period lasts for several hours to several days depending on the environmental conditions and availability of feeding sites (Koteja 1990b; Miller and Davidson 2005a). At the end of the wandering period, crawlers secure themselves to the plant host with their mouthparts. Crawlers prefer to settle on the rough or dusty surfaces of the plant (Koteja 1990b). Once settled, the crawlers draw their legs beneath the body and flatten themselves against the host to commence feeding and develop a protective covering (Beardsley and Gonzalez 1975; Koteja 1990b). They feed by inserting their piercing and sucking mouthparts into the plant tissue to consume the plant juices (Koteja 1990b). Dispersal of sessile adults and eggs occurs through human transport of infested plant material (Watson 2005c).</w:t>
      </w:r>
    </w:p>
    <w:p w14:paraId="00B1D565"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risk scenario of concern for </w:t>
      </w:r>
      <w:r>
        <w:rPr>
          <w:rFonts w:ascii="Times New Roman" w:hAnsi="Times New Roman"/>
          <w:i/>
          <w:sz w:val="24"/>
        </w:rPr>
        <w:t>D. boisduvalii, 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is the presence of crawlers, immobile juveniles or adult scales under the calyx of imported mangosteen fruit.</w:t>
      </w:r>
    </w:p>
    <w:p w14:paraId="41542CFA" w14:textId="77777777" w:rsidR="009D3DC8" w:rsidRDefault="009D3DC8">
      <w:pPr>
        <w:spacing w:before="180" w:line="280" w:lineRule="atLeast"/>
        <w:rPr>
          <w:rFonts w:ascii="Times New Roman" w:hAnsi="Times New Roman"/>
          <w:sz w:val="24"/>
        </w:rPr>
      </w:pPr>
      <w:r>
        <w:rPr>
          <w:rFonts w:ascii="Times New Roman" w:hAnsi="Times New Roman"/>
          <w:i/>
          <w:sz w:val="24"/>
        </w:rPr>
        <w:t>Pseudaonidia trilobitiformis</w:t>
      </w:r>
      <w:r>
        <w:rPr>
          <w:rFonts w:ascii="Times New Roman" w:hAnsi="Times New Roman"/>
          <w:sz w:val="24"/>
        </w:rPr>
        <w:t xml:space="preserve"> was assessed in the existing import policy for Tahitian limes from New Caledonia (Biosecurity Australia 2006a). </w:t>
      </w:r>
      <w:r>
        <w:rPr>
          <w:rFonts w:ascii="Times New Roman" w:hAnsi="Times New Roman"/>
          <w:i/>
          <w:sz w:val="24"/>
        </w:rPr>
        <w:t>Ischnaspis longirostris</w:t>
      </w:r>
      <w:r>
        <w:rPr>
          <w:rFonts w:ascii="Times New Roman" w:hAnsi="Times New Roman"/>
          <w:sz w:val="24"/>
        </w:rPr>
        <w:t xml:space="preserve"> was assessed in the existing import policy for unshu mandarin from Shizuoka Prefecture in Japan (Biosecurity Australia 2009). The assessment of </w:t>
      </w:r>
      <w:r>
        <w:rPr>
          <w:rFonts w:ascii="Times New Roman" w:hAnsi="Times New Roman"/>
          <w:i/>
          <w:sz w:val="24"/>
        </w:rPr>
        <w:t>D. boisduvalii</w:t>
      </w:r>
      <w:r>
        <w:rPr>
          <w:rFonts w:ascii="Times New Roman" w:hAnsi="Times New Roman"/>
          <w:sz w:val="24"/>
        </w:rPr>
        <w:t xml:space="preserve">, </w:t>
      </w:r>
      <w:r>
        <w:rPr>
          <w:rFonts w:ascii="Times New Roman" w:hAnsi="Times New Roman"/>
          <w:i/>
          <w:sz w:val="24"/>
        </w:rPr>
        <w:t>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presented here builds on these previous assessments.</w:t>
      </w:r>
    </w:p>
    <w:p w14:paraId="554E4FE2"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 xml:space="preserve">Differences in horticultural practices, climatic conditions and the prevalence of </w:t>
      </w:r>
      <w:r>
        <w:rPr>
          <w:rFonts w:ascii="Times New Roman" w:hAnsi="Times New Roman"/>
          <w:i/>
          <w:sz w:val="24"/>
        </w:rPr>
        <w:t>I. longirostris</w:t>
      </w:r>
      <w:r>
        <w:rPr>
          <w:rFonts w:ascii="Times New Roman" w:hAnsi="Times New Roman"/>
          <w:sz w:val="24"/>
        </w:rPr>
        <w:t xml:space="preserve"> and </w:t>
      </w:r>
      <w:r>
        <w:rPr>
          <w:rFonts w:ascii="Times New Roman" w:hAnsi="Times New Roman"/>
          <w:i/>
          <w:sz w:val="24"/>
        </w:rPr>
        <w:t>P.</w:t>
      </w:r>
      <w:r>
        <w:rPr>
          <w:rFonts w:ascii="Times New Roman" w:hAnsi="Times New Roman"/>
        </w:rPr>
        <w:t> </w:t>
      </w:r>
      <w:r>
        <w:rPr>
          <w:rFonts w:ascii="Times New Roman" w:hAnsi="Times New Roman"/>
          <w:i/>
          <w:sz w:val="24"/>
        </w:rPr>
        <w:t>trilobitiformis</w:t>
      </w:r>
      <w:r>
        <w:rPr>
          <w:rFonts w:ascii="Times New Roman" w:hAnsi="Times New Roman"/>
          <w:sz w:val="24"/>
        </w:rPr>
        <w:t xml:space="preserve"> between previous export areas (Japan and New Caledonia) and Indonesia make it necessary to reassess the likelihood that </w:t>
      </w:r>
      <w:r>
        <w:rPr>
          <w:rFonts w:ascii="Times New Roman" w:hAnsi="Times New Roman"/>
          <w:i/>
          <w:sz w:val="24"/>
        </w:rPr>
        <w:t>D. boisduvalii</w:t>
      </w:r>
      <w:r>
        <w:rPr>
          <w:rFonts w:ascii="Times New Roman" w:hAnsi="Times New Roman"/>
          <w:sz w:val="24"/>
        </w:rPr>
        <w:t xml:space="preserve">, </w:t>
      </w:r>
      <w:r>
        <w:rPr>
          <w:rFonts w:ascii="Times New Roman" w:hAnsi="Times New Roman"/>
          <w:i/>
          <w:sz w:val="24"/>
        </w:rPr>
        <w:t>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will be imported into and distributed within Western Australia with mangosteen fruit from Indonesia.</w:t>
      </w:r>
    </w:p>
    <w:p w14:paraId="385B66F8"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probability of establishment and of spread of </w:t>
      </w:r>
      <w:r>
        <w:rPr>
          <w:rFonts w:ascii="Times New Roman" w:hAnsi="Times New Roman"/>
          <w:i/>
          <w:sz w:val="24"/>
        </w:rPr>
        <w:t>D. boisduvalii</w:t>
      </w:r>
      <w:r>
        <w:rPr>
          <w:rFonts w:ascii="Times New Roman" w:hAnsi="Times New Roman"/>
          <w:sz w:val="24"/>
        </w:rPr>
        <w:t xml:space="preserve">, </w:t>
      </w:r>
      <w:r>
        <w:rPr>
          <w:rFonts w:ascii="Times New Roman" w:hAnsi="Times New Roman"/>
          <w:i/>
          <w:sz w:val="24"/>
        </w:rPr>
        <w:t>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in Western Australia and the consequences they may cause will be comparable for any commodity from which this species is imported into Western Australia, as these probabilities relate specifically to events that occur in Western Australia and are largely independent of the importation pathway. Accordingly, there is no need to reassess these components, and the estimates of the risk ratings for establishment, spread and consequences as set out for </w:t>
      </w:r>
      <w:r>
        <w:rPr>
          <w:rFonts w:ascii="Times New Roman" w:hAnsi="Times New Roman"/>
          <w:i/>
          <w:sz w:val="24"/>
        </w:rPr>
        <w:t>I. longirostris</w:t>
      </w:r>
      <w:r>
        <w:rPr>
          <w:rFonts w:ascii="Times New Roman" w:hAnsi="Times New Roman"/>
          <w:sz w:val="24"/>
        </w:rPr>
        <w:t xml:space="preserve"> in the unshu mandarin from Japan import risk analysis report (Biosecurity Australia 2009) and for </w:t>
      </w:r>
      <w:r>
        <w:rPr>
          <w:rFonts w:ascii="Times New Roman" w:hAnsi="Times New Roman"/>
          <w:i/>
          <w:sz w:val="24"/>
        </w:rPr>
        <w:t>P. trilobitiformis</w:t>
      </w:r>
      <w:r>
        <w:rPr>
          <w:rFonts w:ascii="Times New Roman" w:hAnsi="Times New Roman"/>
          <w:sz w:val="24"/>
        </w:rPr>
        <w:t xml:space="preserve"> in the Tahitian limes from New Caledonia import risk analysis report (Biosecurity Australia 2006a), will be adopted for this assessment.</w:t>
      </w:r>
    </w:p>
    <w:p w14:paraId="258A1814" w14:textId="77777777" w:rsidR="009D3DC8" w:rsidRDefault="009D3DC8">
      <w:pPr>
        <w:pStyle w:val="Heading3"/>
        <w:numPr>
          <w:ilvl w:val="2"/>
          <w:numId w:val="8"/>
        </w:numPr>
        <w:spacing w:line="240" w:lineRule="auto"/>
      </w:pPr>
      <w:r>
        <w:t>Reassessment of probability of entry</w:t>
      </w:r>
    </w:p>
    <w:p w14:paraId="3DCA84E4" w14:textId="77777777" w:rsidR="009D3DC8" w:rsidRDefault="009D3DC8">
      <w:pPr>
        <w:spacing w:before="180" w:line="280" w:lineRule="atLeast"/>
        <w:rPr>
          <w:rFonts w:ascii="Times New Roman" w:hAnsi="Times New Roman"/>
          <w:sz w:val="24"/>
        </w:rPr>
      </w:pPr>
      <w:r>
        <w:rPr>
          <w:rFonts w:ascii="Times New Roman" w:hAnsi="Times New Roman"/>
          <w:sz w:val="24"/>
        </w:rPr>
        <w:t>The probability of entry is considered in two parts, the probability of importation and the probability of distribution, which consider pre-border and post-border issues, respectively.</w:t>
      </w:r>
    </w:p>
    <w:p w14:paraId="1D58FF90"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importation</w:t>
      </w:r>
    </w:p>
    <w:p w14:paraId="7A50FDE4"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boisduvalii, 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will arrive in Western Australia with the importation of mangosteen fruit from Indonesia is: </w:t>
      </w:r>
      <w:r>
        <w:rPr>
          <w:rFonts w:ascii="Times New Roman" w:hAnsi="Times New Roman"/>
          <w:b/>
          <w:sz w:val="24"/>
        </w:rPr>
        <w:t>HIGH</w:t>
      </w:r>
      <w:r>
        <w:rPr>
          <w:rFonts w:ascii="Times New Roman" w:hAnsi="Times New Roman"/>
          <w:sz w:val="24"/>
        </w:rPr>
        <w:t>.</w:t>
      </w:r>
    </w:p>
    <w:p w14:paraId="10291814"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138D81AC"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Diaspis boisduvalii, I. longirostris </w:t>
      </w:r>
      <w:r>
        <w:rPr>
          <w:rFonts w:ascii="Times New Roman" w:hAnsi="Times New Roman"/>
        </w:rPr>
        <w:t xml:space="preserve">and </w:t>
      </w:r>
      <w:r>
        <w:rPr>
          <w:rFonts w:ascii="Times New Roman" w:hAnsi="Times New Roman"/>
          <w:i/>
        </w:rPr>
        <w:t>P. trilobitiformis</w:t>
      </w:r>
      <w:r>
        <w:rPr>
          <w:rFonts w:ascii="Times New Roman" w:hAnsi="Times New Roman"/>
        </w:rPr>
        <w:t xml:space="preserve"> are widely distributed throughout the tropical and subtropical areas of the world (Miller and Davidson 2005a). All three species are present in Indonesia (Tjoa 1960; Miller</w:t>
      </w:r>
      <w:r>
        <w:rPr>
          <w:rFonts w:ascii="Times New Roman" w:hAnsi="Times New Roman"/>
          <w:i/>
        </w:rPr>
        <w:t xml:space="preserve"> et al.</w:t>
      </w:r>
      <w:r>
        <w:rPr>
          <w:rFonts w:ascii="Times New Roman" w:hAnsi="Times New Roman"/>
        </w:rPr>
        <w:t xml:space="preserve"> 2011; Ben-Dov 2011c).</w:t>
      </w:r>
    </w:p>
    <w:p w14:paraId="36B4651F"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Most armoured scales are eurymerous, that is, they feed on various parts of the host plant (Beardsley and Gonzalez 1975). Armoured scales usually settle, feed and reproduce on the aerial parts of the tree, particularly plant organs with a thick epidermal layer such as leaves, fruit and branches (Beardsley and Gonzalez 1975; Kosztarab 1990).</w:t>
      </w:r>
    </w:p>
    <w:p w14:paraId="41983499"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Mangosteen is a known host for </w:t>
      </w:r>
      <w:r>
        <w:rPr>
          <w:rFonts w:ascii="Times New Roman" w:hAnsi="Times New Roman"/>
          <w:i/>
        </w:rPr>
        <w:t xml:space="preserve">D. boisduvalii </w:t>
      </w:r>
      <w:r>
        <w:rPr>
          <w:rFonts w:ascii="Times New Roman" w:hAnsi="Times New Roman"/>
        </w:rPr>
        <w:t xml:space="preserve">and </w:t>
      </w:r>
      <w:r>
        <w:rPr>
          <w:rFonts w:ascii="Times New Roman" w:hAnsi="Times New Roman"/>
          <w:i/>
        </w:rPr>
        <w:t>I. longirostris</w:t>
      </w:r>
      <w:r>
        <w:rPr>
          <w:rFonts w:ascii="Times New Roman" w:hAnsi="Times New Roman"/>
        </w:rPr>
        <w:t xml:space="preserve"> (Yunus and Ho 1980; Watson 2005b).</w:t>
      </w:r>
      <w:r>
        <w:rPr>
          <w:rFonts w:ascii="Times New Roman" w:hAnsi="Times New Roman"/>
          <w:i/>
        </w:rPr>
        <w:t xml:space="preserve"> Diaspis boisduvalii </w:t>
      </w:r>
      <w:r>
        <w:rPr>
          <w:rFonts w:ascii="Times New Roman" w:hAnsi="Times New Roman"/>
        </w:rPr>
        <w:t>is considered an economic pest of mangosteen in Malaysia (Yunus and Ho 1980).</w:t>
      </w:r>
    </w:p>
    <w:p w14:paraId="07269F5D"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P. trilobitiformis</w:t>
      </w:r>
      <w:r>
        <w:rPr>
          <w:rFonts w:ascii="Times New Roman" w:hAnsi="Times New Roman"/>
        </w:rPr>
        <w:t xml:space="preserve"> has been intercepted in USA on mangosteen fruit from Thailand (USDA-APHIS 2007).</w:t>
      </w:r>
    </w:p>
    <w:p w14:paraId="6FBC54B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First instar nymphs or crawlers are capable of moving onto the fruit where they permanently attach and commence feeding (Beardsley and Gonzalez 1975). Subsequent nymphs and adults inside the scale covers are sessile and remain attached to the host plant.</w:t>
      </w:r>
    </w:p>
    <w:p w14:paraId="270B4847"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The life history of armoured scales depends on the species and environmental factors. For </w:t>
      </w:r>
      <w:r>
        <w:rPr>
          <w:rFonts w:ascii="Times New Roman" w:hAnsi="Times New Roman"/>
          <w:i/>
        </w:rPr>
        <w:t>D. boisduvalii</w:t>
      </w:r>
      <w:r>
        <w:rPr>
          <w:rFonts w:ascii="Times New Roman" w:hAnsi="Times New Roman"/>
        </w:rPr>
        <w:t>, the period from egg to egg laying females requires about 50 days and development from egg to adult stage for males averages around 33 days (Miller and Davidson 2005a). Therefore, armoured scales are likely to be present on the fruit when harvested.</w:t>
      </w:r>
    </w:p>
    <w:p w14:paraId="76E0841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lastRenderedPageBreak/>
        <w:t>Armoured scales have a relatively hard, impermeable external covering or ‘scale’ (Foldi 1990) that can protect them from physical and chemical damage. Chemical pest control</w:t>
      </w:r>
      <w:r>
        <w:t xml:space="preserve"> </w:t>
      </w:r>
      <w:r>
        <w:rPr>
          <w:rFonts w:ascii="Times New Roman" w:hAnsi="Times New Roman"/>
        </w:rPr>
        <w:t>or commercial fruit cleaning may not eliminate all viable scales present on the fruit surface or under the calyx.</w:t>
      </w:r>
    </w:p>
    <w:p w14:paraId="1E374377"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Adult females are small, approximately 1.0–1.5 mm in length (Takagi 1990). The male is even smaller, seldom exceeding over 1.0 mm in length (Giliomee 1990). The small size of the adults, nymphs and eggs, may make them difficult to detect, especially at low populations. Therefore, armoured scales may not be easily removed during sorting, grading and packing processes, especially when they are under the calyx of the fruit.</w:t>
      </w:r>
    </w:p>
    <w:p w14:paraId="4923E434"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The brushing process would likely dislodge a number of scales on the surface of the fruit. Any crawlers present would be easily dislodged. However, sessile stages that are firmly attached to the fruit may remain.</w:t>
      </w:r>
    </w:p>
    <w:p w14:paraId="00F66CAC"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Armoured scales overwinter as eggs, first instar nymphs or adult females (Beardsley and Gonzalez 1975). </w:t>
      </w:r>
      <w:r>
        <w:rPr>
          <w:rFonts w:ascii="Times New Roman" w:hAnsi="Times New Roman"/>
          <w:i/>
        </w:rPr>
        <w:t>Pseudaonidia trilobitiformis</w:t>
      </w:r>
      <w:r>
        <w:rPr>
          <w:rFonts w:ascii="Times New Roman" w:hAnsi="Times New Roman"/>
        </w:rPr>
        <w:t xml:space="preserve"> is likely to survive cold storage and transportation as they have been intercepted on mangosteen fruit imported from Thailand into the USA (USDA-APHIS 2007).</w:t>
      </w:r>
    </w:p>
    <w:p w14:paraId="08B3A46E" w14:textId="77777777" w:rsidR="009D3DC8" w:rsidRDefault="009D3DC8">
      <w:pPr>
        <w:spacing w:before="180" w:line="280" w:lineRule="atLeast"/>
        <w:rPr>
          <w:rFonts w:ascii="Times New Roman" w:hAnsi="Times New Roman"/>
          <w:sz w:val="24"/>
        </w:rPr>
      </w:pPr>
      <w:r>
        <w:rPr>
          <w:rFonts w:ascii="Times New Roman" w:hAnsi="Times New Roman"/>
          <w:sz w:val="24"/>
        </w:rPr>
        <w:t>The small size, sessile nature of most life stages, cold tolerance and host status all support a likelihood estimate for importation of ‘high’.</w:t>
      </w:r>
    </w:p>
    <w:p w14:paraId="6EB7CE4D"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distribution</w:t>
      </w:r>
    </w:p>
    <w:p w14:paraId="1C724A1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boisduvalii, 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will be distributed within Western Australia in a viable state as a result of the processing, sale or disposal of mangosteen fruit from Indonesia and subsequently transfer to a susceptible part of a host is: </w:t>
      </w:r>
      <w:r>
        <w:rPr>
          <w:rFonts w:ascii="Times New Roman" w:hAnsi="Times New Roman"/>
          <w:b/>
          <w:sz w:val="24"/>
        </w:rPr>
        <w:t>LOW</w:t>
      </w:r>
      <w:r>
        <w:rPr>
          <w:rFonts w:ascii="Times New Roman" w:hAnsi="Times New Roman"/>
          <w:sz w:val="24"/>
        </w:rPr>
        <w:t>.</w:t>
      </w:r>
    </w:p>
    <w:p w14:paraId="6791E637"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6339C836"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Mangosteen fruit may be distributed throughout Western Australia for retail sale, as the intended use of the commodity is human consumption. Waste material would be generated.</w:t>
      </w:r>
    </w:p>
    <w:p w14:paraId="3AC29F9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Diaspis boisduvalii, I. longirostris </w:t>
      </w:r>
      <w:r>
        <w:rPr>
          <w:rFonts w:ascii="Times New Roman" w:hAnsi="Times New Roman"/>
        </w:rPr>
        <w:t xml:space="preserve">and </w:t>
      </w:r>
      <w:r>
        <w:rPr>
          <w:rFonts w:ascii="Times New Roman" w:hAnsi="Times New Roman"/>
          <w:i/>
        </w:rPr>
        <w:t xml:space="preserve">P. trilobitiformis </w:t>
      </w:r>
      <w:r>
        <w:rPr>
          <w:rFonts w:ascii="Times New Roman" w:hAnsi="Times New Roman"/>
        </w:rPr>
        <w:t xml:space="preserve">eggs, nymphs and adults may remain on the fruit during retail distribution. The unconsumed parts of the fruit, especially the skin and calyx of infested fruit, are likely to end up in fruit waste, which may further aid distribution of viable scales. Disposal of infested fruit waste is likely to be by commercial or domestic rubbish systems or where the fruit is consumed. Some fruit waste may be disposed of in the home garden which provides an opportunity for </w:t>
      </w:r>
      <w:r>
        <w:rPr>
          <w:rFonts w:ascii="Times New Roman" w:hAnsi="Times New Roman"/>
          <w:i/>
        </w:rPr>
        <w:t xml:space="preserve">D. boisduvalii, I. longirostris </w:t>
      </w:r>
      <w:r>
        <w:rPr>
          <w:rFonts w:ascii="Times New Roman" w:hAnsi="Times New Roman"/>
        </w:rPr>
        <w:t xml:space="preserve">and </w:t>
      </w:r>
      <w:r>
        <w:rPr>
          <w:rFonts w:ascii="Times New Roman" w:hAnsi="Times New Roman"/>
          <w:i/>
        </w:rPr>
        <w:t xml:space="preserve">P. trilobitiformis </w:t>
      </w:r>
      <w:r>
        <w:rPr>
          <w:rFonts w:ascii="Times New Roman" w:hAnsi="Times New Roman"/>
        </w:rPr>
        <w:t>to transfer to susceptible hosts in the vicinity.</w:t>
      </w:r>
    </w:p>
    <w:p w14:paraId="5771A492"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D. boisduvalii, I. longirostris </w:t>
      </w:r>
      <w:r>
        <w:rPr>
          <w:rFonts w:ascii="Times New Roman" w:hAnsi="Times New Roman"/>
        </w:rPr>
        <w:t xml:space="preserve">and </w:t>
      </w:r>
      <w:r>
        <w:rPr>
          <w:rFonts w:ascii="Times New Roman" w:hAnsi="Times New Roman"/>
          <w:i/>
        </w:rPr>
        <w:t xml:space="preserve">P. trilobitiformis </w:t>
      </w:r>
      <w:r>
        <w:rPr>
          <w:rFonts w:ascii="Times New Roman" w:hAnsi="Times New Roman"/>
        </w:rPr>
        <w:t>are polyphagous and attack a number of host plants including fruit and nut trees, ornamental shade trees, flowering plants, palms, cacti, ground covers and forest trees (Kosztarab 1990; Miller and Davidson 2005a). Host plants are widely available in Western Australia.</w:t>
      </w:r>
    </w:p>
    <w:p w14:paraId="3DC355C6"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Eggs hatch within 5–7 days and become crawlers (Miller and Davidson 2005a). Crawlers are the mobile stage of the species and can also be dispersed by wind (Watson 2005c). The crawler stage of scales is rather short, lasting about 9 days (Miller and Davidson 2005a).</w:t>
      </w:r>
    </w:p>
    <w:p w14:paraId="09BE5384"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lastRenderedPageBreak/>
        <w:t>Other nymphal stages and adult females are sessile and not mobile (Beardsley and Gonzalez 1975). Adult males have wings and are able to fly short distances but only live for a few days (Giliomee 1990; Koteja 1990b), limiting their dispersal ability.</w:t>
      </w:r>
    </w:p>
    <w:p w14:paraId="6596A679" w14:textId="77777777" w:rsidR="009D3DC8" w:rsidRDefault="009D3DC8">
      <w:pPr>
        <w:spacing w:before="180" w:line="280" w:lineRule="atLeast"/>
        <w:rPr>
          <w:rFonts w:ascii="Times New Roman" w:hAnsi="Times New Roman"/>
          <w:sz w:val="24"/>
        </w:rPr>
      </w:pPr>
      <w:r>
        <w:rPr>
          <w:rFonts w:ascii="Times New Roman" w:hAnsi="Times New Roman"/>
          <w:sz w:val="24"/>
        </w:rPr>
        <w:t>The possibility of dispersal near suitable hosts and the wide availability of hosts, moderated by the short dispersal stage of crawlers on infested mangosteen fruit, and by the sessile status of other life stages, support a likelihood estimate for distribution of ‘low’.</w:t>
      </w:r>
    </w:p>
    <w:p w14:paraId="5F7D60A6"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 xml:space="preserve">Overall probability of entry (importation </w:t>
      </w:r>
      <w:r>
        <w:rPr>
          <w:rFonts w:ascii="Times New Roman" w:hAnsi="Times New Roman" w:cs="Arial"/>
          <w:i w:val="0"/>
          <w:iCs w:val="0"/>
          <w:color w:val="000000"/>
          <w:sz w:val="24"/>
          <w:szCs w:val="28"/>
        </w:rPr>
        <w:sym w:font="Symbol" w:char="F0B4"/>
      </w:r>
      <w:r>
        <w:rPr>
          <w:rFonts w:ascii="Times New Roman" w:hAnsi="Times New Roman" w:cs="Arial"/>
          <w:i w:val="0"/>
          <w:iCs w:val="0"/>
          <w:color w:val="000000"/>
          <w:sz w:val="24"/>
          <w:szCs w:val="28"/>
        </w:rPr>
        <w:t xml:space="preserve"> distribution)</w:t>
      </w:r>
    </w:p>
    <w:p w14:paraId="67F1A156"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is determined by combining the probabilities of importation and of distribution using the matrix of rules shown in Table 2.2.</w:t>
      </w:r>
    </w:p>
    <w:p w14:paraId="3BC742B3"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boisduvalii, 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will enter Western Australia as a result of trade in mangosteen fruit from Indonesia and be distributed in a viable state to a susceptible host is: </w:t>
      </w:r>
      <w:r>
        <w:rPr>
          <w:rFonts w:ascii="Times New Roman" w:hAnsi="Times New Roman"/>
          <w:b/>
          <w:sz w:val="24"/>
        </w:rPr>
        <w:t>LOW</w:t>
      </w:r>
      <w:r>
        <w:rPr>
          <w:rFonts w:ascii="Times New Roman" w:hAnsi="Times New Roman"/>
          <w:sz w:val="24"/>
        </w:rPr>
        <w:t>.</w:t>
      </w:r>
    </w:p>
    <w:p w14:paraId="66569A6D" w14:textId="77777777" w:rsidR="009D3DC8" w:rsidRDefault="009D3DC8">
      <w:pPr>
        <w:pStyle w:val="Heading3"/>
        <w:numPr>
          <w:ilvl w:val="2"/>
          <w:numId w:val="8"/>
        </w:numPr>
        <w:spacing w:line="240" w:lineRule="auto"/>
      </w:pPr>
      <w:r>
        <w:t>Probability of establishment and spread</w:t>
      </w:r>
    </w:p>
    <w:p w14:paraId="236F39CA" w14:textId="77777777" w:rsidR="009D3DC8" w:rsidRDefault="009D3DC8">
      <w:pPr>
        <w:spacing w:before="180" w:line="280" w:lineRule="atLeast"/>
        <w:rPr>
          <w:rFonts w:ascii="Times New Roman" w:hAnsi="Times New Roman"/>
          <w:sz w:val="24"/>
        </w:rPr>
      </w:pPr>
      <w:r>
        <w:rPr>
          <w:rFonts w:ascii="Times New Roman" w:hAnsi="Times New Roman"/>
          <w:sz w:val="24"/>
        </w:rPr>
        <w:t>As indicated above, the probability of establishment and of spread for these armoured scales is being based on the assessment for unshu mandarin from Japan (Biosecurity Australia 2009) and Tahitian limes from New Caledonia (Biosecurity Australia 2006a). The ratings from the previous assessments are presented below:</w:t>
      </w:r>
    </w:p>
    <w:p w14:paraId="7D08CD53" w14:textId="77777777" w:rsidR="009D3DC8" w:rsidRDefault="009D3DC8">
      <w:pPr>
        <w:spacing w:before="180" w:line="280" w:lineRule="atLeast"/>
        <w:rPr>
          <w:rFonts w:ascii="Times New Roman" w:hAnsi="Times New Roman"/>
          <w:sz w:val="24"/>
        </w:rPr>
      </w:pPr>
      <w:r>
        <w:rPr>
          <w:rFonts w:ascii="Times New Roman" w:hAnsi="Times New Roman"/>
          <w:sz w:val="24"/>
        </w:rPr>
        <w:t>Probability of establishment:</w:t>
      </w:r>
      <w:r>
        <w:rPr>
          <w:rFonts w:ascii="Times New Roman" w:hAnsi="Times New Roman"/>
          <w:sz w:val="24"/>
        </w:rPr>
        <w:tab/>
      </w:r>
      <w:r>
        <w:rPr>
          <w:rFonts w:ascii="Times New Roman" w:hAnsi="Times New Roman"/>
          <w:sz w:val="24"/>
        </w:rPr>
        <w:tab/>
      </w:r>
      <w:r>
        <w:rPr>
          <w:rFonts w:ascii="Times New Roman" w:hAnsi="Times New Roman"/>
          <w:b/>
          <w:sz w:val="24"/>
        </w:rPr>
        <w:t>HIGH</w:t>
      </w:r>
    </w:p>
    <w:p w14:paraId="55B9EC47" w14:textId="77777777" w:rsidR="009D3DC8" w:rsidRDefault="009D3DC8">
      <w:pPr>
        <w:spacing w:before="180" w:line="280" w:lineRule="atLeast"/>
        <w:rPr>
          <w:rFonts w:ascii="Times New Roman" w:hAnsi="Times New Roman"/>
          <w:b/>
          <w:sz w:val="24"/>
        </w:rPr>
      </w:pPr>
      <w:r>
        <w:rPr>
          <w:rFonts w:ascii="Times New Roman" w:hAnsi="Times New Roman"/>
          <w:sz w:val="24"/>
        </w:rPr>
        <w:t>Probability of spread: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MODERATE</w:t>
      </w:r>
    </w:p>
    <w:p w14:paraId="58AA34D6" w14:textId="77777777" w:rsidR="009D3DC8" w:rsidRDefault="009D3DC8">
      <w:pPr>
        <w:pStyle w:val="Heading3"/>
        <w:numPr>
          <w:ilvl w:val="2"/>
          <w:numId w:val="8"/>
        </w:numPr>
        <w:spacing w:line="240" w:lineRule="auto"/>
      </w:pPr>
      <w:r>
        <w:t>Overall probability of entry, establishment and spread</w:t>
      </w:r>
    </w:p>
    <w:p w14:paraId="14B9D5CE"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establishment and spread is determined by combining the probability of entry, of establishment and of spread using the matrix of rules shown in Table 2.2.</w:t>
      </w:r>
    </w:p>
    <w:p w14:paraId="384BEE11"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boisduvalii, 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will enter Western Australia as a result of trade in mangosteen fruit from Indonesia, be distributed in a viable state to a susceptible host, establish in Western Australia and subsequently spread within Western Australia is: </w:t>
      </w:r>
      <w:r>
        <w:rPr>
          <w:rFonts w:ascii="Times New Roman" w:hAnsi="Times New Roman"/>
          <w:b/>
          <w:sz w:val="24"/>
        </w:rPr>
        <w:t>LOW</w:t>
      </w:r>
      <w:r>
        <w:rPr>
          <w:rFonts w:ascii="Times New Roman" w:hAnsi="Times New Roman"/>
          <w:sz w:val="24"/>
        </w:rPr>
        <w:t>.</w:t>
      </w:r>
    </w:p>
    <w:p w14:paraId="53F8DEC9" w14:textId="77777777" w:rsidR="009D3DC8" w:rsidRDefault="009D3DC8">
      <w:pPr>
        <w:pStyle w:val="Heading3"/>
        <w:numPr>
          <w:ilvl w:val="2"/>
          <w:numId w:val="8"/>
        </w:numPr>
        <w:spacing w:line="240" w:lineRule="auto"/>
      </w:pPr>
      <w:r>
        <w:t>Consequences</w:t>
      </w:r>
    </w:p>
    <w:p w14:paraId="0D87B258"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consequences of the establishment of </w:t>
      </w:r>
      <w:r>
        <w:rPr>
          <w:rFonts w:ascii="Times New Roman" w:hAnsi="Times New Roman"/>
          <w:i/>
          <w:sz w:val="24"/>
        </w:rPr>
        <w:t>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in Western Australia have been estimated previously for unshu mandarin from Japan (Biosecurity Australia 2009) and Tahitian limes from New Caledonia (Biosecurity Australia 2006a) respectively. This estimate of impact scores is provided below. As the ratings in 2006 were conducted on a scale from A to F, they have been adjusted here to reflect a current rating scale from A to G.</w:t>
      </w:r>
    </w:p>
    <w:p w14:paraId="29D18DF8" w14:textId="77777777" w:rsidR="009D3DC8" w:rsidRDefault="009D3DC8">
      <w:pPr>
        <w:spacing w:after="0" w:line="240" w:lineRule="auto"/>
        <w:rPr>
          <w:rFonts w:ascii="Times New Roman" w:hAnsi="Times New Roman"/>
          <w:sz w:val="24"/>
        </w:rPr>
      </w:pPr>
      <w:r>
        <w:rPr>
          <w:rFonts w:ascii="Times New Roman" w:hAnsi="Times New Roman"/>
          <w:sz w:val="24"/>
        </w:rPr>
        <w:t xml:space="preserve">Plant life or heath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67403F2E" w14:textId="77777777" w:rsidR="009D3DC8" w:rsidRDefault="009D3DC8">
      <w:pPr>
        <w:spacing w:after="0" w:line="240" w:lineRule="auto"/>
        <w:rPr>
          <w:rFonts w:ascii="Times New Roman" w:hAnsi="Times New Roman"/>
          <w:sz w:val="24"/>
        </w:rPr>
      </w:pPr>
      <w:r>
        <w:rPr>
          <w:rFonts w:ascii="Times New Roman" w:hAnsi="Times New Roman"/>
          <w:sz w:val="24"/>
        </w:rPr>
        <w:t>Any other aspects of the environment</w:t>
      </w:r>
      <w:r>
        <w:rPr>
          <w:rFonts w:ascii="Times New Roman" w:hAnsi="Times New Roman"/>
          <w:sz w:val="24"/>
        </w:rPr>
        <w:tab/>
      </w:r>
      <w:r>
        <w:rPr>
          <w:rFonts w:ascii="Times New Roman" w:hAnsi="Times New Roman"/>
          <w:b/>
          <w:sz w:val="24"/>
        </w:rPr>
        <w:t>B</w:t>
      </w:r>
    </w:p>
    <w:p w14:paraId="26C4AA9E" w14:textId="77777777" w:rsidR="009D3DC8" w:rsidRDefault="009D3DC8">
      <w:pPr>
        <w:spacing w:after="0" w:line="240" w:lineRule="auto"/>
        <w:rPr>
          <w:rFonts w:ascii="Times New Roman" w:hAnsi="Times New Roman"/>
          <w:sz w:val="24"/>
        </w:rPr>
      </w:pPr>
      <w:r>
        <w:rPr>
          <w:rFonts w:ascii="Times New Roman" w:hAnsi="Times New Roman"/>
          <w:sz w:val="24"/>
        </w:rPr>
        <w:t>Eradication, control, etc.</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61D2403F" w14:textId="77777777" w:rsidR="009D3DC8" w:rsidRDefault="009D3DC8">
      <w:pPr>
        <w:spacing w:after="0" w:line="240" w:lineRule="auto"/>
        <w:rPr>
          <w:rFonts w:ascii="Times New Roman" w:hAnsi="Times New Roman"/>
          <w:sz w:val="24"/>
        </w:rPr>
      </w:pPr>
      <w:r>
        <w:rPr>
          <w:rFonts w:ascii="Times New Roman" w:hAnsi="Times New Roman"/>
          <w:sz w:val="24"/>
        </w:rPr>
        <w:t>Domestic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C</w:t>
      </w:r>
    </w:p>
    <w:p w14:paraId="59F78A5A" w14:textId="77777777" w:rsidR="009D3DC8" w:rsidRDefault="009D3DC8">
      <w:pPr>
        <w:spacing w:after="0" w:line="240" w:lineRule="auto"/>
        <w:rPr>
          <w:rFonts w:ascii="Times New Roman" w:hAnsi="Times New Roman"/>
          <w:sz w:val="24"/>
        </w:rPr>
      </w:pPr>
      <w:r>
        <w:rPr>
          <w:rFonts w:ascii="Times New Roman" w:hAnsi="Times New Roman"/>
          <w:sz w:val="24"/>
        </w:rPr>
        <w:lastRenderedPageBreak/>
        <w:t>International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C</w:t>
      </w:r>
    </w:p>
    <w:p w14:paraId="088373E4" w14:textId="77777777" w:rsidR="009D3DC8" w:rsidRDefault="009D3DC8">
      <w:pPr>
        <w:spacing w:after="0" w:line="240" w:lineRule="auto"/>
        <w:rPr>
          <w:rFonts w:ascii="Times New Roman" w:hAnsi="Times New Roman"/>
          <w:sz w:val="24"/>
        </w:rPr>
      </w:pPr>
      <w:r>
        <w:rPr>
          <w:rFonts w:ascii="Times New Roman" w:hAnsi="Times New Roman"/>
          <w:sz w:val="24"/>
        </w:rPr>
        <w:t>Environment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B</w:t>
      </w:r>
    </w:p>
    <w:p w14:paraId="3601B976" w14:textId="77777777" w:rsidR="009D3DC8" w:rsidRDefault="009D3DC8">
      <w:pPr>
        <w:spacing w:before="180" w:after="60" w:line="280" w:lineRule="atLeast"/>
        <w:rPr>
          <w:rFonts w:ascii="Times New Roman" w:hAnsi="Times New Roman"/>
          <w:sz w:val="24"/>
        </w:rPr>
      </w:pPr>
      <w:r>
        <w:rPr>
          <w:rFonts w:ascii="Times New Roman" w:hAnsi="Times New Roman"/>
          <w:sz w:val="24"/>
        </w:rPr>
        <w:t>Based on the description rules described in Table 2.4, that is, where the consequences of a pest with respect to one or more criteria are ‘</w:t>
      </w:r>
      <w:r>
        <w:rPr>
          <w:rFonts w:ascii="Times New Roman" w:hAnsi="Times New Roman"/>
          <w:b/>
          <w:sz w:val="24"/>
        </w:rPr>
        <w:t>D’</w:t>
      </w:r>
      <w:r>
        <w:rPr>
          <w:rFonts w:ascii="Times New Roman" w:hAnsi="Times New Roman"/>
          <w:sz w:val="24"/>
        </w:rPr>
        <w:t xml:space="preserve">, the overall consequences are estimated to be </w:t>
      </w:r>
      <w:r>
        <w:rPr>
          <w:rFonts w:ascii="Times New Roman" w:hAnsi="Times New Roman"/>
          <w:b/>
          <w:sz w:val="24"/>
        </w:rPr>
        <w:t>LOW</w:t>
      </w:r>
      <w:r>
        <w:rPr>
          <w:rFonts w:ascii="Times New Roman" w:hAnsi="Times New Roman"/>
          <w:sz w:val="24"/>
        </w:rPr>
        <w:t>.</w:t>
      </w:r>
    </w:p>
    <w:p w14:paraId="7B34B037" w14:textId="77777777" w:rsidR="009D3DC8" w:rsidRDefault="009D3DC8">
      <w:pPr>
        <w:pStyle w:val="Heading3"/>
        <w:numPr>
          <w:ilvl w:val="2"/>
          <w:numId w:val="8"/>
        </w:numPr>
        <w:spacing w:line="240" w:lineRule="auto"/>
      </w:pPr>
      <w:r>
        <w:t>Unrestricted risk estimate</w:t>
      </w:r>
    </w:p>
    <w:p w14:paraId="2F5931B5" w14:textId="77777777" w:rsidR="009D3DC8" w:rsidRDefault="009D3DC8">
      <w:pPr>
        <w:spacing w:before="180" w:after="180" w:line="280" w:lineRule="atLeast"/>
        <w:rPr>
          <w:rFonts w:ascii="Times New Roman" w:hAnsi="Times New Roman"/>
          <w:sz w:val="24"/>
        </w:rPr>
      </w:pPr>
      <w:r>
        <w:rPr>
          <w:rFonts w:ascii="Times New Roman" w:hAnsi="Times New Roman"/>
          <w:sz w:val="24"/>
        </w:rPr>
        <w:t>Unrestricted risk is the result of combining the probability of entry, establishment and spread with the estimate of consequences. Probabilities and consequences are combined using the risk estimation matrix shown in Table 2.5.</w:t>
      </w:r>
    </w:p>
    <w:tbl>
      <w:tblPr>
        <w:tblW w:w="9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9"/>
        <w:gridCol w:w="2977"/>
      </w:tblGrid>
      <w:tr w:rsidR="009D3DC8" w14:paraId="78F6B360" w14:textId="77777777">
        <w:tc>
          <w:tcPr>
            <w:tcW w:w="9436" w:type="dxa"/>
            <w:gridSpan w:val="2"/>
            <w:shd w:val="clear" w:color="auto" w:fill="E0E0E0"/>
          </w:tcPr>
          <w:p w14:paraId="0BD4ACD2" w14:textId="77777777" w:rsidR="009D3DC8" w:rsidRDefault="009D3DC8">
            <w:pPr>
              <w:pStyle w:val="TableText1"/>
              <w:rPr>
                <w:rFonts w:ascii="Arial" w:hAnsi="Arial" w:cs="Arial"/>
                <w:b/>
              </w:rPr>
            </w:pPr>
            <w:r>
              <w:rPr>
                <w:rFonts w:ascii="Arial" w:hAnsi="Arial" w:cs="Arial"/>
                <w:b/>
              </w:rPr>
              <w:t xml:space="preserve">Unrestricted risk estimate for </w:t>
            </w:r>
            <w:r>
              <w:rPr>
                <w:rFonts w:ascii="Arial" w:hAnsi="Arial" w:cs="Arial"/>
                <w:b/>
                <w:i/>
              </w:rPr>
              <w:t xml:space="preserve">Diaspis boisduvalii, Ischnaspis longirostris, </w:t>
            </w:r>
            <w:r>
              <w:rPr>
                <w:rFonts w:ascii="Arial" w:hAnsi="Arial" w:cs="Arial"/>
                <w:b/>
              </w:rPr>
              <w:t xml:space="preserve">and </w:t>
            </w:r>
            <w:r>
              <w:rPr>
                <w:rFonts w:ascii="Arial" w:hAnsi="Arial" w:cs="Arial"/>
                <w:b/>
                <w:i/>
              </w:rPr>
              <w:t>Pseudaonidia trilobitiformis</w:t>
            </w:r>
          </w:p>
        </w:tc>
      </w:tr>
      <w:tr w:rsidR="009D3DC8" w14:paraId="5BD311BA" w14:textId="77777777">
        <w:tc>
          <w:tcPr>
            <w:tcW w:w="6459" w:type="dxa"/>
            <w:tcBorders>
              <w:bottom w:val="single" w:sz="8" w:space="0" w:color="C0C0C0"/>
            </w:tcBorders>
          </w:tcPr>
          <w:p w14:paraId="2B4C67D5" w14:textId="77777777" w:rsidR="009D3DC8" w:rsidRDefault="009D3DC8">
            <w:pPr>
              <w:pStyle w:val="TableText1"/>
              <w:rPr>
                <w:rFonts w:ascii="Arial" w:hAnsi="Arial" w:cs="Arial"/>
              </w:rPr>
            </w:pPr>
            <w:r>
              <w:rPr>
                <w:rFonts w:ascii="Arial" w:hAnsi="Arial" w:cs="Arial"/>
              </w:rPr>
              <w:t>Overall probability of entry, establishment and spread</w:t>
            </w:r>
          </w:p>
        </w:tc>
        <w:tc>
          <w:tcPr>
            <w:tcW w:w="2977" w:type="dxa"/>
            <w:tcBorders>
              <w:bottom w:val="single" w:sz="8" w:space="0" w:color="C0C0C0"/>
            </w:tcBorders>
          </w:tcPr>
          <w:p w14:paraId="2D3816E5" w14:textId="77777777" w:rsidR="009D3DC8" w:rsidRDefault="009D3DC8">
            <w:pPr>
              <w:pStyle w:val="TableText1"/>
              <w:rPr>
                <w:rFonts w:ascii="Arial" w:hAnsi="Arial" w:cs="Arial"/>
              </w:rPr>
            </w:pPr>
            <w:r>
              <w:rPr>
                <w:rFonts w:ascii="Arial" w:hAnsi="Arial" w:cs="Arial"/>
              </w:rPr>
              <w:t>Low</w:t>
            </w:r>
          </w:p>
        </w:tc>
      </w:tr>
      <w:tr w:rsidR="009D3DC8" w14:paraId="493DD9B2" w14:textId="77777777">
        <w:tc>
          <w:tcPr>
            <w:tcW w:w="6459" w:type="dxa"/>
            <w:tcBorders>
              <w:top w:val="single" w:sz="8" w:space="0" w:color="C0C0C0"/>
            </w:tcBorders>
          </w:tcPr>
          <w:p w14:paraId="4B5BF1CC" w14:textId="77777777" w:rsidR="009D3DC8" w:rsidRDefault="009D3DC8">
            <w:pPr>
              <w:pStyle w:val="TableText1"/>
              <w:rPr>
                <w:rFonts w:ascii="Arial" w:hAnsi="Arial" w:cs="Arial"/>
              </w:rPr>
            </w:pPr>
            <w:r>
              <w:rPr>
                <w:rFonts w:ascii="Arial" w:hAnsi="Arial" w:cs="Arial"/>
              </w:rPr>
              <w:t>Consequences</w:t>
            </w:r>
          </w:p>
        </w:tc>
        <w:tc>
          <w:tcPr>
            <w:tcW w:w="2977" w:type="dxa"/>
            <w:tcBorders>
              <w:top w:val="single" w:sz="8" w:space="0" w:color="C0C0C0"/>
            </w:tcBorders>
          </w:tcPr>
          <w:p w14:paraId="21580829" w14:textId="77777777" w:rsidR="009D3DC8" w:rsidRDefault="009D3DC8">
            <w:pPr>
              <w:pStyle w:val="TableText1"/>
              <w:rPr>
                <w:rFonts w:ascii="Arial" w:hAnsi="Arial" w:cs="Arial"/>
              </w:rPr>
            </w:pPr>
            <w:r>
              <w:rPr>
                <w:rFonts w:ascii="Arial" w:hAnsi="Arial" w:cs="Arial"/>
              </w:rPr>
              <w:t>Low</w:t>
            </w:r>
          </w:p>
        </w:tc>
      </w:tr>
      <w:tr w:rsidR="009D3DC8" w14:paraId="5FBB19FD" w14:textId="77777777">
        <w:tc>
          <w:tcPr>
            <w:tcW w:w="6459" w:type="dxa"/>
          </w:tcPr>
          <w:p w14:paraId="64D56278" w14:textId="77777777" w:rsidR="009D3DC8" w:rsidRDefault="009D3DC8">
            <w:pPr>
              <w:pStyle w:val="TableText1"/>
              <w:rPr>
                <w:rFonts w:ascii="Arial" w:hAnsi="Arial" w:cs="Arial"/>
              </w:rPr>
            </w:pPr>
            <w:r>
              <w:rPr>
                <w:rFonts w:ascii="Arial" w:hAnsi="Arial" w:cs="Arial"/>
              </w:rPr>
              <w:t>Unrestricted risk</w:t>
            </w:r>
          </w:p>
        </w:tc>
        <w:tc>
          <w:tcPr>
            <w:tcW w:w="2977" w:type="dxa"/>
          </w:tcPr>
          <w:p w14:paraId="692F8981" w14:textId="77777777" w:rsidR="009D3DC8" w:rsidRDefault="009D3DC8">
            <w:pPr>
              <w:pStyle w:val="TableText1"/>
              <w:rPr>
                <w:rFonts w:ascii="Arial" w:hAnsi="Arial" w:cs="Arial"/>
              </w:rPr>
            </w:pPr>
            <w:r>
              <w:rPr>
                <w:rFonts w:ascii="Arial" w:hAnsi="Arial" w:cs="Arial"/>
              </w:rPr>
              <w:t>Very Low</w:t>
            </w:r>
          </w:p>
        </w:tc>
      </w:tr>
    </w:tbl>
    <w:p w14:paraId="27E0EFFB"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the unrestricted risk estimate for </w:t>
      </w:r>
      <w:r>
        <w:rPr>
          <w:rFonts w:ascii="Times New Roman" w:hAnsi="Times New Roman"/>
          <w:i/>
          <w:sz w:val="24"/>
        </w:rPr>
        <w:t>D. boisduvalii, I. longirostris</w:t>
      </w:r>
      <w:r>
        <w:rPr>
          <w:rFonts w:ascii="Times New Roman" w:hAnsi="Times New Roman"/>
          <w:sz w:val="24"/>
        </w:rPr>
        <w:t xml:space="preserve"> and </w:t>
      </w:r>
      <w:r>
        <w:rPr>
          <w:rFonts w:ascii="Times New Roman" w:hAnsi="Times New Roman"/>
          <w:i/>
          <w:sz w:val="24"/>
        </w:rPr>
        <w:t>P. trilobitiformis</w:t>
      </w:r>
      <w:r>
        <w:rPr>
          <w:rFonts w:ascii="Times New Roman" w:hAnsi="Times New Roman"/>
          <w:sz w:val="24"/>
        </w:rPr>
        <w:t xml:space="preserve"> has been assessed as ‘very low’, which achieves Australia’s ALOP. Therefore, no specific risk management measures are required for these pests.</w:t>
      </w:r>
    </w:p>
    <w:p w14:paraId="7B632754" w14:textId="77777777" w:rsidR="009D3DC8" w:rsidRDefault="009D3DC8">
      <w:pPr>
        <w:rPr>
          <w:sz w:val="24"/>
        </w:rPr>
      </w:pPr>
      <w:r>
        <w:rPr>
          <w:sz w:val="24"/>
        </w:rPr>
        <w:br w:type="page"/>
      </w:r>
    </w:p>
    <w:p w14:paraId="25E8B5BB" w14:textId="77777777" w:rsidR="009D3DC8" w:rsidRDefault="009D3DC8">
      <w:pPr>
        <w:pStyle w:val="Heading2"/>
        <w:numPr>
          <w:ilvl w:val="1"/>
          <w:numId w:val="8"/>
        </w:numPr>
        <w:spacing w:line="240" w:lineRule="auto"/>
      </w:pPr>
      <w:bookmarkStart w:id="81" w:name="_Toc325618446"/>
      <w:r>
        <w:t>Mealybugs [Hemiptera: Pseudococcidae]</w:t>
      </w:r>
      <w:bookmarkEnd w:id="81"/>
    </w:p>
    <w:p w14:paraId="6B909648" w14:textId="77777777" w:rsidR="009D3DC8" w:rsidRDefault="009D3DC8">
      <w:pPr>
        <w:spacing w:after="120"/>
        <w:rPr>
          <w:rFonts w:ascii="Arial" w:hAnsi="Arial" w:cs="Arial"/>
          <w:b/>
          <w:i/>
          <w:sz w:val="24"/>
        </w:rPr>
      </w:pPr>
      <w:r>
        <w:rPr>
          <w:rFonts w:ascii="Arial" w:hAnsi="Arial" w:cs="Arial"/>
          <w:b/>
          <w:i/>
          <w:sz w:val="24"/>
        </w:rPr>
        <w:t xml:space="preserve">Dysmicoccus lepelleyi, Exallomochlus hispidus, Hordeolicoccus heterotrichus, Paracoccus interceptus, Paraputo odontomachi, Planococcus lilacinus </w:t>
      </w:r>
      <w:r>
        <w:rPr>
          <w:rFonts w:ascii="Arial" w:hAnsi="Arial" w:cs="Arial"/>
          <w:b/>
          <w:sz w:val="24"/>
          <w:vertAlign w:val="superscript"/>
        </w:rPr>
        <w:t>E</w:t>
      </w:r>
      <w:r>
        <w:rPr>
          <w:rFonts w:ascii="Arial" w:hAnsi="Arial" w:cs="Arial"/>
          <w:b/>
          <w:i/>
          <w:sz w:val="24"/>
          <w:vertAlign w:val="superscript"/>
        </w:rPr>
        <w:t>P</w:t>
      </w:r>
      <w:r>
        <w:rPr>
          <w:rFonts w:ascii="Arial" w:hAnsi="Arial" w:cs="Arial"/>
          <w:b/>
          <w:i/>
          <w:sz w:val="24"/>
        </w:rPr>
        <w:t xml:space="preserve">, Planococcus minor </w:t>
      </w:r>
      <w:r>
        <w:rPr>
          <w:rFonts w:ascii="Arial" w:hAnsi="Arial" w:cs="Arial"/>
          <w:b/>
          <w:sz w:val="24"/>
          <w:vertAlign w:val="superscript"/>
        </w:rPr>
        <w:t>EP, WA</w:t>
      </w:r>
      <w:r>
        <w:rPr>
          <w:rFonts w:ascii="Arial" w:hAnsi="Arial" w:cs="Arial"/>
          <w:b/>
          <w:i/>
          <w:sz w:val="24"/>
        </w:rPr>
        <w:t xml:space="preserve">, Pseudococcus aurantiacus, Pseudococcus baliteus, Pseudococcus cryptus </w:t>
      </w:r>
      <w:r>
        <w:rPr>
          <w:rFonts w:ascii="Arial" w:hAnsi="Arial" w:cs="Arial"/>
          <w:b/>
          <w:sz w:val="24"/>
          <w:vertAlign w:val="superscript"/>
        </w:rPr>
        <w:t>EP</w:t>
      </w:r>
      <w:r>
        <w:rPr>
          <w:rFonts w:ascii="Arial" w:hAnsi="Arial" w:cs="Arial"/>
          <w:b/>
          <w:i/>
          <w:sz w:val="24"/>
        </w:rPr>
        <w:t xml:space="preserve">, Rastrococcus spinosus </w:t>
      </w:r>
      <w:r>
        <w:rPr>
          <w:rFonts w:ascii="Arial" w:hAnsi="Arial" w:cs="Arial"/>
          <w:b/>
          <w:sz w:val="24"/>
          <w:vertAlign w:val="superscript"/>
        </w:rPr>
        <w:t>EP</w:t>
      </w:r>
    </w:p>
    <w:p w14:paraId="24E22FB6" w14:textId="77777777" w:rsidR="009D3DC8" w:rsidRDefault="009D3DC8">
      <w:pPr>
        <w:spacing w:before="180" w:line="280" w:lineRule="atLeast"/>
        <w:rPr>
          <w:rFonts w:ascii="Times New Roman" w:hAnsi="Times New Roman"/>
          <w:sz w:val="24"/>
        </w:rPr>
      </w:pPr>
      <w:r>
        <w:rPr>
          <w:rFonts w:ascii="Times New Roman" w:hAnsi="Times New Roman"/>
          <w:i/>
          <w:sz w:val="24"/>
        </w:rPr>
        <w:t>Planococcus minor</w:t>
      </w:r>
      <w:r>
        <w:rPr>
          <w:rFonts w:ascii="Times New Roman" w:hAnsi="Times New Roman"/>
          <w:sz w:val="24"/>
        </w:rPr>
        <w:t xml:space="preserve"> is not present in Western Australia and is a pest of regional quarantine concern for that state.</w:t>
      </w:r>
    </w:p>
    <w:p w14:paraId="144D0DCB" w14:textId="77777777" w:rsidR="009D3DC8" w:rsidRDefault="009D3DC8">
      <w:pPr>
        <w:spacing w:before="180" w:line="280" w:lineRule="atLeast"/>
        <w:rPr>
          <w:rFonts w:ascii="Times New Roman" w:hAnsi="Times New Roman"/>
          <w:sz w:val="24"/>
        </w:rPr>
      </w:pPr>
      <w:r>
        <w:rPr>
          <w:rFonts w:ascii="Times New Roman" w:hAnsi="Times New Roman"/>
          <w:sz w:val="24"/>
        </w:rPr>
        <w:t>The biology and taxonomy of these eleven mealybug species are considered sufficiently similar to justify combining them into a single assessment. In this assessment, the term ‘mealybugs’ is used to refer to these eleven species unless otherwise specified.</w:t>
      </w:r>
    </w:p>
    <w:p w14:paraId="6B16F2D2" w14:textId="77777777" w:rsidR="009D3DC8" w:rsidRDefault="009D3DC8">
      <w:pPr>
        <w:spacing w:before="180" w:line="280" w:lineRule="atLeast"/>
        <w:rPr>
          <w:rFonts w:ascii="Times New Roman" w:hAnsi="Times New Roman"/>
          <w:sz w:val="24"/>
        </w:rPr>
      </w:pPr>
      <w:r>
        <w:rPr>
          <w:rFonts w:ascii="Times New Roman" w:hAnsi="Times New Roman"/>
          <w:i/>
          <w:sz w:val="24"/>
        </w:rPr>
        <w:t>Dysmicoccus lepelleyi</w:t>
      </w:r>
      <w:r>
        <w:rPr>
          <w:rFonts w:ascii="Times New Roman" w:hAnsi="Times New Roman"/>
          <w:sz w:val="24"/>
        </w:rPr>
        <w:t xml:space="preserve"> (annona mealybug), </w:t>
      </w:r>
      <w:r>
        <w:rPr>
          <w:rFonts w:ascii="Times New Roman" w:hAnsi="Times New Roman"/>
          <w:i/>
          <w:sz w:val="24"/>
        </w:rPr>
        <w:t>E. hispidus</w:t>
      </w:r>
      <w:r>
        <w:rPr>
          <w:rFonts w:ascii="Times New Roman" w:hAnsi="Times New Roman"/>
          <w:sz w:val="24"/>
        </w:rPr>
        <w:t xml:space="preserve"> (cocoa mealybug), </w:t>
      </w:r>
      <w:r>
        <w:rPr>
          <w:rFonts w:ascii="Times New Roman" w:hAnsi="Times New Roman"/>
          <w:i/>
          <w:sz w:val="24"/>
        </w:rPr>
        <w:t>H. heterotrichus</w:t>
      </w:r>
      <w:r>
        <w:rPr>
          <w:rFonts w:ascii="Times New Roman" w:hAnsi="Times New Roman"/>
          <w:sz w:val="24"/>
        </w:rPr>
        <w:t xml:space="preserve"> (citrus mealybug), </w:t>
      </w:r>
      <w:r>
        <w:rPr>
          <w:rFonts w:ascii="Times New Roman" w:hAnsi="Times New Roman"/>
          <w:i/>
          <w:sz w:val="24"/>
        </w:rPr>
        <w:t>P. interceptus</w:t>
      </w:r>
      <w:r>
        <w:rPr>
          <w:rFonts w:ascii="Times New Roman" w:hAnsi="Times New Roman"/>
          <w:sz w:val="24"/>
        </w:rPr>
        <w:t xml:space="preserve"> (intercepted mealybug), </w:t>
      </w:r>
      <w:r>
        <w:rPr>
          <w:rFonts w:ascii="Times New Roman" w:hAnsi="Times New Roman"/>
          <w:i/>
          <w:sz w:val="24"/>
        </w:rPr>
        <w:t xml:space="preserve">P. odontomachi, P. lilacinus </w:t>
      </w:r>
      <w:r>
        <w:rPr>
          <w:rFonts w:ascii="Times New Roman" w:hAnsi="Times New Roman"/>
          <w:sz w:val="24"/>
        </w:rPr>
        <w:t xml:space="preserve">(coffee mealybug), </w:t>
      </w:r>
      <w:r>
        <w:rPr>
          <w:rFonts w:ascii="Times New Roman" w:hAnsi="Times New Roman"/>
          <w:i/>
          <w:sz w:val="24"/>
        </w:rPr>
        <w:t>P. minor</w:t>
      </w:r>
      <w:r>
        <w:rPr>
          <w:rFonts w:ascii="Times New Roman" w:hAnsi="Times New Roman"/>
          <w:sz w:val="24"/>
        </w:rPr>
        <w:t xml:space="preserve"> (pacific mealybug), </w:t>
      </w:r>
      <w:r>
        <w:rPr>
          <w:rFonts w:ascii="Times New Roman" w:hAnsi="Times New Roman"/>
          <w:i/>
          <w:sz w:val="24"/>
        </w:rPr>
        <w:t>P. aurantiacus</w:t>
      </w:r>
      <w:r>
        <w:rPr>
          <w:rFonts w:ascii="Times New Roman" w:hAnsi="Times New Roman"/>
          <w:sz w:val="24"/>
        </w:rPr>
        <w:t xml:space="preserve"> (orange-coloured mealybug), </w:t>
      </w:r>
      <w:r>
        <w:rPr>
          <w:rFonts w:ascii="Times New Roman" w:hAnsi="Times New Roman"/>
          <w:i/>
          <w:sz w:val="24"/>
        </w:rPr>
        <w:t>P. baliteus</w:t>
      </w:r>
      <w:r>
        <w:rPr>
          <w:rFonts w:ascii="Times New Roman" w:hAnsi="Times New Roman"/>
          <w:sz w:val="24"/>
        </w:rPr>
        <w:t xml:space="preserve"> (aerial root mealybug), </w:t>
      </w:r>
      <w:r>
        <w:rPr>
          <w:rFonts w:ascii="Times New Roman" w:hAnsi="Times New Roman"/>
          <w:i/>
          <w:sz w:val="24"/>
        </w:rPr>
        <w:t>P. cryptus</w:t>
      </w:r>
      <w:r>
        <w:rPr>
          <w:rFonts w:ascii="Times New Roman" w:hAnsi="Times New Roman"/>
          <w:sz w:val="24"/>
        </w:rPr>
        <w:t xml:space="preserve"> (cryptic mealybug) and </w:t>
      </w:r>
      <w:r>
        <w:rPr>
          <w:rFonts w:ascii="Times New Roman" w:hAnsi="Times New Roman"/>
          <w:i/>
          <w:sz w:val="24"/>
        </w:rPr>
        <w:t>R. spinosus</w:t>
      </w:r>
      <w:r>
        <w:rPr>
          <w:rFonts w:ascii="Times New Roman" w:hAnsi="Times New Roman"/>
          <w:sz w:val="24"/>
        </w:rPr>
        <w:t xml:space="preserve"> (Philippine mango mealybug) belong to the Pseudococcidae or mealybug family.</w:t>
      </w:r>
    </w:p>
    <w:p w14:paraId="6A6E4677"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Mealybugs are highly polyphagous and have been recorded on a wide range of host plants including mangosteens. The listed mealybug species are found throughout the Oriental region of the world, including Indonesia. However, </w:t>
      </w:r>
      <w:r>
        <w:rPr>
          <w:rFonts w:ascii="Times New Roman" w:hAnsi="Times New Roman"/>
          <w:i/>
          <w:sz w:val="24"/>
        </w:rPr>
        <w:t>P. lilacinus</w:t>
      </w:r>
      <w:r>
        <w:rPr>
          <w:rFonts w:ascii="Times New Roman" w:hAnsi="Times New Roman"/>
          <w:sz w:val="24"/>
        </w:rPr>
        <w:t xml:space="preserve"> and </w:t>
      </w:r>
      <w:r>
        <w:rPr>
          <w:rFonts w:ascii="Times New Roman" w:hAnsi="Times New Roman"/>
          <w:i/>
          <w:sz w:val="24"/>
        </w:rPr>
        <w:t xml:space="preserve">P. cryptus </w:t>
      </w:r>
      <w:r>
        <w:rPr>
          <w:rFonts w:ascii="Times New Roman" w:hAnsi="Times New Roman"/>
          <w:sz w:val="24"/>
        </w:rPr>
        <w:t xml:space="preserve">are more widespread with </w:t>
      </w:r>
      <w:r>
        <w:rPr>
          <w:rFonts w:ascii="Times New Roman" w:hAnsi="Times New Roman"/>
          <w:i/>
          <w:sz w:val="24"/>
        </w:rPr>
        <w:t xml:space="preserve">P. lilacinus </w:t>
      </w:r>
      <w:r>
        <w:rPr>
          <w:rFonts w:ascii="Times New Roman" w:hAnsi="Times New Roman"/>
          <w:sz w:val="24"/>
        </w:rPr>
        <w:t xml:space="preserve">distributed throughout the Palaearctic, Malaysian, Australasian and Neotropical regions of the world and </w:t>
      </w:r>
      <w:r>
        <w:rPr>
          <w:rFonts w:ascii="Times New Roman" w:hAnsi="Times New Roman"/>
          <w:i/>
          <w:sz w:val="24"/>
        </w:rPr>
        <w:t>P. cryptus</w:t>
      </w:r>
      <w:r>
        <w:rPr>
          <w:rFonts w:ascii="Times New Roman" w:hAnsi="Times New Roman"/>
          <w:sz w:val="24"/>
        </w:rPr>
        <w:t xml:space="preserve"> throughout tropical Africa, the mid-eastern Mediterranean, South America, Oceania and Korea (Ben-Dov 2011d).</w:t>
      </w:r>
    </w:p>
    <w:p w14:paraId="23923DE4" w14:textId="77777777" w:rsidR="009D3DC8" w:rsidRDefault="009D3DC8">
      <w:pPr>
        <w:spacing w:before="180" w:line="280" w:lineRule="atLeast"/>
        <w:rPr>
          <w:rFonts w:ascii="Times New Roman" w:hAnsi="Times New Roman"/>
          <w:sz w:val="24"/>
        </w:rPr>
      </w:pPr>
      <w:r>
        <w:rPr>
          <w:rFonts w:ascii="Times New Roman" w:hAnsi="Times New Roman"/>
          <w:sz w:val="24"/>
        </w:rPr>
        <w:t>Mealybugs are small, oval, soft-bodied insects that are covered with a white, cottony or mealy wax secretion that is moisture repellent and protects them against desiccation (Cox 1987; Furness and Charles 1994). These pests are sucking insects that injure plants by extracting large quantities of sap. This weakens and stunts plants, causing leaf distortion, premature leaf drop, dieback and even plant death (Osborne</w:t>
      </w:r>
      <w:r>
        <w:rPr>
          <w:rFonts w:ascii="Times New Roman" w:hAnsi="Times New Roman"/>
          <w:i/>
          <w:sz w:val="24"/>
        </w:rPr>
        <w:t xml:space="preserve"> et al.</w:t>
      </w:r>
      <w:r>
        <w:rPr>
          <w:rFonts w:ascii="Times New Roman" w:hAnsi="Times New Roman"/>
          <w:sz w:val="24"/>
        </w:rPr>
        <w:t xml:space="preserve"> 2005). They may also cause indirect damage by injecting toxins or plant pathogens into host plants. For example, </w:t>
      </w:r>
      <w:r>
        <w:rPr>
          <w:rFonts w:ascii="Times New Roman" w:hAnsi="Times New Roman"/>
          <w:i/>
          <w:sz w:val="24"/>
        </w:rPr>
        <w:t>P. lilacinus</w:t>
      </w:r>
      <w:r>
        <w:rPr>
          <w:rFonts w:ascii="Times New Roman" w:hAnsi="Times New Roman"/>
          <w:sz w:val="24"/>
        </w:rPr>
        <w:t xml:space="preserve"> transmits Ceylon cocoa virus in Sri Lanka (Williams 2004). Mealybugs deposit a waste product, ‘honeydew’, on the leaves and fruit as they feed, which serves as a food source for ants or a substrate for the development of sooty mould (Spangler and Agnello 1991). Sooty mould prevents photosynthesis in addition to making the plant, including the fruit, unsightly.</w:t>
      </w:r>
    </w:p>
    <w:p w14:paraId="3C5D1491" w14:textId="77777777" w:rsidR="009D3DC8" w:rsidRDefault="009D3DC8">
      <w:pPr>
        <w:spacing w:before="180" w:line="280" w:lineRule="atLeast"/>
        <w:rPr>
          <w:rFonts w:ascii="Times New Roman" w:hAnsi="Times New Roman"/>
          <w:sz w:val="24"/>
        </w:rPr>
      </w:pPr>
      <w:r>
        <w:rPr>
          <w:rFonts w:ascii="Times New Roman" w:hAnsi="Times New Roman"/>
          <w:sz w:val="24"/>
        </w:rPr>
        <w:t>Mealybugs develop through a number of nymphal (immature instar) stages before undergoing a final moult into the adult form. Female mealybugs have four instar stages (Williams 2004), with the adult female being similar in appearance to the nymphal stage and approximately 4 mm in length. This contrasts with male mealybugs, which have five instar stages (Williams 2004), with the adult male emerging from a cocoon as a tiny winged form. The adult males do not feed, having no mouthparts, and their sole purpose is to locate a female and mate. Mealybugs reproduce sexually or parthenogenically, that is, without a mate, and there may be multiple generations per year. Females can produce up to 800 eggs (Ooi</w:t>
      </w:r>
      <w:r>
        <w:rPr>
          <w:rFonts w:ascii="Times New Roman" w:hAnsi="Times New Roman"/>
          <w:i/>
          <w:sz w:val="24"/>
        </w:rPr>
        <w:t xml:space="preserve"> et al.</w:t>
      </w:r>
      <w:r>
        <w:rPr>
          <w:rFonts w:ascii="Times New Roman" w:hAnsi="Times New Roman"/>
          <w:sz w:val="24"/>
        </w:rPr>
        <w:t xml:space="preserve"> 2002) in compact waxy sacs attached to the stems, leaves or fruit of host plants. The females die </w:t>
      </w:r>
      <w:r>
        <w:rPr>
          <w:rFonts w:ascii="Times New Roman" w:hAnsi="Times New Roman"/>
          <w:sz w:val="24"/>
        </w:rPr>
        <w:lastRenderedPageBreak/>
        <w:t>shortly after the eggs are laid. The eggs hatch around 1–2 weeks later (Ooi</w:t>
      </w:r>
      <w:r>
        <w:rPr>
          <w:rFonts w:ascii="Times New Roman" w:hAnsi="Times New Roman"/>
          <w:i/>
          <w:sz w:val="24"/>
        </w:rPr>
        <w:t xml:space="preserve"> et al.</w:t>
      </w:r>
      <w:r>
        <w:rPr>
          <w:rFonts w:ascii="Times New Roman" w:hAnsi="Times New Roman"/>
          <w:sz w:val="24"/>
        </w:rPr>
        <w:t xml:space="preserve"> 2002) into tiny yellowish crawlers (first instar nymphs).</w:t>
      </w:r>
    </w:p>
    <w:p w14:paraId="59EAD61E" w14:textId="77777777" w:rsidR="009D3DC8" w:rsidRDefault="009D3DC8">
      <w:pPr>
        <w:spacing w:before="180" w:line="280" w:lineRule="atLeast"/>
        <w:rPr>
          <w:rFonts w:ascii="Times New Roman" w:hAnsi="Times New Roman"/>
          <w:sz w:val="24"/>
        </w:rPr>
      </w:pPr>
      <w:r>
        <w:rPr>
          <w:rFonts w:ascii="Times New Roman" w:hAnsi="Times New Roman"/>
          <w:sz w:val="24"/>
        </w:rPr>
        <w:t>Generally, mealybugs prefer warm, humid, sheltered sites away from adverse climatic conditions and natural enemies. Mealybug eggs, nymphs and adult females are very small and even though they usually infest the leaves and stems of host plants, they may be found in crevices and protected spaces, such as under the calyx of mangosteen fruit. This makes them difficult to detect and potentially a serious problem in mangosteen production areas. Additionally, many mealybug species pose serious problems to agriculture when introduced into new areas of the world where natural enemies are not present (Miller and Miller 2002).</w:t>
      </w:r>
    </w:p>
    <w:p w14:paraId="212515C4" w14:textId="77777777" w:rsidR="009D3DC8" w:rsidRDefault="009D3DC8">
      <w:pPr>
        <w:spacing w:before="180" w:line="280" w:lineRule="atLeast"/>
        <w:rPr>
          <w:rFonts w:ascii="Times New Roman" w:hAnsi="Times New Roman"/>
          <w:sz w:val="24"/>
        </w:rPr>
      </w:pPr>
      <w:r>
        <w:rPr>
          <w:rFonts w:ascii="Times New Roman" w:hAnsi="Times New Roman"/>
          <w:sz w:val="24"/>
        </w:rPr>
        <w:t>The risk scenario of concern for the listed mealybug species is the presence of eggs, nymphs or adult females in crevices or protected areas, such as under the calyx, of imported mangosteen fruit.</w:t>
      </w:r>
    </w:p>
    <w:p w14:paraId="26C0C404" w14:textId="77777777" w:rsidR="009D3DC8" w:rsidRDefault="009D3DC8">
      <w:pPr>
        <w:spacing w:before="180" w:line="280" w:lineRule="atLeast"/>
        <w:rPr>
          <w:rFonts w:ascii="Times New Roman" w:hAnsi="Times New Roman"/>
          <w:sz w:val="24"/>
        </w:rPr>
      </w:pPr>
      <w:r>
        <w:rPr>
          <w:rFonts w:ascii="Times New Roman" w:hAnsi="Times New Roman"/>
          <w:i/>
          <w:sz w:val="24"/>
        </w:rPr>
        <w:t>Planococcus cryptus</w:t>
      </w:r>
      <w:r>
        <w:rPr>
          <w:rFonts w:ascii="Times New Roman" w:hAnsi="Times New Roman"/>
          <w:sz w:val="24"/>
        </w:rPr>
        <w:t xml:space="preserve"> was assessed in the existing import policy for mangosteens from Thailand (DAFF 2004b); </w:t>
      </w:r>
      <w:r>
        <w:rPr>
          <w:rFonts w:ascii="Times New Roman" w:hAnsi="Times New Roman"/>
          <w:i/>
          <w:sz w:val="24"/>
        </w:rPr>
        <w:t>P. lilacinus</w:t>
      </w:r>
      <w:r>
        <w:rPr>
          <w:rFonts w:ascii="Times New Roman" w:hAnsi="Times New Roman"/>
          <w:sz w:val="24"/>
        </w:rPr>
        <w:t xml:space="preserve">, </w:t>
      </w:r>
      <w:r>
        <w:rPr>
          <w:rFonts w:ascii="Times New Roman" w:hAnsi="Times New Roman"/>
          <w:i/>
          <w:sz w:val="24"/>
        </w:rPr>
        <w:t>R. spinosus</w:t>
      </w:r>
      <w:r>
        <w:rPr>
          <w:rFonts w:ascii="Times New Roman" w:hAnsi="Times New Roman"/>
          <w:sz w:val="24"/>
        </w:rPr>
        <w:t xml:space="preserve"> and </w:t>
      </w:r>
      <w:r>
        <w:rPr>
          <w:rFonts w:ascii="Times New Roman" w:hAnsi="Times New Roman"/>
          <w:i/>
          <w:sz w:val="24"/>
        </w:rPr>
        <w:t>P. cryptus</w:t>
      </w:r>
      <w:r>
        <w:rPr>
          <w:rFonts w:ascii="Times New Roman" w:hAnsi="Times New Roman"/>
          <w:sz w:val="24"/>
        </w:rPr>
        <w:t xml:space="preserve"> in the existing import policy for fresh mangoes from Taiwan (Biosecurity Australia 2006b) and </w:t>
      </w:r>
      <w:r>
        <w:rPr>
          <w:rFonts w:ascii="Times New Roman" w:hAnsi="Times New Roman"/>
          <w:i/>
          <w:sz w:val="24"/>
        </w:rPr>
        <w:t>P. minor</w:t>
      </w:r>
      <w:r>
        <w:rPr>
          <w:rFonts w:ascii="Times New Roman" w:hAnsi="Times New Roman"/>
          <w:sz w:val="24"/>
        </w:rPr>
        <w:t xml:space="preserve"> in the existing import policy for bananas from the Philippines (Biosecurity Australia 2008). The assessment of the mealybug species listed here builds on these previous assessments.</w:t>
      </w:r>
    </w:p>
    <w:p w14:paraId="4C2C8FB0" w14:textId="77777777" w:rsidR="009D3DC8" w:rsidRDefault="009D3DC8">
      <w:pPr>
        <w:spacing w:before="180" w:line="280" w:lineRule="atLeast"/>
        <w:rPr>
          <w:rFonts w:ascii="Times New Roman" w:hAnsi="Times New Roman"/>
          <w:sz w:val="24"/>
        </w:rPr>
      </w:pPr>
      <w:r>
        <w:rPr>
          <w:rFonts w:ascii="Times New Roman" w:hAnsi="Times New Roman"/>
          <w:sz w:val="24"/>
        </w:rPr>
        <w:t>Differences in commodity, horticultural practices, climatic conditions and the prevalence of the listed mealybugs between previous export areas (Thailand, Taiwan and the Philippines) and Indonesia make it necessary to reassess the likelihood that the listed mealybugs will be imported into and distributed within Australia with mangosteen fruit from Indonesia.</w:t>
      </w:r>
    </w:p>
    <w:p w14:paraId="649142A7"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probability of establishment and of spread of the listed mealybugs in Australia and the consequences they may cause will be comparable for any commodity from which this species is imported into Australia, as these probabilities relate specifically to events that occur in Australia and are largely independent of the importation pathway. Accordingly, there is no need to reassess these components, and the estimates of the risk ratings for establishment, spread and consequences as set out for </w:t>
      </w:r>
      <w:r>
        <w:rPr>
          <w:rFonts w:ascii="Times New Roman" w:hAnsi="Times New Roman"/>
          <w:i/>
          <w:sz w:val="24"/>
        </w:rPr>
        <w:t>P. cryptus</w:t>
      </w:r>
      <w:r>
        <w:rPr>
          <w:rFonts w:ascii="Times New Roman" w:hAnsi="Times New Roman"/>
          <w:sz w:val="24"/>
        </w:rPr>
        <w:t xml:space="preserve"> in the mangosteen fruit from Thailand import risk analysis report (DAFF 2004b), for </w:t>
      </w:r>
      <w:r>
        <w:rPr>
          <w:rFonts w:ascii="Times New Roman" w:hAnsi="Times New Roman"/>
          <w:i/>
          <w:sz w:val="24"/>
        </w:rPr>
        <w:t>P. lilacinus</w:t>
      </w:r>
      <w:r>
        <w:rPr>
          <w:rFonts w:ascii="Times New Roman" w:hAnsi="Times New Roman"/>
          <w:sz w:val="24"/>
        </w:rPr>
        <w:t xml:space="preserve">, </w:t>
      </w:r>
      <w:r>
        <w:rPr>
          <w:rFonts w:ascii="Times New Roman" w:hAnsi="Times New Roman"/>
          <w:i/>
          <w:sz w:val="24"/>
        </w:rPr>
        <w:t>R. spinosus</w:t>
      </w:r>
      <w:r>
        <w:rPr>
          <w:rFonts w:ascii="Times New Roman" w:hAnsi="Times New Roman"/>
          <w:sz w:val="24"/>
        </w:rPr>
        <w:t xml:space="preserve"> and </w:t>
      </w:r>
      <w:r>
        <w:rPr>
          <w:rFonts w:ascii="Times New Roman" w:hAnsi="Times New Roman"/>
          <w:i/>
          <w:sz w:val="24"/>
        </w:rPr>
        <w:t>P. cryptus</w:t>
      </w:r>
      <w:r>
        <w:rPr>
          <w:rFonts w:ascii="Times New Roman" w:hAnsi="Times New Roman"/>
          <w:sz w:val="24"/>
        </w:rPr>
        <w:t xml:space="preserve"> in the mangoes from Taiwan import risk analysis report (Biosecurity Australia 2006b) and for </w:t>
      </w:r>
      <w:r>
        <w:rPr>
          <w:rFonts w:ascii="Times New Roman" w:hAnsi="Times New Roman"/>
          <w:i/>
          <w:sz w:val="24"/>
        </w:rPr>
        <w:t>P. minor</w:t>
      </w:r>
      <w:r>
        <w:rPr>
          <w:rFonts w:ascii="Times New Roman" w:hAnsi="Times New Roman"/>
          <w:sz w:val="24"/>
        </w:rPr>
        <w:t xml:space="preserve"> in the bananas from the Philippines import risk analysis report (Biosecurity Australia 2008), will be adopted for this assessment.</w:t>
      </w:r>
    </w:p>
    <w:p w14:paraId="33B6FA34" w14:textId="77777777" w:rsidR="009D3DC8" w:rsidRDefault="009D3DC8">
      <w:pPr>
        <w:pStyle w:val="Heading3"/>
        <w:numPr>
          <w:ilvl w:val="2"/>
          <w:numId w:val="8"/>
        </w:numPr>
        <w:spacing w:line="240" w:lineRule="auto"/>
      </w:pPr>
      <w:r>
        <w:t>Reassessment of probability of entry</w:t>
      </w:r>
    </w:p>
    <w:p w14:paraId="0DA96832" w14:textId="77777777" w:rsidR="009D3DC8" w:rsidRDefault="009D3DC8">
      <w:pPr>
        <w:spacing w:before="180" w:line="280" w:lineRule="atLeast"/>
        <w:rPr>
          <w:rFonts w:ascii="Times New Roman" w:hAnsi="Times New Roman"/>
          <w:sz w:val="24"/>
        </w:rPr>
      </w:pPr>
      <w:r>
        <w:rPr>
          <w:rFonts w:ascii="Times New Roman" w:hAnsi="Times New Roman"/>
          <w:sz w:val="24"/>
        </w:rPr>
        <w:t>The probability of entry is considered in two parts, the probability of importation and the probability of distribution, which consider pre-border and post-border issues, respectively.</w:t>
      </w:r>
    </w:p>
    <w:p w14:paraId="370F0EB2"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importation</w:t>
      </w:r>
    </w:p>
    <w:p w14:paraId="57B395E9" w14:textId="77777777" w:rsidR="009D3DC8" w:rsidRDefault="009D3DC8">
      <w:pPr>
        <w:spacing w:before="180" w:line="280" w:lineRule="atLeast"/>
        <w:rPr>
          <w:rFonts w:ascii="Times New Roman" w:hAnsi="Times New Roman"/>
          <w:b/>
          <w:sz w:val="24"/>
        </w:rPr>
      </w:pPr>
      <w:r>
        <w:rPr>
          <w:rFonts w:ascii="Times New Roman" w:hAnsi="Times New Roman"/>
          <w:sz w:val="24"/>
        </w:rPr>
        <w:t xml:space="preserve">The likelihood that </w:t>
      </w:r>
      <w:r>
        <w:rPr>
          <w:rFonts w:ascii="Times New Roman" w:hAnsi="Times New Roman"/>
          <w:i/>
          <w:sz w:val="24"/>
        </w:rPr>
        <w:t>D. lepelleyi</w:t>
      </w:r>
      <w:r>
        <w:rPr>
          <w:rFonts w:ascii="Times New Roman" w:hAnsi="Times New Roman"/>
          <w:sz w:val="24"/>
        </w:rPr>
        <w:t xml:space="preserve">, </w:t>
      </w:r>
      <w:r>
        <w:rPr>
          <w:rFonts w:ascii="Times New Roman" w:hAnsi="Times New Roman"/>
          <w:i/>
          <w:sz w:val="24"/>
        </w:rPr>
        <w:t>E. hispidus</w:t>
      </w:r>
      <w:r>
        <w:rPr>
          <w:rFonts w:ascii="Times New Roman" w:hAnsi="Times New Roman"/>
          <w:sz w:val="24"/>
        </w:rPr>
        <w:t xml:space="preserve">, </w:t>
      </w:r>
      <w:r>
        <w:rPr>
          <w:rFonts w:ascii="Times New Roman" w:hAnsi="Times New Roman"/>
          <w:i/>
          <w:sz w:val="24"/>
        </w:rPr>
        <w:t>H. heterotrichus</w:t>
      </w:r>
      <w:r>
        <w:rPr>
          <w:rFonts w:ascii="Times New Roman" w:hAnsi="Times New Roman"/>
          <w:sz w:val="24"/>
        </w:rPr>
        <w:t xml:space="preserve">, </w:t>
      </w:r>
      <w:r>
        <w:rPr>
          <w:rFonts w:ascii="Times New Roman" w:hAnsi="Times New Roman"/>
          <w:i/>
          <w:sz w:val="24"/>
        </w:rPr>
        <w:t>P. interceptus</w:t>
      </w:r>
      <w:r>
        <w:rPr>
          <w:rFonts w:ascii="Times New Roman" w:hAnsi="Times New Roman"/>
          <w:sz w:val="24"/>
        </w:rPr>
        <w:t xml:space="preserve">, </w:t>
      </w:r>
      <w:r>
        <w:rPr>
          <w:rFonts w:ascii="Times New Roman" w:hAnsi="Times New Roman"/>
          <w:i/>
          <w:sz w:val="24"/>
        </w:rPr>
        <w:t>P. odontomachi</w:t>
      </w:r>
      <w:r>
        <w:rPr>
          <w:rFonts w:ascii="Times New Roman" w:hAnsi="Times New Roman"/>
          <w:sz w:val="24"/>
        </w:rPr>
        <w:t xml:space="preserve">, </w:t>
      </w:r>
      <w:r>
        <w:rPr>
          <w:rFonts w:ascii="Times New Roman" w:hAnsi="Times New Roman"/>
          <w:i/>
          <w:sz w:val="24"/>
        </w:rPr>
        <w:t>P. lilacinus,</w:t>
      </w:r>
      <w:r>
        <w:rPr>
          <w:rFonts w:ascii="Times New Roman" w:hAnsi="Times New Roman"/>
          <w:sz w:val="24"/>
        </w:rPr>
        <w:t xml:space="preserve"> </w:t>
      </w:r>
      <w:r>
        <w:rPr>
          <w:rFonts w:ascii="Times New Roman" w:hAnsi="Times New Roman"/>
          <w:i/>
          <w:sz w:val="24"/>
        </w:rPr>
        <w:t>P. aurantiacus, P. baliteus,</w:t>
      </w:r>
      <w:r>
        <w:rPr>
          <w:rFonts w:ascii="Times New Roman" w:hAnsi="Times New Roman"/>
          <w:sz w:val="24"/>
        </w:rPr>
        <w:t xml:space="preserve"> </w:t>
      </w:r>
      <w:r>
        <w:rPr>
          <w:rFonts w:ascii="Times New Roman" w:hAnsi="Times New Roman"/>
          <w:i/>
          <w:sz w:val="24"/>
        </w:rPr>
        <w:t>P. cryptus</w:t>
      </w:r>
      <w:r>
        <w:rPr>
          <w:rFonts w:ascii="Times New Roman" w:hAnsi="Times New Roman"/>
          <w:sz w:val="24"/>
        </w:rPr>
        <w:t xml:space="preserve">, </w:t>
      </w:r>
      <w:r>
        <w:rPr>
          <w:rFonts w:ascii="Times New Roman" w:hAnsi="Times New Roman"/>
          <w:i/>
          <w:sz w:val="24"/>
        </w:rPr>
        <w:t xml:space="preserve">R. spinosus </w:t>
      </w:r>
      <w:r>
        <w:rPr>
          <w:rFonts w:ascii="Times New Roman" w:hAnsi="Times New Roman"/>
          <w:sz w:val="24"/>
        </w:rPr>
        <w:t xml:space="preserve">will arrive in Australia or that </w:t>
      </w:r>
      <w:r>
        <w:rPr>
          <w:rFonts w:ascii="Times New Roman" w:hAnsi="Times New Roman"/>
          <w:i/>
          <w:sz w:val="24"/>
        </w:rPr>
        <w:t xml:space="preserve">P. minor </w:t>
      </w:r>
      <w:r>
        <w:rPr>
          <w:rFonts w:ascii="Times New Roman" w:hAnsi="Times New Roman"/>
          <w:sz w:val="24"/>
        </w:rPr>
        <w:t>will arrive in Western Australia</w:t>
      </w:r>
      <w:r>
        <w:rPr>
          <w:rFonts w:ascii="Times New Roman" w:hAnsi="Times New Roman"/>
          <w:i/>
          <w:sz w:val="24"/>
        </w:rPr>
        <w:t xml:space="preserve"> </w:t>
      </w:r>
      <w:r>
        <w:rPr>
          <w:rFonts w:ascii="Times New Roman" w:hAnsi="Times New Roman"/>
          <w:sz w:val="24"/>
        </w:rPr>
        <w:t xml:space="preserve">with the importation of mangosteen fruit from Indonesia is: </w:t>
      </w:r>
      <w:r>
        <w:rPr>
          <w:rFonts w:ascii="Times New Roman" w:hAnsi="Times New Roman"/>
          <w:b/>
          <w:sz w:val="24"/>
        </w:rPr>
        <w:t>HIGH.</w:t>
      </w:r>
    </w:p>
    <w:p w14:paraId="1F8ADDEB"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2D7044C8"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lastRenderedPageBreak/>
        <w:t>Mealybugs are distributed worldwide and are present in Indonesia (Ben-Dov 2011d). They are considered a pest of mangosteens in Indonesia, attacking the leaves and fruits (IAQA 2008).</w:t>
      </w:r>
    </w:p>
    <w:p w14:paraId="470B8047"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Once mealybugs find a suitable feeding site, they insert their stylets (mouthparts) and suck sap from the host plant. This procedure anchors the mealybugs to the plant where they generally remain (Williams 2004). Once feeding begins, they secrete a waxy mealy coating that helps protect their bodies. </w:t>
      </w:r>
    </w:p>
    <w:p w14:paraId="1F44F28C"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Adult female mealybugs and nymphs (that is, immature male and female mealybugs) are small (1–4 mm), oval shaped, often inconspicuous, lack wings and have limited mobility (Spangler and Agnello 1991). The wingless adult females usually live in sheltered positions (Cox 1987), such as under the calyx of mangosteen fruit.</w:t>
      </w:r>
    </w:p>
    <w:p w14:paraId="331994A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Mangosteens packed for export typically consist of the fruit with a short pedicel and the calyx consisting of four sepals. Mealybugs can hide under the calyx and may not be detected during routine visual inspection procedures within the packing house. Inspection procedures focus primarily on quality standards of the fruit with regards to blemishes, premature ripening, bruising or damage to the skin and calyces. The procedures are not particularly directed at the detection of small arthropod pests which may be present under the calyx.</w:t>
      </w:r>
    </w:p>
    <w:p w14:paraId="7769133F"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The brushing process would likely dislodge some mealybug species present on the surface of the fruit. However, mealybugs have a tendency to feed and deposit their eggs in secluded places and the brushing process may not remove mealybugs and/or eggs located under the calyx of the mangosteen fruit. </w:t>
      </w:r>
    </w:p>
    <w:p w14:paraId="151461C2"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Mealybugs are likely to survive storage and transportation. There is no data for the listed mealybugs regarding their tolerance to prolonged periods of cold temperatures. However, the mealybug </w:t>
      </w:r>
      <w:r>
        <w:rPr>
          <w:rFonts w:ascii="Times New Roman" w:hAnsi="Times New Roman"/>
          <w:i/>
        </w:rPr>
        <w:t>Pseudococcus affinis</w:t>
      </w:r>
      <w:r>
        <w:rPr>
          <w:rFonts w:ascii="Times New Roman" w:hAnsi="Times New Roman"/>
        </w:rPr>
        <w:t xml:space="preserve"> can survive for up to 42 days at 0˚C (Hoy and Whiting 1997). </w:t>
      </w:r>
    </w:p>
    <w:p w14:paraId="49F70B58" w14:textId="77777777" w:rsidR="009D3DC8" w:rsidRDefault="009D3DC8">
      <w:pPr>
        <w:pStyle w:val="Bullet"/>
        <w:numPr>
          <w:ilvl w:val="0"/>
          <w:numId w:val="27"/>
        </w:numPr>
        <w:spacing w:before="120" w:after="60" w:line="280" w:lineRule="atLeast"/>
        <w:ind w:left="357" w:hanging="357"/>
      </w:pPr>
      <w:r>
        <w:rPr>
          <w:rFonts w:ascii="Times New Roman" w:hAnsi="Times New Roman"/>
        </w:rPr>
        <w:t>There is strong potential for mealybugs to be associated with mangosteen fruit after storage and transportation, as live mealybugs have been intercepted on Thai mangosteens imported into the USA (USDA-APHIS 2007) and Australia.</w:t>
      </w:r>
    </w:p>
    <w:p w14:paraId="257B0DD4" w14:textId="77777777" w:rsidR="009D3DC8" w:rsidRDefault="009D3DC8">
      <w:pPr>
        <w:pStyle w:val="Bullet"/>
        <w:spacing w:before="180" w:after="0" w:line="280" w:lineRule="atLeast"/>
        <w:rPr>
          <w:rFonts w:ascii="Times New Roman" w:hAnsi="Times New Roman"/>
        </w:rPr>
      </w:pPr>
      <w:r>
        <w:rPr>
          <w:rFonts w:ascii="Times New Roman" w:hAnsi="Times New Roman"/>
        </w:rPr>
        <w:t>The association of mealybugs with the fruit, the small size, sessile and cryptic nature of most life stages plus their previous interception on arrival, all support a likelihood estimate for importation of ‘high’.</w:t>
      </w:r>
    </w:p>
    <w:p w14:paraId="7CCE5634"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distribution</w:t>
      </w:r>
    </w:p>
    <w:p w14:paraId="12CE0114"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lepelleyi</w:t>
      </w:r>
      <w:r>
        <w:rPr>
          <w:rFonts w:ascii="Times New Roman" w:hAnsi="Times New Roman"/>
          <w:sz w:val="24"/>
        </w:rPr>
        <w:t xml:space="preserve">, </w:t>
      </w:r>
      <w:r>
        <w:rPr>
          <w:rFonts w:ascii="Times New Roman" w:hAnsi="Times New Roman"/>
          <w:i/>
          <w:sz w:val="24"/>
        </w:rPr>
        <w:t>E. hispidus</w:t>
      </w:r>
      <w:r>
        <w:rPr>
          <w:rFonts w:ascii="Times New Roman" w:hAnsi="Times New Roman"/>
          <w:sz w:val="24"/>
        </w:rPr>
        <w:t xml:space="preserve">, </w:t>
      </w:r>
      <w:r>
        <w:rPr>
          <w:rFonts w:ascii="Times New Roman" w:hAnsi="Times New Roman"/>
          <w:i/>
          <w:sz w:val="24"/>
        </w:rPr>
        <w:t>H. heterotrichus</w:t>
      </w:r>
      <w:r>
        <w:rPr>
          <w:rFonts w:ascii="Times New Roman" w:hAnsi="Times New Roman"/>
          <w:sz w:val="24"/>
        </w:rPr>
        <w:t xml:space="preserve">, </w:t>
      </w:r>
      <w:r>
        <w:rPr>
          <w:rFonts w:ascii="Times New Roman" w:hAnsi="Times New Roman"/>
          <w:i/>
          <w:sz w:val="24"/>
        </w:rPr>
        <w:t>P. interceptus</w:t>
      </w:r>
      <w:r>
        <w:rPr>
          <w:rFonts w:ascii="Times New Roman" w:hAnsi="Times New Roman"/>
          <w:sz w:val="24"/>
        </w:rPr>
        <w:t xml:space="preserve">, </w:t>
      </w:r>
      <w:r>
        <w:rPr>
          <w:rFonts w:ascii="Times New Roman" w:hAnsi="Times New Roman"/>
          <w:i/>
          <w:sz w:val="24"/>
        </w:rPr>
        <w:t>P. odontomachi</w:t>
      </w:r>
      <w:r>
        <w:rPr>
          <w:rFonts w:ascii="Times New Roman" w:hAnsi="Times New Roman"/>
          <w:sz w:val="24"/>
        </w:rPr>
        <w:t xml:space="preserve">, </w:t>
      </w:r>
      <w:r>
        <w:rPr>
          <w:rFonts w:ascii="Times New Roman" w:hAnsi="Times New Roman"/>
          <w:i/>
          <w:sz w:val="24"/>
        </w:rPr>
        <w:t>P. lilacinus,</w:t>
      </w:r>
      <w:r>
        <w:rPr>
          <w:rFonts w:ascii="Times New Roman" w:hAnsi="Times New Roman"/>
          <w:sz w:val="24"/>
        </w:rPr>
        <w:t xml:space="preserve"> </w:t>
      </w:r>
      <w:r>
        <w:rPr>
          <w:rFonts w:ascii="Times New Roman" w:hAnsi="Times New Roman"/>
          <w:i/>
          <w:sz w:val="24"/>
        </w:rPr>
        <w:t>P. aurantiacus, P. baliteus,</w:t>
      </w:r>
      <w:r>
        <w:rPr>
          <w:rFonts w:ascii="Times New Roman" w:hAnsi="Times New Roman"/>
          <w:sz w:val="24"/>
        </w:rPr>
        <w:t xml:space="preserve"> </w:t>
      </w:r>
      <w:r>
        <w:rPr>
          <w:rFonts w:ascii="Times New Roman" w:hAnsi="Times New Roman"/>
          <w:i/>
          <w:sz w:val="24"/>
        </w:rPr>
        <w:t>P. cryptus</w:t>
      </w:r>
      <w:r>
        <w:rPr>
          <w:rFonts w:ascii="Times New Roman" w:hAnsi="Times New Roman"/>
          <w:sz w:val="24"/>
        </w:rPr>
        <w:t xml:space="preserve">, and </w:t>
      </w:r>
      <w:r>
        <w:rPr>
          <w:rFonts w:ascii="Times New Roman" w:hAnsi="Times New Roman"/>
          <w:i/>
          <w:sz w:val="24"/>
        </w:rPr>
        <w:t xml:space="preserve">R. spinosus </w:t>
      </w:r>
      <w:r>
        <w:rPr>
          <w:rFonts w:ascii="Times New Roman" w:hAnsi="Times New Roman"/>
          <w:sz w:val="24"/>
        </w:rPr>
        <w:t xml:space="preserve">will be distributed within Australia or that </w:t>
      </w:r>
      <w:r>
        <w:rPr>
          <w:rFonts w:ascii="Times New Roman" w:hAnsi="Times New Roman"/>
          <w:i/>
          <w:sz w:val="24"/>
        </w:rPr>
        <w:t>P. minor</w:t>
      </w:r>
      <w:r>
        <w:rPr>
          <w:rFonts w:ascii="Times New Roman" w:hAnsi="Times New Roman"/>
          <w:sz w:val="24"/>
        </w:rPr>
        <w:t xml:space="preserve"> will be distributed within Western Australia</w:t>
      </w:r>
      <w:r>
        <w:rPr>
          <w:rFonts w:ascii="Times New Roman" w:hAnsi="Times New Roman"/>
          <w:i/>
          <w:sz w:val="24"/>
        </w:rPr>
        <w:t xml:space="preserve"> </w:t>
      </w:r>
      <w:r>
        <w:rPr>
          <w:rFonts w:ascii="Times New Roman" w:hAnsi="Times New Roman"/>
          <w:sz w:val="24"/>
        </w:rPr>
        <w:t xml:space="preserve">in a viable state as a result of the processing, sale or disposal of mangosteen fruit from Indonesia and subsequently transfer to a susceptible part of a host is: </w:t>
      </w:r>
      <w:r>
        <w:rPr>
          <w:rFonts w:ascii="Times New Roman" w:hAnsi="Times New Roman"/>
          <w:b/>
          <w:sz w:val="24"/>
        </w:rPr>
        <w:t>MODERATE</w:t>
      </w:r>
      <w:r>
        <w:rPr>
          <w:rFonts w:ascii="Times New Roman" w:hAnsi="Times New Roman"/>
          <w:sz w:val="24"/>
        </w:rPr>
        <w:t>.</w:t>
      </w:r>
    </w:p>
    <w:p w14:paraId="040C1D3C"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5FCA266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Mangosteen fruit may be distributed throughout Australia for retail sale, as the intended use of the commodity is human consumption. Waste material may be generated.</w:t>
      </w:r>
    </w:p>
    <w:p w14:paraId="6930A35F"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Mealybug eggs, nymphs and adult females may remain on the fruit during retail distribution. The unconsumed parts of the fruit, especially the skin and calyx of infested </w:t>
      </w:r>
      <w:r>
        <w:rPr>
          <w:rFonts w:ascii="Times New Roman" w:hAnsi="Times New Roman"/>
        </w:rPr>
        <w:lastRenderedPageBreak/>
        <w:t>fruit, are likely to end up in fruit waste, which may further aid distribution of viable mealybugs. Disposal of infested fruit is likely to be by commercial or domestic rubbish systems or where the fruit is consumed. Some fruit waste may be disposed of in the home garden which provides an opportunity for mealybugs to transfer to susceptible hosts in the vicinity.</w:t>
      </w:r>
    </w:p>
    <w:p w14:paraId="09F85ED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Mealybugs have a high fecundity, and can produce up to 800 eggs (e.g. </w:t>
      </w:r>
      <w:r>
        <w:rPr>
          <w:rFonts w:ascii="Times New Roman" w:hAnsi="Times New Roman"/>
          <w:i/>
        </w:rPr>
        <w:t>P. minor</w:t>
      </w:r>
      <w:r>
        <w:rPr>
          <w:rFonts w:ascii="Times New Roman" w:hAnsi="Times New Roman"/>
        </w:rPr>
        <w:t xml:space="preserve"> and </w:t>
      </w:r>
      <w:r>
        <w:rPr>
          <w:rFonts w:ascii="Times New Roman" w:hAnsi="Times New Roman"/>
          <w:i/>
        </w:rPr>
        <w:t>P. lilacinus</w:t>
      </w:r>
      <w:r>
        <w:rPr>
          <w:rFonts w:ascii="Times New Roman" w:hAnsi="Times New Roman"/>
        </w:rPr>
        <w:t xml:space="preserve">, Ooi </w:t>
      </w:r>
      <w:r>
        <w:rPr>
          <w:rFonts w:ascii="Times New Roman" w:hAnsi="Times New Roman"/>
          <w:i/>
        </w:rPr>
        <w:t>et al</w:t>
      </w:r>
      <w:r>
        <w:rPr>
          <w:rFonts w:ascii="Times New Roman" w:hAnsi="Times New Roman"/>
        </w:rPr>
        <w:t xml:space="preserve">. 2002). </w:t>
      </w:r>
    </w:p>
    <w:p w14:paraId="185A093D"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Crawlers (first instar nymphs) are the primary dispersal phase and are capable of active dispersal by crawling and passive dispersal by wind currents (Hely</w:t>
      </w:r>
      <w:r>
        <w:rPr>
          <w:rFonts w:ascii="Times New Roman" w:hAnsi="Times New Roman"/>
          <w:i/>
        </w:rPr>
        <w:t xml:space="preserve"> et al.</w:t>
      </w:r>
      <w:r>
        <w:rPr>
          <w:rFonts w:ascii="Times New Roman" w:hAnsi="Times New Roman"/>
        </w:rPr>
        <w:t xml:space="preserve"> 1982; Rohrbach</w:t>
      </w:r>
      <w:r>
        <w:rPr>
          <w:rFonts w:ascii="Times New Roman" w:hAnsi="Times New Roman"/>
          <w:i/>
        </w:rPr>
        <w:t xml:space="preserve"> et al.</w:t>
      </w:r>
      <w:r>
        <w:rPr>
          <w:rFonts w:ascii="Times New Roman" w:hAnsi="Times New Roman"/>
        </w:rPr>
        <w:t xml:space="preserve"> 1988). However, mealybugs can survive for only a short time (approximately one day) without feeding (Osborne</w:t>
      </w:r>
      <w:r>
        <w:rPr>
          <w:rFonts w:ascii="Times New Roman" w:hAnsi="Times New Roman"/>
          <w:i/>
        </w:rPr>
        <w:t xml:space="preserve"> et al.</w:t>
      </w:r>
      <w:r>
        <w:rPr>
          <w:rFonts w:ascii="Times New Roman" w:hAnsi="Times New Roman"/>
        </w:rPr>
        <w:t xml:space="preserve"> 2005).</w:t>
      </w:r>
    </w:p>
    <w:p w14:paraId="51211B1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Adult females can only crawl a few metres, restricting their ability to move from discarded fruit waste to a suitable host (CABI 2011).</w:t>
      </w:r>
    </w:p>
    <w:p w14:paraId="7E180D99"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Once mealybugs find a suitable feeding site they become sessile. They insert their stylets into the plant host and remain permanently attached.</w:t>
      </w:r>
    </w:p>
    <w:p w14:paraId="7BCEB026"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Mealybugs are polyphagous. A range of plants which are widely distributed in Australia can act as host for these pests (see Appendix B). However, lack of active long</w:t>
      </w:r>
      <w:r>
        <w:rPr>
          <w:rFonts w:ascii="Times New Roman" w:hAnsi="Times New Roman"/>
          <w:b/>
        </w:rPr>
        <w:t>-</w:t>
      </w:r>
      <w:r>
        <w:rPr>
          <w:rFonts w:ascii="Times New Roman" w:hAnsi="Times New Roman"/>
        </w:rPr>
        <w:t>distance dispersal mechanisms may moderate the rate of incursion of these pest species.</w:t>
      </w:r>
    </w:p>
    <w:p w14:paraId="43488E87" w14:textId="77777777" w:rsidR="009D3DC8" w:rsidRDefault="009D3DC8">
      <w:pPr>
        <w:spacing w:before="180" w:line="280" w:lineRule="atLeast"/>
        <w:rPr>
          <w:rFonts w:ascii="Times New Roman" w:hAnsi="Times New Roman"/>
          <w:sz w:val="24"/>
        </w:rPr>
      </w:pPr>
      <w:r>
        <w:rPr>
          <w:rFonts w:ascii="Times New Roman" w:hAnsi="Times New Roman"/>
          <w:sz w:val="24"/>
        </w:rPr>
        <w:t>The possibility of dispersal near suitable hosts, the wide availability of hosts and the high fecundity of mealybugs, moderated by the lack of long distance dispersal mechanisms support a likelihood estimate for distribution of ‘moderate’.</w:t>
      </w:r>
    </w:p>
    <w:p w14:paraId="51909A19"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 xml:space="preserve">Overall probability of entry (importation </w:t>
      </w:r>
      <w:r>
        <w:rPr>
          <w:rFonts w:ascii="Times New Roman" w:hAnsi="Times New Roman" w:cs="Arial"/>
          <w:i w:val="0"/>
          <w:iCs w:val="0"/>
          <w:color w:val="000000"/>
          <w:sz w:val="24"/>
          <w:szCs w:val="28"/>
        </w:rPr>
        <w:sym w:font="Symbol" w:char="F0B4"/>
      </w:r>
      <w:r>
        <w:rPr>
          <w:rFonts w:ascii="Times New Roman" w:hAnsi="Times New Roman" w:cs="Arial"/>
          <w:i w:val="0"/>
          <w:iCs w:val="0"/>
          <w:color w:val="000000"/>
          <w:sz w:val="24"/>
          <w:szCs w:val="28"/>
        </w:rPr>
        <w:t xml:space="preserve"> distribution)</w:t>
      </w:r>
    </w:p>
    <w:p w14:paraId="33748EBE"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is determined by combining the probabilities of importation and of distribution using the matrix of rules shown in Table 2.2.</w:t>
      </w:r>
    </w:p>
    <w:p w14:paraId="1994EAD0"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D. lepelleyi</w:t>
      </w:r>
      <w:r>
        <w:rPr>
          <w:rFonts w:ascii="Times New Roman" w:hAnsi="Times New Roman"/>
          <w:sz w:val="24"/>
        </w:rPr>
        <w:t xml:space="preserve">, </w:t>
      </w:r>
      <w:r>
        <w:rPr>
          <w:rFonts w:ascii="Times New Roman" w:hAnsi="Times New Roman"/>
          <w:i/>
          <w:sz w:val="24"/>
        </w:rPr>
        <w:t>E. hispidus</w:t>
      </w:r>
      <w:r>
        <w:rPr>
          <w:rFonts w:ascii="Times New Roman" w:hAnsi="Times New Roman"/>
          <w:sz w:val="24"/>
        </w:rPr>
        <w:t xml:space="preserve">, </w:t>
      </w:r>
      <w:r>
        <w:rPr>
          <w:rFonts w:ascii="Times New Roman" w:hAnsi="Times New Roman"/>
          <w:i/>
          <w:sz w:val="24"/>
        </w:rPr>
        <w:t>H. heterotrichus</w:t>
      </w:r>
      <w:r>
        <w:rPr>
          <w:rFonts w:ascii="Times New Roman" w:hAnsi="Times New Roman"/>
          <w:sz w:val="24"/>
        </w:rPr>
        <w:t xml:space="preserve">, </w:t>
      </w:r>
      <w:r>
        <w:rPr>
          <w:rFonts w:ascii="Times New Roman" w:hAnsi="Times New Roman"/>
          <w:i/>
          <w:sz w:val="24"/>
        </w:rPr>
        <w:t>P. interceptus</w:t>
      </w:r>
      <w:r>
        <w:rPr>
          <w:rFonts w:ascii="Times New Roman" w:hAnsi="Times New Roman"/>
          <w:sz w:val="24"/>
        </w:rPr>
        <w:t xml:space="preserve">, </w:t>
      </w:r>
      <w:r>
        <w:rPr>
          <w:rFonts w:ascii="Times New Roman" w:hAnsi="Times New Roman"/>
          <w:i/>
          <w:sz w:val="24"/>
        </w:rPr>
        <w:t>P. odontomachi</w:t>
      </w:r>
      <w:r>
        <w:rPr>
          <w:rFonts w:ascii="Times New Roman" w:hAnsi="Times New Roman"/>
          <w:sz w:val="24"/>
        </w:rPr>
        <w:t xml:space="preserve">, </w:t>
      </w:r>
      <w:r>
        <w:rPr>
          <w:rFonts w:ascii="Times New Roman" w:hAnsi="Times New Roman"/>
          <w:i/>
          <w:sz w:val="24"/>
        </w:rPr>
        <w:t>P. lilacinus,</w:t>
      </w:r>
      <w:r>
        <w:rPr>
          <w:rFonts w:ascii="Times New Roman" w:hAnsi="Times New Roman"/>
          <w:sz w:val="24"/>
        </w:rPr>
        <w:t xml:space="preserve"> </w:t>
      </w:r>
      <w:r>
        <w:rPr>
          <w:rFonts w:ascii="Times New Roman" w:hAnsi="Times New Roman"/>
          <w:i/>
          <w:sz w:val="24"/>
        </w:rPr>
        <w:t>P. aurantiacus, P. baliteus,</w:t>
      </w:r>
      <w:r>
        <w:rPr>
          <w:rFonts w:ascii="Times New Roman" w:hAnsi="Times New Roman"/>
          <w:sz w:val="24"/>
        </w:rPr>
        <w:t xml:space="preserve"> </w:t>
      </w:r>
      <w:r>
        <w:rPr>
          <w:rFonts w:ascii="Times New Roman" w:hAnsi="Times New Roman"/>
          <w:i/>
          <w:sz w:val="24"/>
        </w:rPr>
        <w:t>P. cryptus</w:t>
      </w:r>
      <w:r>
        <w:rPr>
          <w:rFonts w:ascii="Times New Roman" w:hAnsi="Times New Roman"/>
          <w:sz w:val="24"/>
        </w:rPr>
        <w:t xml:space="preserve">, and </w:t>
      </w:r>
      <w:r>
        <w:rPr>
          <w:rFonts w:ascii="Times New Roman" w:hAnsi="Times New Roman"/>
          <w:i/>
          <w:sz w:val="24"/>
        </w:rPr>
        <w:t xml:space="preserve">R. spinosus </w:t>
      </w:r>
      <w:r>
        <w:rPr>
          <w:rFonts w:ascii="Times New Roman" w:hAnsi="Times New Roman"/>
          <w:sz w:val="24"/>
        </w:rPr>
        <w:t xml:space="preserve">will enter Australia or that </w:t>
      </w:r>
      <w:r>
        <w:rPr>
          <w:rFonts w:ascii="Times New Roman" w:hAnsi="Times New Roman"/>
          <w:i/>
          <w:sz w:val="24"/>
        </w:rPr>
        <w:t>P. minor</w:t>
      </w:r>
      <w:r>
        <w:rPr>
          <w:rFonts w:ascii="Times New Roman" w:hAnsi="Times New Roman"/>
          <w:sz w:val="24"/>
        </w:rPr>
        <w:t xml:space="preserve"> will enter Western Australia</w:t>
      </w:r>
      <w:r>
        <w:rPr>
          <w:rFonts w:ascii="Times New Roman" w:hAnsi="Times New Roman"/>
          <w:i/>
          <w:sz w:val="24"/>
        </w:rPr>
        <w:t xml:space="preserve"> </w:t>
      </w:r>
      <w:r>
        <w:rPr>
          <w:rFonts w:ascii="Times New Roman" w:hAnsi="Times New Roman"/>
          <w:sz w:val="24"/>
        </w:rPr>
        <w:t xml:space="preserve">as a result of trade in mangosteen fruit from Indonesia and be distributed in a viable state to a susceptible host is: </w:t>
      </w:r>
      <w:r>
        <w:rPr>
          <w:rFonts w:ascii="Times New Roman" w:hAnsi="Times New Roman"/>
          <w:b/>
          <w:sz w:val="24"/>
        </w:rPr>
        <w:t>MODERATE</w:t>
      </w:r>
      <w:r>
        <w:rPr>
          <w:rFonts w:ascii="Times New Roman" w:hAnsi="Times New Roman"/>
          <w:sz w:val="24"/>
        </w:rPr>
        <w:t>.</w:t>
      </w:r>
    </w:p>
    <w:p w14:paraId="0100F499" w14:textId="77777777" w:rsidR="009D3DC8" w:rsidRDefault="009D3DC8">
      <w:pPr>
        <w:pStyle w:val="Heading3"/>
        <w:numPr>
          <w:ilvl w:val="2"/>
          <w:numId w:val="8"/>
        </w:numPr>
        <w:spacing w:line="240" w:lineRule="auto"/>
      </w:pPr>
      <w:r>
        <w:t>Probability of establishment and spread</w:t>
      </w:r>
    </w:p>
    <w:p w14:paraId="1CB44C8E"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above, the probability of establishment and of spread for the listed mealybug species is being based on the assessment for  </w:t>
      </w:r>
      <w:r>
        <w:rPr>
          <w:rFonts w:ascii="Times New Roman" w:hAnsi="Times New Roman"/>
          <w:i/>
          <w:sz w:val="24"/>
        </w:rPr>
        <w:t>P. cryptus</w:t>
      </w:r>
      <w:r>
        <w:rPr>
          <w:rFonts w:ascii="Times New Roman" w:hAnsi="Times New Roman"/>
          <w:sz w:val="24"/>
        </w:rPr>
        <w:t xml:space="preserve"> on mangosteens from Thailand (DAFF 2004b); for </w:t>
      </w:r>
      <w:r>
        <w:rPr>
          <w:rFonts w:ascii="Times New Roman" w:hAnsi="Times New Roman"/>
          <w:i/>
          <w:sz w:val="24"/>
        </w:rPr>
        <w:t>P. lilacinus</w:t>
      </w:r>
      <w:r>
        <w:rPr>
          <w:rFonts w:ascii="Times New Roman" w:hAnsi="Times New Roman"/>
          <w:sz w:val="24"/>
        </w:rPr>
        <w:t xml:space="preserve">, </w:t>
      </w:r>
      <w:r>
        <w:rPr>
          <w:rFonts w:ascii="Times New Roman" w:hAnsi="Times New Roman"/>
          <w:i/>
          <w:sz w:val="24"/>
        </w:rPr>
        <w:t>R. spinosus</w:t>
      </w:r>
      <w:r>
        <w:rPr>
          <w:rFonts w:ascii="Times New Roman" w:hAnsi="Times New Roman"/>
          <w:sz w:val="24"/>
        </w:rPr>
        <w:t xml:space="preserve"> and </w:t>
      </w:r>
      <w:r>
        <w:rPr>
          <w:rFonts w:ascii="Times New Roman" w:hAnsi="Times New Roman"/>
          <w:i/>
          <w:sz w:val="24"/>
        </w:rPr>
        <w:t>P. cryptus</w:t>
      </w:r>
      <w:r>
        <w:rPr>
          <w:rFonts w:ascii="Times New Roman" w:hAnsi="Times New Roman"/>
          <w:sz w:val="24"/>
        </w:rPr>
        <w:t xml:space="preserve"> on mangoes from Taiwan (Biosecurity Australia 2006b) and for </w:t>
      </w:r>
      <w:r>
        <w:rPr>
          <w:rFonts w:ascii="Times New Roman" w:hAnsi="Times New Roman"/>
          <w:i/>
          <w:sz w:val="24"/>
        </w:rPr>
        <w:t>P. minor</w:t>
      </w:r>
      <w:r>
        <w:rPr>
          <w:rFonts w:ascii="Times New Roman" w:hAnsi="Times New Roman"/>
          <w:sz w:val="24"/>
        </w:rPr>
        <w:t xml:space="preserve"> on bananas from the Philippines (Biosecurity Australia 2008). The ratings from the previous assessments are presented below:</w:t>
      </w:r>
    </w:p>
    <w:p w14:paraId="4BE99530" w14:textId="77777777" w:rsidR="009D3DC8" w:rsidRDefault="009D3DC8">
      <w:pPr>
        <w:spacing w:before="180" w:line="280" w:lineRule="atLeast"/>
        <w:rPr>
          <w:rFonts w:ascii="Times New Roman" w:hAnsi="Times New Roman"/>
          <w:sz w:val="24"/>
        </w:rPr>
      </w:pPr>
      <w:r>
        <w:rPr>
          <w:rFonts w:ascii="Times New Roman" w:hAnsi="Times New Roman"/>
          <w:sz w:val="24"/>
        </w:rPr>
        <w:t>Probability of establishment:</w:t>
      </w:r>
      <w:r>
        <w:rPr>
          <w:rFonts w:ascii="Times New Roman" w:hAnsi="Times New Roman"/>
          <w:sz w:val="24"/>
        </w:rPr>
        <w:tab/>
      </w:r>
      <w:r>
        <w:rPr>
          <w:rFonts w:ascii="Times New Roman" w:hAnsi="Times New Roman"/>
          <w:sz w:val="24"/>
        </w:rPr>
        <w:tab/>
      </w:r>
      <w:r>
        <w:rPr>
          <w:rFonts w:ascii="Times New Roman" w:hAnsi="Times New Roman"/>
          <w:b/>
          <w:sz w:val="24"/>
        </w:rPr>
        <w:t>HIGH</w:t>
      </w:r>
    </w:p>
    <w:p w14:paraId="5B0D4138" w14:textId="77777777" w:rsidR="009D3DC8" w:rsidRDefault="009D3DC8">
      <w:pPr>
        <w:spacing w:before="180" w:line="280" w:lineRule="atLeast"/>
        <w:rPr>
          <w:rFonts w:ascii="Times New Roman" w:hAnsi="Times New Roman"/>
          <w:sz w:val="24"/>
        </w:rPr>
      </w:pPr>
      <w:r>
        <w:rPr>
          <w:rFonts w:ascii="Times New Roman" w:hAnsi="Times New Roman"/>
          <w:sz w:val="24"/>
        </w:rPr>
        <w:t>Probability of spread: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HIGH</w:t>
      </w:r>
    </w:p>
    <w:p w14:paraId="268BDD5C" w14:textId="77777777" w:rsidR="009D3DC8" w:rsidRDefault="009D3DC8">
      <w:pPr>
        <w:pStyle w:val="Heading3"/>
        <w:numPr>
          <w:ilvl w:val="2"/>
          <w:numId w:val="8"/>
        </w:numPr>
        <w:spacing w:line="240" w:lineRule="auto"/>
      </w:pPr>
      <w:r>
        <w:lastRenderedPageBreak/>
        <w:t>Overall probability of entry, establishment and spread</w:t>
      </w:r>
    </w:p>
    <w:p w14:paraId="5EB7C7FE"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establishment and spread is determined by combining the probability of entry, of establishment and of spread using the matrix of rules shown in Table 2.2.</w:t>
      </w:r>
    </w:p>
    <w:p w14:paraId="4B80569B" w14:textId="77777777" w:rsidR="009D3DC8" w:rsidRDefault="009D3DC8">
      <w:pPr>
        <w:spacing w:before="180" w:line="280" w:lineRule="atLeast"/>
        <w:rPr>
          <w:rFonts w:ascii="Times New Roman" w:hAnsi="Times New Roman"/>
          <w:b/>
          <w:sz w:val="24"/>
        </w:rPr>
      </w:pPr>
      <w:r>
        <w:rPr>
          <w:rFonts w:ascii="Times New Roman" w:hAnsi="Times New Roman"/>
          <w:sz w:val="24"/>
        </w:rPr>
        <w:t xml:space="preserve">The likelihood that </w:t>
      </w:r>
      <w:r>
        <w:rPr>
          <w:rFonts w:ascii="Times New Roman" w:hAnsi="Times New Roman"/>
          <w:i/>
          <w:sz w:val="24"/>
        </w:rPr>
        <w:t>D. lepelleyi</w:t>
      </w:r>
      <w:r>
        <w:rPr>
          <w:rFonts w:ascii="Times New Roman" w:hAnsi="Times New Roman"/>
          <w:sz w:val="24"/>
        </w:rPr>
        <w:t xml:space="preserve">, </w:t>
      </w:r>
      <w:r>
        <w:rPr>
          <w:rFonts w:ascii="Times New Roman" w:hAnsi="Times New Roman"/>
          <w:i/>
          <w:sz w:val="24"/>
        </w:rPr>
        <w:t>E. hispidus</w:t>
      </w:r>
      <w:r>
        <w:rPr>
          <w:rFonts w:ascii="Times New Roman" w:hAnsi="Times New Roman"/>
          <w:sz w:val="24"/>
        </w:rPr>
        <w:t xml:space="preserve">, </w:t>
      </w:r>
      <w:r>
        <w:rPr>
          <w:rFonts w:ascii="Times New Roman" w:hAnsi="Times New Roman"/>
          <w:i/>
          <w:sz w:val="24"/>
        </w:rPr>
        <w:t>H. heterotrichus</w:t>
      </w:r>
      <w:r>
        <w:rPr>
          <w:rFonts w:ascii="Times New Roman" w:hAnsi="Times New Roman"/>
          <w:sz w:val="24"/>
        </w:rPr>
        <w:t xml:space="preserve">, </w:t>
      </w:r>
      <w:r>
        <w:rPr>
          <w:rFonts w:ascii="Times New Roman" w:hAnsi="Times New Roman"/>
          <w:i/>
          <w:sz w:val="24"/>
        </w:rPr>
        <w:t>P. interceptus</w:t>
      </w:r>
      <w:r>
        <w:rPr>
          <w:rFonts w:ascii="Times New Roman" w:hAnsi="Times New Roman"/>
          <w:sz w:val="24"/>
        </w:rPr>
        <w:t xml:space="preserve">, </w:t>
      </w:r>
      <w:r>
        <w:rPr>
          <w:rFonts w:ascii="Times New Roman" w:hAnsi="Times New Roman"/>
          <w:i/>
          <w:sz w:val="24"/>
        </w:rPr>
        <w:t>P. odontomachi</w:t>
      </w:r>
      <w:r>
        <w:rPr>
          <w:rFonts w:ascii="Times New Roman" w:hAnsi="Times New Roman"/>
          <w:sz w:val="24"/>
        </w:rPr>
        <w:t xml:space="preserve">, </w:t>
      </w:r>
      <w:r>
        <w:rPr>
          <w:rFonts w:ascii="Times New Roman" w:hAnsi="Times New Roman"/>
          <w:i/>
          <w:sz w:val="24"/>
        </w:rPr>
        <w:t>P. lilacinus,</w:t>
      </w:r>
      <w:r>
        <w:rPr>
          <w:rFonts w:ascii="Times New Roman" w:hAnsi="Times New Roman"/>
          <w:sz w:val="24"/>
        </w:rPr>
        <w:t xml:space="preserve"> </w:t>
      </w:r>
      <w:r>
        <w:rPr>
          <w:rFonts w:ascii="Times New Roman" w:hAnsi="Times New Roman"/>
          <w:i/>
          <w:sz w:val="24"/>
        </w:rPr>
        <w:t>P. aurantiacus, P. baliteus,</w:t>
      </w:r>
      <w:r>
        <w:rPr>
          <w:rFonts w:ascii="Times New Roman" w:hAnsi="Times New Roman"/>
          <w:sz w:val="24"/>
        </w:rPr>
        <w:t xml:space="preserve"> </w:t>
      </w:r>
      <w:r>
        <w:rPr>
          <w:rFonts w:ascii="Times New Roman" w:hAnsi="Times New Roman"/>
          <w:i/>
          <w:sz w:val="24"/>
        </w:rPr>
        <w:t>P. cryptus</w:t>
      </w:r>
      <w:r>
        <w:rPr>
          <w:rFonts w:ascii="Times New Roman" w:hAnsi="Times New Roman"/>
          <w:sz w:val="24"/>
        </w:rPr>
        <w:t xml:space="preserve">, and </w:t>
      </w:r>
      <w:r>
        <w:rPr>
          <w:rFonts w:ascii="Times New Roman" w:hAnsi="Times New Roman"/>
          <w:i/>
          <w:sz w:val="24"/>
        </w:rPr>
        <w:t xml:space="preserve">R. spinosus </w:t>
      </w:r>
      <w:r>
        <w:rPr>
          <w:rFonts w:ascii="Times New Roman" w:hAnsi="Times New Roman"/>
          <w:sz w:val="24"/>
        </w:rPr>
        <w:t xml:space="preserve">will enter Australia or that </w:t>
      </w:r>
      <w:r>
        <w:rPr>
          <w:rFonts w:ascii="Times New Roman" w:hAnsi="Times New Roman"/>
          <w:i/>
          <w:sz w:val="24"/>
        </w:rPr>
        <w:t>P. minor</w:t>
      </w:r>
      <w:r>
        <w:rPr>
          <w:rFonts w:ascii="Times New Roman" w:hAnsi="Times New Roman"/>
          <w:sz w:val="24"/>
        </w:rPr>
        <w:t xml:space="preserve"> will enter Western Australia</w:t>
      </w:r>
      <w:r>
        <w:rPr>
          <w:rFonts w:ascii="Times New Roman" w:hAnsi="Times New Roman"/>
          <w:i/>
          <w:sz w:val="24"/>
        </w:rPr>
        <w:t xml:space="preserve"> </w:t>
      </w:r>
      <w:r>
        <w:rPr>
          <w:rFonts w:ascii="Times New Roman" w:hAnsi="Times New Roman"/>
          <w:sz w:val="24"/>
        </w:rPr>
        <w:t xml:space="preserve">as a result of trade in mangosteen fruit from Indonesia, be distributed in a viable state to a susceptible host, establish in Australia and subsequently spread within Australia is: </w:t>
      </w:r>
      <w:r>
        <w:rPr>
          <w:rFonts w:ascii="Times New Roman" w:hAnsi="Times New Roman"/>
          <w:b/>
          <w:sz w:val="24"/>
        </w:rPr>
        <w:t>MODERATE.</w:t>
      </w:r>
    </w:p>
    <w:p w14:paraId="15875167" w14:textId="77777777" w:rsidR="009D3DC8" w:rsidRDefault="009D3DC8">
      <w:pPr>
        <w:pStyle w:val="Heading3"/>
        <w:numPr>
          <w:ilvl w:val="2"/>
          <w:numId w:val="8"/>
        </w:numPr>
        <w:spacing w:line="240" w:lineRule="auto"/>
      </w:pPr>
      <w:r>
        <w:t xml:space="preserve">Consequences </w:t>
      </w:r>
    </w:p>
    <w:p w14:paraId="034A8EC6"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consequences of the establishment of </w:t>
      </w:r>
      <w:r>
        <w:rPr>
          <w:rFonts w:ascii="Times New Roman" w:hAnsi="Times New Roman"/>
          <w:i/>
          <w:sz w:val="24"/>
        </w:rPr>
        <w:t>P. lilacinus, P. cryptus</w:t>
      </w:r>
      <w:r>
        <w:rPr>
          <w:rFonts w:ascii="Times New Roman" w:hAnsi="Times New Roman"/>
          <w:sz w:val="24"/>
        </w:rPr>
        <w:t xml:space="preserve">, </w:t>
      </w:r>
      <w:r>
        <w:rPr>
          <w:rFonts w:ascii="Times New Roman" w:hAnsi="Times New Roman"/>
          <w:i/>
          <w:sz w:val="24"/>
        </w:rPr>
        <w:t xml:space="preserve">P. minor </w:t>
      </w:r>
      <w:r>
        <w:rPr>
          <w:rFonts w:ascii="Times New Roman" w:hAnsi="Times New Roman"/>
          <w:sz w:val="24"/>
        </w:rPr>
        <w:t xml:space="preserve">and </w:t>
      </w:r>
      <w:r>
        <w:rPr>
          <w:rFonts w:ascii="Times New Roman" w:hAnsi="Times New Roman"/>
          <w:i/>
          <w:sz w:val="24"/>
        </w:rPr>
        <w:t>R. spinosus</w:t>
      </w:r>
      <w:r>
        <w:rPr>
          <w:rFonts w:ascii="Times New Roman" w:hAnsi="Times New Roman"/>
          <w:sz w:val="24"/>
        </w:rPr>
        <w:t xml:space="preserve"> in Australia have been estimated previously for mangosteens from Thailand (DAFF 2004b), mangoes from Taiwan (Biosecurity Australia 2006b), and bananas from the Philippines (Biosecurity Australia 2008). This estimate of impact scores is provided below. As the ratings in 2004 were conducted on a scale from A to F, they have been adjusted here to reflect a current rating scale from A to G.</w:t>
      </w:r>
    </w:p>
    <w:p w14:paraId="5E53F7CD" w14:textId="77777777" w:rsidR="009D3DC8" w:rsidRDefault="009D3DC8">
      <w:pPr>
        <w:spacing w:after="0" w:line="240" w:lineRule="auto"/>
        <w:rPr>
          <w:rFonts w:ascii="Times New Roman" w:hAnsi="Times New Roman"/>
          <w:sz w:val="24"/>
        </w:rPr>
      </w:pPr>
      <w:r>
        <w:rPr>
          <w:rFonts w:ascii="Times New Roman" w:hAnsi="Times New Roman"/>
          <w:sz w:val="24"/>
        </w:rPr>
        <w:t>Plant life or health</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56566451" w14:textId="77777777" w:rsidR="009D3DC8" w:rsidRDefault="009D3DC8">
      <w:pPr>
        <w:spacing w:after="0" w:line="240" w:lineRule="auto"/>
        <w:rPr>
          <w:rFonts w:ascii="Times New Roman" w:hAnsi="Times New Roman"/>
          <w:sz w:val="24"/>
        </w:rPr>
      </w:pPr>
      <w:r>
        <w:rPr>
          <w:rFonts w:ascii="Times New Roman" w:hAnsi="Times New Roman"/>
          <w:sz w:val="24"/>
        </w:rPr>
        <w:t xml:space="preserve">Any other aspects of the environment </w:t>
      </w:r>
      <w:r>
        <w:rPr>
          <w:rFonts w:ascii="Times New Roman" w:hAnsi="Times New Roman"/>
          <w:sz w:val="24"/>
        </w:rPr>
        <w:tab/>
      </w:r>
      <w:r>
        <w:rPr>
          <w:rFonts w:ascii="Times New Roman" w:hAnsi="Times New Roman"/>
          <w:b/>
          <w:sz w:val="24"/>
        </w:rPr>
        <w:t>B</w:t>
      </w:r>
    </w:p>
    <w:p w14:paraId="4B535709" w14:textId="77777777" w:rsidR="009D3DC8" w:rsidRDefault="009D3DC8">
      <w:pPr>
        <w:spacing w:after="0" w:line="240" w:lineRule="auto"/>
        <w:rPr>
          <w:rFonts w:ascii="Times New Roman" w:hAnsi="Times New Roman"/>
          <w:sz w:val="24"/>
        </w:rPr>
      </w:pPr>
      <w:r>
        <w:rPr>
          <w:rFonts w:ascii="Times New Roman" w:hAnsi="Times New Roman"/>
          <w:sz w:val="24"/>
        </w:rPr>
        <w:t xml:space="preserve">Eradication, control etc.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573EC56A" w14:textId="77777777" w:rsidR="009D3DC8" w:rsidRDefault="009D3DC8">
      <w:pPr>
        <w:spacing w:after="0" w:line="240" w:lineRule="auto"/>
        <w:rPr>
          <w:rFonts w:ascii="Times New Roman" w:hAnsi="Times New Roman"/>
          <w:sz w:val="24"/>
        </w:rPr>
      </w:pPr>
      <w:r>
        <w:rPr>
          <w:rFonts w:ascii="Times New Roman" w:hAnsi="Times New Roman"/>
          <w:sz w:val="24"/>
        </w:rPr>
        <w:t xml:space="preserve">Domestic trade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C</w:t>
      </w:r>
    </w:p>
    <w:p w14:paraId="1E2868D9" w14:textId="77777777" w:rsidR="009D3DC8" w:rsidRDefault="009D3DC8">
      <w:pPr>
        <w:spacing w:after="0" w:line="240" w:lineRule="auto"/>
        <w:rPr>
          <w:rFonts w:ascii="Times New Roman" w:hAnsi="Times New Roman"/>
          <w:sz w:val="24"/>
        </w:rPr>
      </w:pPr>
      <w:r>
        <w:rPr>
          <w:rFonts w:ascii="Times New Roman" w:hAnsi="Times New Roman"/>
          <w:sz w:val="24"/>
        </w:rPr>
        <w:t xml:space="preserve">International trade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0F4B118B" w14:textId="77777777" w:rsidR="009D3DC8" w:rsidRDefault="009D3DC8">
      <w:pPr>
        <w:spacing w:after="0" w:line="240" w:lineRule="auto"/>
        <w:rPr>
          <w:rFonts w:ascii="Times New Roman" w:hAnsi="Times New Roman"/>
          <w:b/>
          <w:sz w:val="24"/>
        </w:rPr>
      </w:pPr>
      <w:r>
        <w:rPr>
          <w:rFonts w:ascii="Times New Roman" w:hAnsi="Times New Roman"/>
          <w:sz w:val="24"/>
        </w:rPr>
        <w:t xml:space="preserve">Environment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B</w:t>
      </w:r>
    </w:p>
    <w:p w14:paraId="4DECCAA0"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Based on the description rules described in Table 2.4, that is, where the consequences of a pest with respect to one or more criteria are ‘D’, the overall consequences are estimated to be </w:t>
      </w:r>
      <w:r>
        <w:rPr>
          <w:rFonts w:ascii="Times New Roman" w:hAnsi="Times New Roman"/>
          <w:b/>
          <w:sz w:val="24"/>
        </w:rPr>
        <w:t>LOW</w:t>
      </w:r>
      <w:r>
        <w:rPr>
          <w:rFonts w:ascii="Times New Roman" w:hAnsi="Times New Roman"/>
          <w:sz w:val="24"/>
        </w:rPr>
        <w:t>.</w:t>
      </w:r>
    </w:p>
    <w:p w14:paraId="102640C2" w14:textId="77777777" w:rsidR="009D3DC8" w:rsidRDefault="009D3DC8">
      <w:pPr>
        <w:pStyle w:val="Heading3"/>
        <w:numPr>
          <w:ilvl w:val="2"/>
          <w:numId w:val="8"/>
        </w:numPr>
        <w:spacing w:line="240" w:lineRule="auto"/>
      </w:pPr>
      <w:r>
        <w:t>Unrestricted risk estimate</w:t>
      </w:r>
    </w:p>
    <w:p w14:paraId="268F03C8" w14:textId="77777777" w:rsidR="009D3DC8" w:rsidRDefault="009D3DC8">
      <w:pPr>
        <w:spacing w:before="180" w:after="180" w:line="280" w:lineRule="atLeast"/>
        <w:rPr>
          <w:rFonts w:ascii="Times New Roman" w:hAnsi="Times New Roman"/>
          <w:sz w:val="24"/>
        </w:rPr>
      </w:pPr>
      <w:r>
        <w:rPr>
          <w:rFonts w:ascii="Times New Roman" w:hAnsi="Times New Roman"/>
          <w:sz w:val="24"/>
        </w:rPr>
        <w:t>Unrestricted risk is the result of combining the probability of entry, establishment and spread with the estimate of consequences. Probabilities and consequences are combined using the risk estimation matrix shown in Table 2.5.</w:t>
      </w:r>
    </w:p>
    <w:tbl>
      <w:tblPr>
        <w:tblW w:w="9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9"/>
        <w:gridCol w:w="2977"/>
      </w:tblGrid>
      <w:tr w:rsidR="009D3DC8" w14:paraId="6A975E9F" w14:textId="77777777">
        <w:tc>
          <w:tcPr>
            <w:tcW w:w="9436" w:type="dxa"/>
            <w:gridSpan w:val="2"/>
            <w:shd w:val="clear" w:color="auto" w:fill="E0E0E0"/>
          </w:tcPr>
          <w:p w14:paraId="5790D710" w14:textId="77777777" w:rsidR="009D3DC8" w:rsidRDefault="009D3DC8">
            <w:pPr>
              <w:pStyle w:val="TableText1"/>
              <w:rPr>
                <w:rFonts w:ascii="Arial" w:hAnsi="Arial" w:cs="Arial"/>
                <w:b/>
              </w:rPr>
            </w:pPr>
            <w:r>
              <w:rPr>
                <w:rFonts w:ascii="Arial" w:hAnsi="Arial" w:cs="Arial"/>
                <w:b/>
              </w:rPr>
              <w:t xml:space="preserve">Unrestricted risk estimate for </w:t>
            </w:r>
            <w:r>
              <w:rPr>
                <w:rFonts w:ascii="Arial" w:hAnsi="Arial" w:cs="Arial"/>
                <w:b/>
                <w:i/>
                <w:szCs w:val="16"/>
              </w:rPr>
              <w:t xml:space="preserve">Dysmicoccus lepelleyi, Exallomochlus hispidus, Hordeolicoccus heterotrichus, Paracoccus interceptus, Paraputo odontomachi, Planococcus lilacinus, Planococcus minor, Pseudococcus aurantiacus, Pseudococcus baliteus, Pseudococcus cryptus </w:t>
            </w:r>
            <w:r>
              <w:rPr>
                <w:rFonts w:ascii="Arial" w:hAnsi="Arial" w:cs="Arial"/>
                <w:b/>
                <w:szCs w:val="16"/>
              </w:rPr>
              <w:t xml:space="preserve">and </w:t>
            </w:r>
            <w:r>
              <w:rPr>
                <w:rFonts w:ascii="Arial" w:hAnsi="Arial" w:cs="Arial"/>
                <w:b/>
                <w:i/>
                <w:szCs w:val="16"/>
              </w:rPr>
              <w:t>Rastrococcus spinosus</w:t>
            </w:r>
          </w:p>
        </w:tc>
      </w:tr>
      <w:tr w:rsidR="009D3DC8" w14:paraId="6466139B" w14:textId="77777777">
        <w:tc>
          <w:tcPr>
            <w:tcW w:w="6459" w:type="dxa"/>
            <w:tcBorders>
              <w:bottom w:val="single" w:sz="8" w:space="0" w:color="C0C0C0"/>
            </w:tcBorders>
          </w:tcPr>
          <w:p w14:paraId="4C15E37C" w14:textId="77777777" w:rsidR="009D3DC8" w:rsidRDefault="009D3DC8">
            <w:pPr>
              <w:pStyle w:val="TableText1"/>
              <w:rPr>
                <w:rFonts w:ascii="Arial" w:hAnsi="Arial" w:cs="Arial"/>
              </w:rPr>
            </w:pPr>
            <w:r>
              <w:rPr>
                <w:rFonts w:ascii="Arial" w:hAnsi="Arial" w:cs="Arial"/>
              </w:rPr>
              <w:t>Overall probability of entry, establishment and spread</w:t>
            </w:r>
          </w:p>
        </w:tc>
        <w:tc>
          <w:tcPr>
            <w:tcW w:w="2977" w:type="dxa"/>
            <w:tcBorders>
              <w:bottom w:val="single" w:sz="8" w:space="0" w:color="C0C0C0"/>
            </w:tcBorders>
          </w:tcPr>
          <w:p w14:paraId="7EC4F132" w14:textId="77777777" w:rsidR="009D3DC8" w:rsidRDefault="009D3DC8">
            <w:pPr>
              <w:pStyle w:val="TableText1"/>
              <w:rPr>
                <w:rFonts w:ascii="Arial" w:hAnsi="Arial" w:cs="Arial"/>
              </w:rPr>
            </w:pPr>
            <w:r>
              <w:rPr>
                <w:rFonts w:ascii="Arial" w:hAnsi="Arial" w:cs="Arial"/>
              </w:rPr>
              <w:t>Moderate</w:t>
            </w:r>
          </w:p>
        </w:tc>
      </w:tr>
      <w:tr w:rsidR="009D3DC8" w14:paraId="2497C4A2" w14:textId="77777777">
        <w:tc>
          <w:tcPr>
            <w:tcW w:w="6459" w:type="dxa"/>
            <w:tcBorders>
              <w:top w:val="single" w:sz="8" w:space="0" w:color="C0C0C0"/>
            </w:tcBorders>
          </w:tcPr>
          <w:p w14:paraId="3B0B18AC" w14:textId="77777777" w:rsidR="009D3DC8" w:rsidRDefault="009D3DC8">
            <w:pPr>
              <w:pStyle w:val="TableText1"/>
              <w:rPr>
                <w:rFonts w:ascii="Arial" w:hAnsi="Arial" w:cs="Arial"/>
              </w:rPr>
            </w:pPr>
            <w:r>
              <w:rPr>
                <w:rFonts w:ascii="Arial" w:hAnsi="Arial" w:cs="Arial"/>
              </w:rPr>
              <w:t>Consequences</w:t>
            </w:r>
          </w:p>
        </w:tc>
        <w:tc>
          <w:tcPr>
            <w:tcW w:w="2977" w:type="dxa"/>
            <w:tcBorders>
              <w:top w:val="single" w:sz="8" w:space="0" w:color="C0C0C0"/>
            </w:tcBorders>
          </w:tcPr>
          <w:p w14:paraId="33BE3F86" w14:textId="77777777" w:rsidR="009D3DC8" w:rsidRDefault="009D3DC8">
            <w:pPr>
              <w:pStyle w:val="TableText1"/>
              <w:rPr>
                <w:rFonts w:ascii="Arial" w:hAnsi="Arial" w:cs="Arial"/>
              </w:rPr>
            </w:pPr>
            <w:r>
              <w:rPr>
                <w:rFonts w:ascii="Arial" w:hAnsi="Arial" w:cs="Arial"/>
              </w:rPr>
              <w:t>Low</w:t>
            </w:r>
          </w:p>
        </w:tc>
      </w:tr>
      <w:tr w:rsidR="009D3DC8" w14:paraId="5E2D5865" w14:textId="77777777">
        <w:tc>
          <w:tcPr>
            <w:tcW w:w="6459" w:type="dxa"/>
          </w:tcPr>
          <w:p w14:paraId="6D5F433B" w14:textId="77777777" w:rsidR="009D3DC8" w:rsidRDefault="009D3DC8">
            <w:pPr>
              <w:pStyle w:val="TableText1"/>
              <w:rPr>
                <w:rFonts w:ascii="Arial" w:hAnsi="Arial" w:cs="Arial"/>
              </w:rPr>
            </w:pPr>
            <w:r>
              <w:rPr>
                <w:rFonts w:ascii="Arial" w:hAnsi="Arial" w:cs="Arial"/>
              </w:rPr>
              <w:t>Unrestricted risk</w:t>
            </w:r>
          </w:p>
        </w:tc>
        <w:tc>
          <w:tcPr>
            <w:tcW w:w="2977" w:type="dxa"/>
          </w:tcPr>
          <w:p w14:paraId="7AA31A1A" w14:textId="77777777" w:rsidR="009D3DC8" w:rsidRDefault="009D3DC8">
            <w:pPr>
              <w:pStyle w:val="TableText1"/>
              <w:rPr>
                <w:rFonts w:ascii="Arial" w:hAnsi="Arial" w:cs="Arial"/>
              </w:rPr>
            </w:pPr>
            <w:r>
              <w:rPr>
                <w:rFonts w:ascii="Arial" w:hAnsi="Arial" w:cs="Arial"/>
              </w:rPr>
              <w:t>Low</w:t>
            </w:r>
          </w:p>
        </w:tc>
      </w:tr>
    </w:tbl>
    <w:p w14:paraId="0CA50BC3"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the unrestricted risk estimate for </w:t>
      </w:r>
      <w:r>
        <w:rPr>
          <w:rFonts w:ascii="Times New Roman" w:hAnsi="Times New Roman"/>
          <w:i/>
          <w:sz w:val="24"/>
        </w:rPr>
        <w:t>D. lepelleyi, E. hispidus, H. heterotrichus, P. interceptus, P. odontomachi, P. lilacinus, P. minor, P. aurantiacus, P. baliteus, P. cryptus</w:t>
      </w:r>
      <w:r>
        <w:rPr>
          <w:rFonts w:ascii="Times New Roman" w:hAnsi="Times New Roman"/>
          <w:sz w:val="24"/>
        </w:rPr>
        <w:t xml:space="preserve">, and </w:t>
      </w:r>
      <w:r>
        <w:rPr>
          <w:rFonts w:ascii="Times New Roman" w:hAnsi="Times New Roman"/>
          <w:i/>
          <w:sz w:val="24"/>
        </w:rPr>
        <w:t>R. spinosus</w:t>
      </w:r>
      <w:r>
        <w:rPr>
          <w:rFonts w:ascii="Times New Roman" w:hAnsi="Times New Roman"/>
          <w:sz w:val="24"/>
        </w:rPr>
        <w:t xml:space="preserve"> has been assessed as ‘low’, which is above Australia’s ALOP. Therefore, specific risk management measures are required for these pests.</w:t>
      </w:r>
    </w:p>
    <w:p w14:paraId="32C0EEFD" w14:textId="77777777" w:rsidR="009D3DC8" w:rsidRDefault="009D3DC8">
      <w:pPr>
        <w:rPr>
          <w:sz w:val="24"/>
        </w:rPr>
      </w:pPr>
      <w:r>
        <w:rPr>
          <w:rFonts w:ascii="Arial" w:hAnsi="Arial"/>
          <w:b/>
          <w:snapToGrid w:val="0"/>
          <w:color w:val="000000"/>
          <w:w w:val="0"/>
          <w:sz w:val="28"/>
          <w:szCs w:val="28"/>
        </w:rPr>
        <w:br w:type="page"/>
      </w:r>
    </w:p>
    <w:p w14:paraId="2E9D2DC3" w14:textId="77777777" w:rsidR="009D3DC8" w:rsidRDefault="009D3DC8">
      <w:pPr>
        <w:pStyle w:val="Heading2"/>
        <w:numPr>
          <w:ilvl w:val="1"/>
          <w:numId w:val="8"/>
        </w:numPr>
        <w:spacing w:line="240" w:lineRule="auto"/>
      </w:pPr>
      <w:bookmarkStart w:id="82" w:name="_Toc325618447"/>
      <w:r>
        <w:t>Ants [Hymenoptera: Formicidae]</w:t>
      </w:r>
      <w:bookmarkEnd w:id="82"/>
    </w:p>
    <w:p w14:paraId="5EF1611D" w14:textId="77777777" w:rsidR="009D3DC8" w:rsidRDefault="009D3DC8">
      <w:pPr>
        <w:spacing w:after="120"/>
        <w:rPr>
          <w:rFonts w:ascii="Arial" w:hAnsi="Arial" w:cs="Arial"/>
          <w:b/>
          <w:i/>
          <w:sz w:val="24"/>
        </w:rPr>
      </w:pPr>
      <w:r>
        <w:rPr>
          <w:rFonts w:ascii="Arial" w:hAnsi="Arial" w:cs="Arial"/>
          <w:b/>
          <w:i/>
          <w:sz w:val="24"/>
        </w:rPr>
        <w:t xml:space="preserve">Camponotus </w:t>
      </w:r>
      <w:r>
        <w:rPr>
          <w:rFonts w:ascii="Arial" w:hAnsi="Arial" w:cs="Arial"/>
          <w:b/>
          <w:sz w:val="24"/>
        </w:rPr>
        <w:t>sp</w:t>
      </w:r>
      <w:r>
        <w:rPr>
          <w:rFonts w:ascii="Arial" w:hAnsi="Arial" w:cs="Arial"/>
          <w:b/>
          <w:i/>
          <w:sz w:val="24"/>
        </w:rPr>
        <w:t xml:space="preserve">., Cardiocondyla </w:t>
      </w:r>
      <w:r>
        <w:rPr>
          <w:rFonts w:ascii="Arial" w:hAnsi="Arial" w:cs="Arial"/>
          <w:b/>
          <w:sz w:val="24"/>
        </w:rPr>
        <w:t>sp</w:t>
      </w:r>
      <w:r>
        <w:rPr>
          <w:rFonts w:ascii="Arial" w:hAnsi="Arial" w:cs="Arial"/>
          <w:b/>
          <w:i/>
          <w:sz w:val="24"/>
        </w:rPr>
        <w:t xml:space="preserve">., Crematogaster </w:t>
      </w:r>
      <w:r>
        <w:rPr>
          <w:rFonts w:ascii="Arial" w:hAnsi="Arial" w:cs="Arial"/>
          <w:b/>
          <w:sz w:val="24"/>
        </w:rPr>
        <w:t>sp</w:t>
      </w:r>
      <w:r>
        <w:rPr>
          <w:rFonts w:ascii="Arial" w:hAnsi="Arial" w:cs="Arial"/>
          <w:b/>
          <w:i/>
          <w:sz w:val="24"/>
        </w:rPr>
        <w:t xml:space="preserve">., Dolichoderus sp. </w:t>
      </w:r>
      <w:r>
        <w:rPr>
          <w:rFonts w:ascii="Arial" w:hAnsi="Arial" w:cs="Arial"/>
          <w:b/>
          <w:sz w:val="24"/>
          <w:vertAlign w:val="superscript"/>
        </w:rPr>
        <w:t>EP</w:t>
      </w:r>
      <w:r>
        <w:rPr>
          <w:rFonts w:ascii="Arial" w:hAnsi="Arial" w:cs="Arial"/>
          <w:b/>
          <w:i/>
          <w:sz w:val="24"/>
        </w:rPr>
        <w:t xml:space="preserve">, Iridomyrmex </w:t>
      </w:r>
      <w:r>
        <w:rPr>
          <w:rFonts w:ascii="Arial" w:hAnsi="Arial" w:cs="Arial"/>
          <w:b/>
          <w:sz w:val="24"/>
        </w:rPr>
        <w:t>sp</w:t>
      </w:r>
      <w:r>
        <w:rPr>
          <w:rFonts w:ascii="Arial" w:hAnsi="Arial" w:cs="Arial"/>
          <w:b/>
          <w:i/>
          <w:sz w:val="24"/>
        </w:rPr>
        <w:t xml:space="preserve">., Monomorium </w:t>
      </w:r>
      <w:r>
        <w:rPr>
          <w:rFonts w:ascii="Arial" w:hAnsi="Arial" w:cs="Arial"/>
          <w:b/>
          <w:sz w:val="24"/>
        </w:rPr>
        <w:t>sp</w:t>
      </w:r>
      <w:r>
        <w:rPr>
          <w:rFonts w:ascii="Arial" w:hAnsi="Arial" w:cs="Arial"/>
          <w:b/>
          <w:i/>
          <w:sz w:val="24"/>
        </w:rPr>
        <w:t xml:space="preserve">., Paratrechina </w:t>
      </w:r>
      <w:r>
        <w:rPr>
          <w:rFonts w:ascii="Arial" w:hAnsi="Arial" w:cs="Arial"/>
          <w:b/>
          <w:sz w:val="24"/>
        </w:rPr>
        <w:t>sp</w:t>
      </w:r>
      <w:r>
        <w:rPr>
          <w:rFonts w:ascii="Arial" w:hAnsi="Arial" w:cs="Arial"/>
          <w:b/>
          <w:i/>
          <w:sz w:val="24"/>
        </w:rPr>
        <w:t xml:space="preserve">., Pheidole </w:t>
      </w:r>
      <w:r>
        <w:rPr>
          <w:rFonts w:ascii="Arial" w:hAnsi="Arial" w:cs="Arial"/>
          <w:b/>
          <w:sz w:val="24"/>
        </w:rPr>
        <w:t>sp</w:t>
      </w:r>
      <w:r>
        <w:rPr>
          <w:rFonts w:ascii="Arial" w:hAnsi="Arial" w:cs="Arial"/>
          <w:b/>
          <w:i/>
          <w:sz w:val="24"/>
        </w:rPr>
        <w:t xml:space="preserve">., Plagiolepis </w:t>
      </w:r>
      <w:r>
        <w:rPr>
          <w:rFonts w:ascii="Arial" w:hAnsi="Arial" w:cs="Arial"/>
          <w:b/>
          <w:sz w:val="24"/>
        </w:rPr>
        <w:t>sp</w:t>
      </w:r>
      <w:r>
        <w:rPr>
          <w:rFonts w:ascii="Arial" w:hAnsi="Arial" w:cs="Arial"/>
          <w:b/>
          <w:i/>
          <w:sz w:val="24"/>
        </w:rPr>
        <w:t xml:space="preserve">., Polyrhachis </w:t>
      </w:r>
      <w:r>
        <w:rPr>
          <w:rFonts w:ascii="Arial" w:hAnsi="Arial" w:cs="Arial"/>
          <w:b/>
          <w:sz w:val="24"/>
        </w:rPr>
        <w:t>sp</w:t>
      </w:r>
      <w:r>
        <w:rPr>
          <w:rFonts w:ascii="Arial" w:hAnsi="Arial" w:cs="Arial"/>
          <w:b/>
          <w:i/>
          <w:sz w:val="24"/>
        </w:rPr>
        <w:t xml:space="preserve">., Tapinoma </w:t>
      </w:r>
      <w:r>
        <w:rPr>
          <w:rFonts w:ascii="Arial" w:hAnsi="Arial" w:cs="Arial"/>
          <w:b/>
          <w:sz w:val="24"/>
        </w:rPr>
        <w:t>sp</w:t>
      </w:r>
      <w:r>
        <w:rPr>
          <w:rFonts w:ascii="Arial" w:hAnsi="Arial" w:cs="Arial"/>
          <w:b/>
          <w:i/>
          <w:sz w:val="24"/>
        </w:rPr>
        <w:t xml:space="preserve">., Technomyrmex </w:t>
      </w:r>
      <w:r>
        <w:rPr>
          <w:rFonts w:ascii="Arial" w:hAnsi="Arial" w:cs="Arial"/>
          <w:b/>
          <w:sz w:val="24"/>
        </w:rPr>
        <w:t>sp</w:t>
      </w:r>
      <w:r>
        <w:rPr>
          <w:rFonts w:ascii="Arial" w:hAnsi="Arial" w:cs="Arial"/>
          <w:b/>
          <w:i/>
          <w:sz w:val="24"/>
        </w:rPr>
        <w:t xml:space="preserve">. </w:t>
      </w:r>
      <w:r>
        <w:rPr>
          <w:rFonts w:ascii="Arial" w:hAnsi="Arial" w:cs="Arial"/>
          <w:b/>
          <w:sz w:val="24"/>
          <w:vertAlign w:val="superscript"/>
        </w:rPr>
        <w:t>EP</w:t>
      </w:r>
      <w:r>
        <w:rPr>
          <w:rFonts w:ascii="Arial" w:hAnsi="Arial" w:cs="Arial"/>
          <w:b/>
          <w:i/>
          <w:sz w:val="24"/>
        </w:rPr>
        <w:t xml:space="preserve">, Tetramorium </w:t>
      </w:r>
      <w:r>
        <w:rPr>
          <w:rFonts w:ascii="Arial" w:hAnsi="Arial" w:cs="Arial"/>
          <w:b/>
          <w:sz w:val="24"/>
        </w:rPr>
        <w:t>sp</w:t>
      </w:r>
      <w:r>
        <w:rPr>
          <w:rFonts w:ascii="Arial" w:hAnsi="Arial" w:cs="Arial"/>
          <w:b/>
          <w:i/>
          <w:sz w:val="24"/>
        </w:rPr>
        <w:t xml:space="preserve">. </w:t>
      </w:r>
      <w:r>
        <w:rPr>
          <w:rFonts w:ascii="Arial" w:hAnsi="Arial" w:cs="Arial"/>
          <w:b/>
          <w:sz w:val="24"/>
        </w:rPr>
        <w:t xml:space="preserve">and </w:t>
      </w:r>
      <w:r>
        <w:rPr>
          <w:rFonts w:ascii="Arial" w:hAnsi="Arial" w:cs="Arial"/>
          <w:b/>
          <w:i/>
          <w:sz w:val="24"/>
        </w:rPr>
        <w:t xml:space="preserve">Wasmannia auropunctata </w:t>
      </w:r>
      <w:r>
        <w:rPr>
          <w:rFonts w:ascii="Arial" w:hAnsi="Arial" w:cs="Arial"/>
          <w:b/>
          <w:sz w:val="24"/>
          <w:vertAlign w:val="superscript"/>
        </w:rPr>
        <w:t>EP</w:t>
      </w:r>
    </w:p>
    <w:p w14:paraId="6D27761E" w14:textId="77777777" w:rsidR="009D3DC8" w:rsidRDefault="009D3DC8">
      <w:pPr>
        <w:spacing w:before="180" w:line="280" w:lineRule="atLeast"/>
        <w:rPr>
          <w:rFonts w:ascii="Times New Roman" w:hAnsi="Times New Roman"/>
          <w:sz w:val="24"/>
        </w:rPr>
      </w:pPr>
      <w:r>
        <w:rPr>
          <w:rFonts w:ascii="Times New Roman" w:hAnsi="Times New Roman"/>
          <w:sz w:val="24"/>
        </w:rPr>
        <w:t>The role of ants is very important in the ecology of many insect pests in the tropics. In Indonesian agriculture, ants cause only limited direct damage as little living plant material other than seeds is taken as food (Kalshoven 1981). However, the indirect influence of ants is considerable. Ants are attracted to the honeydew excreted by sap-sucking hemipterans, and in exchange, ants protect the bugs from their natural enemies and the growth of sooty mould (Lach and Thomas 2008). Invasive ants may be especially adept at tending hemipterans because of their liking for carbohydrate resources, their aggression and abundance (Helms and Vinson 2002; Holway</w:t>
      </w:r>
      <w:r>
        <w:rPr>
          <w:rFonts w:ascii="Times New Roman" w:hAnsi="Times New Roman"/>
          <w:i/>
          <w:sz w:val="24"/>
        </w:rPr>
        <w:t xml:space="preserve"> et al.</w:t>
      </w:r>
      <w:r>
        <w:rPr>
          <w:rFonts w:ascii="Times New Roman" w:hAnsi="Times New Roman"/>
          <w:sz w:val="24"/>
        </w:rPr>
        <w:t xml:space="preserve"> 2002). Ants also harvest seeds, feed on nursery seedlings, and are a nuisance to farmers and agricultural workers due to their stings and bites as well as assist in the distribution of weed seeds (Kalshoven 1981).</w:t>
      </w:r>
    </w:p>
    <w:p w14:paraId="1DEB3BE9" w14:textId="77777777" w:rsidR="009D3DC8" w:rsidRDefault="009D3DC8">
      <w:pPr>
        <w:spacing w:before="180" w:line="280" w:lineRule="atLeast"/>
        <w:rPr>
          <w:rFonts w:ascii="Times New Roman" w:hAnsi="Times New Roman"/>
          <w:sz w:val="24"/>
        </w:rPr>
      </w:pPr>
      <w:r>
        <w:rPr>
          <w:rFonts w:ascii="Times New Roman" w:hAnsi="Times New Roman"/>
          <w:sz w:val="24"/>
        </w:rPr>
        <w:t>The biology of the ant species in these 14 genera is considered sufficiently similar to justify combining them into a single assessment. In this assessment, the term ‘ants’ is used to refer to these genera unless otherwise specified.</w:t>
      </w:r>
    </w:p>
    <w:p w14:paraId="64661968" w14:textId="77777777" w:rsidR="009D3DC8" w:rsidRDefault="009D3DC8">
      <w:pPr>
        <w:spacing w:before="180" w:line="280" w:lineRule="atLeast"/>
        <w:rPr>
          <w:rFonts w:ascii="Times New Roman" w:hAnsi="Times New Roman"/>
          <w:sz w:val="24"/>
        </w:rPr>
      </w:pPr>
      <w:r>
        <w:rPr>
          <w:rFonts w:ascii="Times New Roman" w:hAnsi="Times New Roman"/>
          <w:i/>
          <w:sz w:val="24"/>
        </w:rPr>
        <w:t>Crematogaster</w:t>
      </w:r>
      <w:r>
        <w:rPr>
          <w:rFonts w:ascii="Times New Roman" w:hAnsi="Times New Roman"/>
          <w:sz w:val="24"/>
        </w:rPr>
        <w:t xml:space="preserve"> include many species of tree-dwelling ants which form colonies in enlarged bark crevices of trunks or branches. They feed on the sugary substances produced by sucking insects, on animal refuse and are occasionally carnivorous. They frequently construct protected covers over aphid and mealybug colonies which leads to the enhanced development of these sucking insects (Kalshoven 1981).</w:t>
      </w:r>
    </w:p>
    <w:p w14:paraId="3BE99ABA" w14:textId="77777777" w:rsidR="009D3DC8" w:rsidRDefault="009D3DC8">
      <w:pPr>
        <w:spacing w:before="180" w:line="280" w:lineRule="atLeast"/>
        <w:rPr>
          <w:rFonts w:ascii="Times New Roman" w:hAnsi="Times New Roman"/>
          <w:sz w:val="24"/>
        </w:rPr>
      </w:pPr>
      <w:r>
        <w:rPr>
          <w:rFonts w:ascii="Times New Roman" w:hAnsi="Times New Roman"/>
          <w:i/>
          <w:sz w:val="24"/>
        </w:rPr>
        <w:t>Dolichoderus</w:t>
      </w:r>
      <w:r>
        <w:rPr>
          <w:rFonts w:ascii="Times New Roman" w:hAnsi="Times New Roman"/>
          <w:sz w:val="24"/>
        </w:rPr>
        <w:t xml:space="preserve"> is an important genus of ants that feed mainly on the honeydew produced by sucking insects, which creates a close symbiosis. They nest in shaded sites in trees, seldom on the ground (Kalshoven 1981). For example, </w:t>
      </w:r>
      <w:r>
        <w:rPr>
          <w:rFonts w:ascii="Times New Roman" w:hAnsi="Times New Roman"/>
          <w:i/>
          <w:sz w:val="24"/>
        </w:rPr>
        <w:t>Dolichoderus bituberculatus</w:t>
      </w:r>
      <w:r>
        <w:rPr>
          <w:rFonts w:ascii="Times New Roman" w:hAnsi="Times New Roman"/>
          <w:sz w:val="24"/>
        </w:rPr>
        <w:t xml:space="preserve"> is a very common tree</w:t>
      </w:r>
      <w:r>
        <w:rPr>
          <w:rFonts w:ascii="Times New Roman" w:hAnsi="Times New Roman"/>
          <w:b/>
          <w:sz w:val="24"/>
        </w:rPr>
        <w:t>-</w:t>
      </w:r>
      <w:r>
        <w:rPr>
          <w:rFonts w:ascii="Times New Roman" w:hAnsi="Times New Roman"/>
          <w:sz w:val="24"/>
        </w:rPr>
        <w:t>dwelling species that occurs in shaded places in cultivated areas in all parts of Java below 1300 m. The ants feed on honeydew, as well as nectar from flowers, resinous secretions (bamboo), pollen and fruiting fungal structures. These ants regularly tend the long tailed mealybug (</w:t>
      </w:r>
      <w:r>
        <w:rPr>
          <w:rFonts w:ascii="Times New Roman" w:hAnsi="Times New Roman"/>
          <w:i/>
          <w:sz w:val="24"/>
        </w:rPr>
        <w:t>Planococcus lilacinus</w:t>
      </w:r>
      <w:r>
        <w:rPr>
          <w:rFonts w:ascii="Times New Roman" w:hAnsi="Times New Roman"/>
          <w:sz w:val="24"/>
        </w:rPr>
        <w:t>), green scale (</w:t>
      </w:r>
      <w:r>
        <w:rPr>
          <w:rFonts w:ascii="Times New Roman" w:hAnsi="Times New Roman"/>
          <w:i/>
          <w:sz w:val="24"/>
        </w:rPr>
        <w:t>Coccus viridis</w:t>
      </w:r>
      <w:r>
        <w:rPr>
          <w:rFonts w:ascii="Times New Roman" w:hAnsi="Times New Roman"/>
          <w:sz w:val="24"/>
        </w:rPr>
        <w:t>), white flies (Aleyrodidae), small tree hoppers (Membracidae) and Psyllidae (Kalshoven 1981). It is known that the presence of the ants favours the development of the green scale as well as the white cacao mealybug. The mealybugs are protected by the ants which cover the colonies with papery material (Kalshoven 1981). The survival of the mealybug may depend on the presence of these ants (Kalshoven 1981).</w:t>
      </w:r>
    </w:p>
    <w:p w14:paraId="0BE19349" w14:textId="77777777" w:rsidR="009D3DC8" w:rsidRDefault="009D3DC8">
      <w:pPr>
        <w:spacing w:before="180" w:line="280" w:lineRule="atLeast"/>
        <w:rPr>
          <w:rFonts w:ascii="Times New Roman" w:hAnsi="Times New Roman"/>
          <w:sz w:val="24"/>
        </w:rPr>
      </w:pPr>
      <w:r>
        <w:rPr>
          <w:rFonts w:ascii="Times New Roman" w:hAnsi="Times New Roman"/>
          <w:i/>
          <w:sz w:val="24"/>
        </w:rPr>
        <w:t>Iridomyrmex</w:t>
      </w:r>
      <w:r>
        <w:rPr>
          <w:rFonts w:ascii="Times New Roman" w:hAnsi="Times New Roman"/>
          <w:sz w:val="24"/>
        </w:rPr>
        <w:t xml:space="preserve"> species are both ground and tree</w:t>
      </w:r>
      <w:r>
        <w:rPr>
          <w:rFonts w:ascii="Times New Roman" w:hAnsi="Times New Roman"/>
          <w:b/>
          <w:sz w:val="24"/>
        </w:rPr>
        <w:t>-</w:t>
      </w:r>
      <w:r>
        <w:rPr>
          <w:rFonts w:ascii="Times New Roman" w:hAnsi="Times New Roman"/>
          <w:sz w:val="24"/>
        </w:rPr>
        <w:t>dwelling and may assist in the distribution of noxious epiphytic plants on crops in Indonesia (Kalshoven 1981).</w:t>
      </w:r>
    </w:p>
    <w:p w14:paraId="67DC1675" w14:textId="77777777" w:rsidR="009D3DC8" w:rsidRDefault="009D3DC8">
      <w:pPr>
        <w:spacing w:before="180" w:line="280" w:lineRule="atLeast"/>
        <w:rPr>
          <w:rFonts w:ascii="Times New Roman" w:hAnsi="Times New Roman"/>
          <w:sz w:val="24"/>
        </w:rPr>
      </w:pPr>
      <w:r>
        <w:rPr>
          <w:rFonts w:ascii="Times New Roman" w:hAnsi="Times New Roman"/>
          <w:i/>
          <w:sz w:val="24"/>
        </w:rPr>
        <w:t>Monomorium</w:t>
      </w:r>
      <w:r>
        <w:rPr>
          <w:rFonts w:ascii="Times New Roman" w:hAnsi="Times New Roman"/>
          <w:sz w:val="24"/>
        </w:rPr>
        <w:t xml:space="preserve"> species live mostly above ground in narrow spaces and crevices. For example, </w:t>
      </w:r>
      <w:r>
        <w:rPr>
          <w:rFonts w:ascii="Times New Roman" w:hAnsi="Times New Roman"/>
          <w:i/>
          <w:sz w:val="24"/>
        </w:rPr>
        <w:t>Monomorium floricola</w:t>
      </w:r>
      <w:r>
        <w:rPr>
          <w:rFonts w:ascii="Times New Roman" w:hAnsi="Times New Roman"/>
          <w:sz w:val="24"/>
        </w:rPr>
        <w:t xml:space="preserve"> is common in the field in Indonesia, tending aphids in shrubs and trees (Kalshoven 1981).</w:t>
      </w:r>
    </w:p>
    <w:p w14:paraId="01567687" w14:textId="77777777" w:rsidR="009D3DC8" w:rsidRDefault="009D3DC8">
      <w:pPr>
        <w:spacing w:before="180" w:line="280" w:lineRule="atLeast"/>
        <w:rPr>
          <w:rFonts w:ascii="Times New Roman" w:hAnsi="Times New Roman"/>
          <w:sz w:val="24"/>
        </w:rPr>
      </w:pPr>
      <w:r>
        <w:rPr>
          <w:rFonts w:ascii="Times New Roman" w:hAnsi="Times New Roman"/>
          <w:i/>
          <w:sz w:val="24"/>
        </w:rPr>
        <w:lastRenderedPageBreak/>
        <w:t>Plagiolepis</w:t>
      </w:r>
      <w:r>
        <w:rPr>
          <w:rFonts w:ascii="Times New Roman" w:hAnsi="Times New Roman"/>
          <w:sz w:val="24"/>
        </w:rPr>
        <w:t xml:space="preserve"> and </w:t>
      </w:r>
      <w:r>
        <w:rPr>
          <w:rFonts w:ascii="Times New Roman" w:hAnsi="Times New Roman"/>
          <w:i/>
          <w:sz w:val="24"/>
        </w:rPr>
        <w:t>Anoplolepis</w:t>
      </w:r>
      <w:r>
        <w:rPr>
          <w:rFonts w:ascii="Times New Roman" w:hAnsi="Times New Roman"/>
          <w:sz w:val="24"/>
        </w:rPr>
        <w:t xml:space="preserve"> species nest on the surface of the ground in leaf litter or decaying stems. One species, </w:t>
      </w:r>
      <w:r>
        <w:rPr>
          <w:rFonts w:ascii="Times New Roman" w:hAnsi="Times New Roman"/>
          <w:i/>
          <w:sz w:val="24"/>
        </w:rPr>
        <w:t>A. gracilipes</w:t>
      </w:r>
      <w:r>
        <w:rPr>
          <w:rFonts w:ascii="Times New Roman" w:hAnsi="Times New Roman"/>
          <w:sz w:val="24"/>
        </w:rPr>
        <w:t xml:space="preserve"> is a very common ant found in Java up to 1200 m (Kalshoven 1981) and has been spread throughout the tropics by human activity (CSIRO 2011). It plays an important role in tending pests such as mealybugs, scales and cicadellid leafhoppers for their honeydew and therefore is considered a pest of several crops (Kalshoven 1981; GISD 2009). The ants feed on the honeydew from coccids and cicadellid leafhoppers, in coffee on </w:t>
      </w:r>
      <w:r>
        <w:rPr>
          <w:rFonts w:ascii="Times New Roman" w:hAnsi="Times New Roman"/>
          <w:i/>
          <w:sz w:val="24"/>
        </w:rPr>
        <w:t>Coccus viridis</w:t>
      </w:r>
      <w:r>
        <w:rPr>
          <w:rFonts w:ascii="Times New Roman" w:hAnsi="Times New Roman"/>
          <w:sz w:val="24"/>
        </w:rPr>
        <w:t xml:space="preserve"> and </w:t>
      </w:r>
      <w:r>
        <w:rPr>
          <w:rFonts w:ascii="Times New Roman" w:hAnsi="Times New Roman"/>
          <w:i/>
          <w:sz w:val="24"/>
        </w:rPr>
        <w:t>Planococcus citri</w:t>
      </w:r>
      <w:r>
        <w:rPr>
          <w:rFonts w:ascii="Times New Roman" w:hAnsi="Times New Roman"/>
          <w:sz w:val="24"/>
        </w:rPr>
        <w:t xml:space="preserve">, in cacao on </w:t>
      </w:r>
      <w:r>
        <w:rPr>
          <w:rFonts w:ascii="Times New Roman" w:hAnsi="Times New Roman"/>
          <w:i/>
          <w:sz w:val="24"/>
        </w:rPr>
        <w:t>P. lilacinus</w:t>
      </w:r>
      <w:r>
        <w:rPr>
          <w:rFonts w:ascii="Times New Roman" w:hAnsi="Times New Roman"/>
          <w:sz w:val="24"/>
        </w:rPr>
        <w:t xml:space="preserve">, on mango on the cicadellid leafhopper, </w:t>
      </w:r>
      <w:r>
        <w:rPr>
          <w:rFonts w:ascii="Times New Roman" w:hAnsi="Times New Roman"/>
          <w:i/>
          <w:sz w:val="24"/>
        </w:rPr>
        <w:t>Idiocerus</w:t>
      </w:r>
      <w:r>
        <w:rPr>
          <w:rFonts w:ascii="Times New Roman" w:hAnsi="Times New Roman"/>
          <w:sz w:val="24"/>
        </w:rPr>
        <w:t xml:space="preserve"> (Kalshoven 1981). The ants tend the green coccid, enhancing the survival rate of this pest; parasitism of the coccids decreases, which can lead to a 20-fold increase in the number of progeny produced. A similar situation exists on coffee in east Java, where the mealybug </w:t>
      </w:r>
      <w:r>
        <w:rPr>
          <w:rFonts w:ascii="Times New Roman" w:hAnsi="Times New Roman"/>
          <w:i/>
          <w:sz w:val="24"/>
        </w:rPr>
        <w:t>Planococcus citri</w:t>
      </w:r>
      <w:r>
        <w:rPr>
          <w:rFonts w:ascii="Times New Roman" w:hAnsi="Times New Roman"/>
          <w:sz w:val="24"/>
        </w:rPr>
        <w:t xml:space="preserve"> is tended during the rainy season (Kalshoven 1981).</w:t>
      </w:r>
    </w:p>
    <w:p w14:paraId="6D0DBB5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An invasive species of </w:t>
      </w:r>
      <w:r>
        <w:rPr>
          <w:rFonts w:ascii="Times New Roman" w:hAnsi="Times New Roman"/>
          <w:i/>
          <w:sz w:val="24"/>
        </w:rPr>
        <w:t>Technomyrmex</w:t>
      </w:r>
      <w:r>
        <w:rPr>
          <w:rFonts w:ascii="Times New Roman" w:hAnsi="Times New Roman"/>
          <w:sz w:val="24"/>
        </w:rPr>
        <w:t>, the white-footed ant (</w:t>
      </w:r>
      <w:r>
        <w:rPr>
          <w:rFonts w:ascii="Times New Roman" w:hAnsi="Times New Roman"/>
          <w:i/>
          <w:sz w:val="24"/>
        </w:rPr>
        <w:t>Technomyrmex albipes</w:t>
      </w:r>
      <w:r>
        <w:rPr>
          <w:rFonts w:ascii="Times New Roman" w:hAnsi="Times New Roman"/>
          <w:sz w:val="24"/>
        </w:rPr>
        <w:t xml:space="preserve">) is widespread throughout the Indo-Australian region and is known to feed on honeydew secreted by mealybugs, aphids, soft scales and whiteflies. </w:t>
      </w:r>
      <w:r>
        <w:rPr>
          <w:rFonts w:ascii="Times New Roman" w:hAnsi="Times New Roman"/>
          <w:i/>
          <w:sz w:val="24"/>
        </w:rPr>
        <w:t>Technomyrmex albipes</w:t>
      </w:r>
      <w:r>
        <w:rPr>
          <w:rFonts w:ascii="Times New Roman" w:hAnsi="Times New Roman"/>
          <w:sz w:val="24"/>
        </w:rPr>
        <w:t xml:space="preserve"> farms these sap-sucking Hemiptera, protecting them from parasites and predators and in areas where this ant is present parasitisation of mealybugs is lower and predation by other arthropods is lower (Nechols and Seibert 1985; Tenbrink and Hara 1992b).</w:t>
      </w:r>
    </w:p>
    <w:p w14:paraId="42D9999B"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little fire ant, </w:t>
      </w:r>
      <w:r>
        <w:rPr>
          <w:rFonts w:ascii="Times New Roman" w:hAnsi="Times New Roman"/>
          <w:i/>
          <w:sz w:val="24"/>
        </w:rPr>
        <w:t>Wasmannia auropunctata</w:t>
      </w:r>
      <w:r>
        <w:rPr>
          <w:rFonts w:ascii="Times New Roman" w:hAnsi="Times New Roman"/>
          <w:sz w:val="24"/>
        </w:rPr>
        <w:t xml:space="preserve">, nests in twigs and leaf litter as well as inside houses (Smith 1965; Armbrecht and Ulloa-Chacón 2003; Brooks and Nickerson 2011). As an invasive ant it readily invades disturbed habitats, such as forest edges or agricultural fields (Ness and Bronstein 2004) and is able to exploit resources including nectar and honeydew residues of hemipteran insects such as coccids, leafhoppers, mealybugs, scales, psyllids and white flies (Fernald 1947; Armbrecht and Ulloa-Chacón 2003; IPPC 2012). </w:t>
      </w:r>
      <w:r>
        <w:rPr>
          <w:rFonts w:ascii="Times New Roman" w:hAnsi="Times New Roman"/>
          <w:i/>
          <w:sz w:val="24"/>
        </w:rPr>
        <w:t xml:space="preserve">Wasmannia auropunctata </w:t>
      </w:r>
      <w:r>
        <w:rPr>
          <w:rFonts w:ascii="Times New Roman" w:hAnsi="Times New Roman"/>
          <w:sz w:val="24"/>
        </w:rPr>
        <w:t>is easily transported on fruits and vegetables, and growing trade between countries has facilitated its colonisation in many parts of the world (Causton</w:t>
      </w:r>
      <w:r>
        <w:rPr>
          <w:rFonts w:ascii="Times New Roman" w:hAnsi="Times New Roman"/>
          <w:i/>
          <w:sz w:val="24"/>
        </w:rPr>
        <w:t xml:space="preserve"> et al.</w:t>
      </w:r>
      <w:r>
        <w:rPr>
          <w:rFonts w:ascii="Times New Roman" w:hAnsi="Times New Roman"/>
          <w:sz w:val="24"/>
        </w:rPr>
        <w:t xml:space="preserve"> 2005). Since its discovery in Queensland in 2006, </w:t>
      </w:r>
      <w:r>
        <w:rPr>
          <w:rFonts w:ascii="Times New Roman" w:hAnsi="Times New Roman"/>
          <w:i/>
          <w:sz w:val="24"/>
        </w:rPr>
        <w:t>W. auropunctata</w:t>
      </w:r>
      <w:r>
        <w:rPr>
          <w:rFonts w:ascii="Times New Roman" w:hAnsi="Times New Roman"/>
          <w:sz w:val="24"/>
        </w:rPr>
        <w:t xml:space="preserve"> has been listed as a declared species under the Plant Protection Act 1989, and is under official control (DEEDI 2011).</w:t>
      </w:r>
    </w:p>
    <w:p w14:paraId="30E6A4F4"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Several of the listed ant genera contain species that are known to be invasive, including </w:t>
      </w:r>
      <w:r>
        <w:rPr>
          <w:rFonts w:ascii="Times New Roman" w:hAnsi="Times New Roman"/>
          <w:i/>
          <w:sz w:val="24"/>
        </w:rPr>
        <w:t>Anoplolepis</w:t>
      </w:r>
      <w:r>
        <w:rPr>
          <w:rFonts w:ascii="Times New Roman" w:hAnsi="Times New Roman"/>
          <w:sz w:val="24"/>
        </w:rPr>
        <w:t xml:space="preserve"> (originally a subgenus of </w:t>
      </w:r>
      <w:r>
        <w:rPr>
          <w:rFonts w:ascii="Times New Roman" w:hAnsi="Times New Roman"/>
          <w:i/>
          <w:sz w:val="24"/>
        </w:rPr>
        <w:t>Plagiolepis</w:t>
      </w:r>
      <w:r>
        <w:rPr>
          <w:rFonts w:ascii="Times New Roman" w:hAnsi="Times New Roman"/>
          <w:sz w:val="24"/>
        </w:rPr>
        <w:t>)</w:t>
      </w:r>
      <w:r>
        <w:rPr>
          <w:rFonts w:ascii="Times New Roman" w:hAnsi="Times New Roman"/>
          <w:i/>
          <w:sz w:val="24"/>
        </w:rPr>
        <w:t>, Cardiocondyla, Monomorium, Paratrechina, Pheidole, Tapinoma, Technomyrmex</w:t>
      </w:r>
      <w:r>
        <w:rPr>
          <w:rFonts w:ascii="Times New Roman" w:hAnsi="Times New Roman"/>
          <w:sz w:val="24"/>
        </w:rPr>
        <w:t xml:space="preserve"> and </w:t>
      </w:r>
      <w:r>
        <w:rPr>
          <w:rFonts w:ascii="Times New Roman" w:hAnsi="Times New Roman"/>
          <w:i/>
          <w:sz w:val="24"/>
        </w:rPr>
        <w:t>Wasmannia</w:t>
      </w:r>
      <w:r>
        <w:rPr>
          <w:rFonts w:ascii="Times New Roman" w:hAnsi="Times New Roman"/>
          <w:sz w:val="24"/>
        </w:rPr>
        <w:t xml:space="preserve"> (Lowe</w:t>
      </w:r>
      <w:r>
        <w:rPr>
          <w:rFonts w:ascii="Times New Roman" w:hAnsi="Times New Roman"/>
          <w:i/>
          <w:sz w:val="24"/>
        </w:rPr>
        <w:t xml:space="preserve"> et al.</w:t>
      </w:r>
      <w:r>
        <w:rPr>
          <w:rFonts w:ascii="Times New Roman" w:hAnsi="Times New Roman"/>
          <w:sz w:val="24"/>
        </w:rPr>
        <w:t xml:space="preserve"> 2000; GISD 2009), and as such these ants have attributes that make them successful invaders. These attributes include adaptability to a wide range of habitats, high interspecific aggression and lack of intraspecific aggression which leads to unicoloniality (Ulloa-Chacon and Cherix 1990; Le Breton</w:t>
      </w:r>
      <w:r>
        <w:rPr>
          <w:rFonts w:ascii="Times New Roman" w:hAnsi="Times New Roman"/>
          <w:i/>
          <w:sz w:val="24"/>
        </w:rPr>
        <w:t xml:space="preserve"> et al.</w:t>
      </w:r>
      <w:r>
        <w:rPr>
          <w:rFonts w:ascii="Times New Roman" w:hAnsi="Times New Roman"/>
          <w:sz w:val="24"/>
        </w:rPr>
        <w:t xml:space="preserve"> 2004). Colonies containing numerous reproducing females (queens) (Holldobler and Wilson 1977) increase the likelihood that small numbers of ants that are split off from a colony with a queen, and are transported by humans in commerce are able to found new colonies.</w:t>
      </w:r>
    </w:p>
    <w:p w14:paraId="1B52EFB9" w14:textId="77777777" w:rsidR="009D3DC8" w:rsidRDefault="009D3DC8">
      <w:pPr>
        <w:spacing w:before="180" w:line="280" w:lineRule="atLeast"/>
        <w:rPr>
          <w:rFonts w:ascii="Times New Roman" w:hAnsi="Times New Roman"/>
          <w:sz w:val="24"/>
        </w:rPr>
      </w:pPr>
      <w:r>
        <w:rPr>
          <w:rFonts w:ascii="Times New Roman" w:hAnsi="Times New Roman"/>
          <w:sz w:val="24"/>
        </w:rPr>
        <w:t>Although ants are not plant pests injurious to plants or plant products as such, it is expected that due to their habit of protecting honeydew</w:t>
      </w:r>
      <w:r>
        <w:rPr>
          <w:rFonts w:ascii="Times New Roman" w:hAnsi="Times New Roman"/>
          <w:b/>
          <w:sz w:val="24"/>
        </w:rPr>
        <w:noBreakHyphen/>
      </w:r>
      <w:r>
        <w:rPr>
          <w:rFonts w:ascii="Times New Roman" w:hAnsi="Times New Roman"/>
          <w:sz w:val="24"/>
        </w:rPr>
        <w:t>excreting Hemiptera from predators and parasites and feeding on the honeydew (Fernald 1947; Kalshoven 1981; Nechols and Seibert 1985; Tenbrink and Hara 1992b; Causton 2001; Causton</w:t>
      </w:r>
      <w:r>
        <w:rPr>
          <w:rFonts w:ascii="Times New Roman" w:hAnsi="Times New Roman"/>
          <w:i/>
          <w:sz w:val="24"/>
        </w:rPr>
        <w:t xml:space="preserve"> et al.</w:t>
      </w:r>
      <w:r>
        <w:rPr>
          <w:rFonts w:ascii="Times New Roman" w:hAnsi="Times New Roman"/>
          <w:sz w:val="24"/>
        </w:rPr>
        <w:t xml:space="preserve"> 2005), they will be present on the pathway for mangosteens from Indonesia. As a number of ant genera identified in the pest categorisation stage are known to protect and feed on the honeydew excreted by several Hemiptera, including Coccoidea, and since the risk scenario of concern for the mealybugs and scales is their presence under the calyx of imported mangosteen fruit, it is expected that ants may also be present as evidenced by the interception of several species of ants on mangosteens from Thailand.</w:t>
      </w:r>
    </w:p>
    <w:p w14:paraId="57C33FD5"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The risk scenario of concern for the ants listed is the presence of ants under the calyx of imported mangosteen fruit.</w:t>
      </w:r>
    </w:p>
    <w:p w14:paraId="7874ADFC" w14:textId="77777777" w:rsidR="009D3DC8" w:rsidRDefault="009D3DC8">
      <w:pPr>
        <w:spacing w:before="180" w:line="280" w:lineRule="atLeast"/>
        <w:rPr>
          <w:rFonts w:ascii="Times New Roman" w:hAnsi="Times New Roman"/>
          <w:sz w:val="24"/>
        </w:rPr>
      </w:pPr>
      <w:r>
        <w:rPr>
          <w:rFonts w:ascii="Times New Roman" w:hAnsi="Times New Roman"/>
          <w:i/>
          <w:sz w:val="24"/>
        </w:rPr>
        <w:t>Wasmannia auropunctata</w:t>
      </w:r>
      <w:r>
        <w:rPr>
          <w:rFonts w:ascii="Times New Roman" w:hAnsi="Times New Roman"/>
          <w:sz w:val="24"/>
        </w:rPr>
        <w:t xml:space="preserve"> was assessed in the existing policy for Tahitian limes from New Caledonia (Biosecurity Australia 2006a). </w:t>
      </w:r>
      <w:r>
        <w:rPr>
          <w:rFonts w:ascii="Times New Roman" w:hAnsi="Times New Roman"/>
          <w:i/>
          <w:sz w:val="24"/>
        </w:rPr>
        <w:t>Technomyrmex butteli</w:t>
      </w:r>
      <w:r>
        <w:rPr>
          <w:rFonts w:ascii="Times New Roman" w:hAnsi="Times New Roman"/>
          <w:sz w:val="24"/>
        </w:rPr>
        <w:t xml:space="preserve"> and an unidentified </w:t>
      </w:r>
      <w:r>
        <w:rPr>
          <w:rFonts w:ascii="Times New Roman" w:hAnsi="Times New Roman"/>
          <w:i/>
          <w:sz w:val="24"/>
        </w:rPr>
        <w:t>Dolichoderus</w:t>
      </w:r>
      <w:r>
        <w:rPr>
          <w:rFonts w:ascii="Times New Roman" w:hAnsi="Times New Roman"/>
          <w:sz w:val="24"/>
        </w:rPr>
        <w:t xml:space="preserve"> species were assessed in the existing policy for mangosteens from Thailand (DAFF 2004b). The assessment of the unidentified ant species presented here builds on these previous assessments.</w:t>
      </w:r>
    </w:p>
    <w:p w14:paraId="2F43940F" w14:textId="77777777" w:rsidR="009D3DC8" w:rsidRDefault="009D3DC8">
      <w:pPr>
        <w:spacing w:before="180" w:line="280" w:lineRule="atLeast"/>
        <w:rPr>
          <w:rFonts w:ascii="Times New Roman" w:hAnsi="Times New Roman"/>
          <w:sz w:val="24"/>
        </w:rPr>
      </w:pPr>
      <w:r>
        <w:rPr>
          <w:rFonts w:ascii="Times New Roman" w:hAnsi="Times New Roman"/>
          <w:sz w:val="24"/>
        </w:rPr>
        <w:t>Differences in commodity, horticultural practices, climatic conditions and the prevalence of the listed ants between previous export areas (Thailand and New Caledonia) and Indonesia make it necessary to reassess the likelihood that the listed ants will be imported into and distributed within Australia with mangosteen fruit from Indonesia.</w:t>
      </w:r>
    </w:p>
    <w:p w14:paraId="4E93D27F" w14:textId="77777777" w:rsidR="009D3DC8" w:rsidRDefault="009D3DC8">
      <w:pPr>
        <w:autoSpaceDE w:val="0"/>
        <w:autoSpaceDN w:val="0"/>
        <w:adjustRightInd w:val="0"/>
        <w:spacing w:before="180" w:line="280" w:lineRule="atLeast"/>
        <w:rPr>
          <w:rFonts w:ascii="Times New Roman" w:hAnsi="Times New Roman"/>
          <w:sz w:val="24"/>
        </w:rPr>
      </w:pPr>
      <w:r>
        <w:rPr>
          <w:rFonts w:ascii="Times New Roman" w:hAnsi="Times New Roman"/>
          <w:sz w:val="24"/>
        </w:rPr>
        <w:t>The probability of establishment and spread of the listed ants in Australia, and the consequences they may cause will be comparable for any commodity in which the ants are imported into Australia, as these probabilities relate specifically to events that occur in Australia and are largely independent of the importation pathway. Accordingly there is no need to reassess these components, and the estimates of the risk ratings for establishment, spread and consequences as set out for the little fire ant (</w:t>
      </w:r>
      <w:r>
        <w:rPr>
          <w:rFonts w:ascii="Times New Roman" w:hAnsi="Times New Roman"/>
          <w:i/>
          <w:sz w:val="24"/>
        </w:rPr>
        <w:t>Wasmannia auropunctata</w:t>
      </w:r>
      <w:r>
        <w:rPr>
          <w:rFonts w:ascii="Times New Roman" w:hAnsi="Times New Roman"/>
          <w:sz w:val="24"/>
        </w:rPr>
        <w:t>) in the Tahitian limes from New Caledonia import risk analysis report (Biosecurity Australia 2006a), will be adopted for this assessment.</w:t>
      </w:r>
    </w:p>
    <w:p w14:paraId="17FF442E" w14:textId="77777777" w:rsidR="009D3DC8" w:rsidRDefault="009D3DC8">
      <w:pPr>
        <w:pStyle w:val="Heading3"/>
        <w:numPr>
          <w:ilvl w:val="2"/>
          <w:numId w:val="8"/>
        </w:numPr>
        <w:spacing w:line="240" w:lineRule="auto"/>
      </w:pPr>
      <w:r>
        <w:t>Reassessment of probability of entry</w:t>
      </w:r>
    </w:p>
    <w:p w14:paraId="36E75DB9" w14:textId="77777777" w:rsidR="009D3DC8" w:rsidRDefault="009D3DC8">
      <w:pPr>
        <w:spacing w:before="180" w:line="280" w:lineRule="atLeast"/>
        <w:rPr>
          <w:rFonts w:ascii="Times New Roman" w:hAnsi="Times New Roman"/>
          <w:sz w:val="24"/>
        </w:rPr>
      </w:pPr>
      <w:r>
        <w:rPr>
          <w:rFonts w:ascii="Times New Roman" w:hAnsi="Times New Roman"/>
          <w:sz w:val="24"/>
        </w:rPr>
        <w:t>The probability of entry is considered in two parts, the probability of importation and the probability of distribution, which consider pre-border and post-border issues, respectively.</w:t>
      </w:r>
    </w:p>
    <w:p w14:paraId="650340D8"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importation</w:t>
      </w:r>
    </w:p>
    <w:p w14:paraId="48DB98FA"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Camponotus</w:t>
      </w:r>
      <w:r>
        <w:rPr>
          <w:rFonts w:ascii="Times New Roman" w:hAnsi="Times New Roman"/>
          <w:sz w:val="24"/>
        </w:rPr>
        <w:t xml:space="preserve"> sp., </w:t>
      </w:r>
      <w:r>
        <w:rPr>
          <w:rFonts w:ascii="Times New Roman" w:hAnsi="Times New Roman"/>
          <w:i/>
          <w:sz w:val="24"/>
        </w:rPr>
        <w:t>Cardiocondyla</w:t>
      </w:r>
      <w:r>
        <w:rPr>
          <w:rFonts w:ascii="Times New Roman" w:hAnsi="Times New Roman"/>
          <w:sz w:val="24"/>
        </w:rPr>
        <w:t xml:space="preserve"> sp., </w:t>
      </w:r>
      <w:r>
        <w:rPr>
          <w:rFonts w:ascii="Times New Roman" w:hAnsi="Times New Roman"/>
          <w:i/>
          <w:sz w:val="24"/>
        </w:rPr>
        <w:t>Crematogaster</w:t>
      </w:r>
      <w:r>
        <w:rPr>
          <w:rFonts w:ascii="Times New Roman" w:hAnsi="Times New Roman"/>
          <w:sz w:val="24"/>
        </w:rPr>
        <w:t xml:space="preserve"> sp., </w:t>
      </w:r>
      <w:r>
        <w:rPr>
          <w:rFonts w:ascii="Times New Roman" w:hAnsi="Times New Roman"/>
          <w:i/>
          <w:sz w:val="24"/>
        </w:rPr>
        <w:t>Dolichoderus</w:t>
      </w:r>
      <w:r>
        <w:rPr>
          <w:rFonts w:ascii="Times New Roman" w:hAnsi="Times New Roman"/>
          <w:sz w:val="24"/>
        </w:rPr>
        <w:t xml:space="preserve"> sp., </w:t>
      </w:r>
      <w:r>
        <w:rPr>
          <w:rFonts w:ascii="Times New Roman" w:hAnsi="Times New Roman"/>
          <w:i/>
          <w:sz w:val="24"/>
        </w:rPr>
        <w:t>Iridomyrmex</w:t>
      </w:r>
      <w:r>
        <w:rPr>
          <w:rFonts w:ascii="Times New Roman" w:hAnsi="Times New Roman"/>
          <w:sz w:val="24"/>
        </w:rPr>
        <w:t xml:space="preserve"> sp., </w:t>
      </w:r>
      <w:r>
        <w:rPr>
          <w:rFonts w:ascii="Times New Roman" w:hAnsi="Times New Roman"/>
          <w:i/>
          <w:sz w:val="24"/>
        </w:rPr>
        <w:t>Monomorium</w:t>
      </w:r>
      <w:r>
        <w:rPr>
          <w:rFonts w:ascii="Times New Roman" w:hAnsi="Times New Roman"/>
          <w:sz w:val="24"/>
        </w:rPr>
        <w:t xml:space="preserve"> sp., </w:t>
      </w:r>
      <w:r>
        <w:rPr>
          <w:rFonts w:ascii="Times New Roman" w:hAnsi="Times New Roman"/>
          <w:i/>
          <w:sz w:val="24"/>
        </w:rPr>
        <w:t>Paratrechina</w:t>
      </w:r>
      <w:r>
        <w:rPr>
          <w:rFonts w:ascii="Times New Roman" w:hAnsi="Times New Roman"/>
          <w:sz w:val="24"/>
        </w:rPr>
        <w:t xml:space="preserve"> sp., </w:t>
      </w:r>
      <w:r>
        <w:rPr>
          <w:rFonts w:ascii="Times New Roman" w:hAnsi="Times New Roman"/>
          <w:i/>
          <w:sz w:val="24"/>
        </w:rPr>
        <w:t>Pheidole</w:t>
      </w:r>
      <w:r>
        <w:rPr>
          <w:rFonts w:ascii="Times New Roman" w:hAnsi="Times New Roman"/>
          <w:sz w:val="24"/>
        </w:rPr>
        <w:t xml:space="preserve"> sp., </w:t>
      </w:r>
      <w:r>
        <w:rPr>
          <w:rFonts w:ascii="Times New Roman" w:hAnsi="Times New Roman"/>
          <w:i/>
          <w:sz w:val="24"/>
        </w:rPr>
        <w:t>Plagiolepis</w:t>
      </w:r>
      <w:r>
        <w:rPr>
          <w:rFonts w:ascii="Times New Roman" w:hAnsi="Times New Roman"/>
          <w:sz w:val="24"/>
        </w:rPr>
        <w:t xml:space="preserve"> sp., </w:t>
      </w:r>
      <w:r>
        <w:rPr>
          <w:rFonts w:ascii="Times New Roman" w:hAnsi="Times New Roman"/>
          <w:i/>
          <w:sz w:val="24"/>
        </w:rPr>
        <w:t>Polyrhachis</w:t>
      </w:r>
      <w:r>
        <w:rPr>
          <w:rFonts w:ascii="Times New Roman" w:hAnsi="Times New Roman"/>
          <w:sz w:val="24"/>
        </w:rPr>
        <w:t xml:space="preserve"> sp., </w:t>
      </w:r>
      <w:r>
        <w:rPr>
          <w:rFonts w:ascii="Times New Roman" w:hAnsi="Times New Roman"/>
          <w:i/>
          <w:sz w:val="24"/>
        </w:rPr>
        <w:t>Tapinoma</w:t>
      </w:r>
      <w:r>
        <w:rPr>
          <w:rFonts w:ascii="Times New Roman" w:hAnsi="Times New Roman"/>
          <w:sz w:val="24"/>
        </w:rPr>
        <w:t xml:space="preserve"> sp., </w:t>
      </w:r>
      <w:r>
        <w:rPr>
          <w:rFonts w:ascii="Times New Roman" w:hAnsi="Times New Roman"/>
          <w:i/>
          <w:sz w:val="24"/>
        </w:rPr>
        <w:t>Technomyrmex</w:t>
      </w:r>
      <w:r>
        <w:rPr>
          <w:rFonts w:ascii="Times New Roman" w:hAnsi="Times New Roman"/>
          <w:sz w:val="24"/>
        </w:rPr>
        <w:t xml:space="preserve"> sp., </w:t>
      </w:r>
      <w:r>
        <w:rPr>
          <w:rFonts w:ascii="Times New Roman" w:hAnsi="Times New Roman"/>
          <w:i/>
          <w:sz w:val="24"/>
        </w:rPr>
        <w:t>Tetramorium</w:t>
      </w:r>
      <w:r>
        <w:rPr>
          <w:rFonts w:ascii="Times New Roman" w:hAnsi="Times New Roman"/>
          <w:sz w:val="24"/>
        </w:rPr>
        <w:t xml:space="preserve"> sp., and </w:t>
      </w:r>
      <w:r>
        <w:rPr>
          <w:rFonts w:ascii="Times New Roman" w:hAnsi="Times New Roman"/>
          <w:i/>
          <w:sz w:val="24"/>
        </w:rPr>
        <w:t>Wasmannia</w:t>
      </w:r>
      <w:r>
        <w:rPr>
          <w:rFonts w:ascii="Times New Roman" w:hAnsi="Times New Roman"/>
          <w:sz w:val="24"/>
        </w:rPr>
        <w:t xml:space="preserve"> </w:t>
      </w:r>
      <w:r>
        <w:rPr>
          <w:rFonts w:ascii="Times New Roman" w:hAnsi="Times New Roman"/>
          <w:i/>
          <w:sz w:val="24"/>
        </w:rPr>
        <w:t>auropunctata</w:t>
      </w:r>
      <w:r>
        <w:rPr>
          <w:rFonts w:ascii="Times New Roman" w:hAnsi="Times New Roman"/>
          <w:sz w:val="24"/>
        </w:rPr>
        <w:t xml:space="preserve"> will arrive in Australia with the importation of mangosteen fruit from Indonesia is: </w:t>
      </w:r>
      <w:r>
        <w:rPr>
          <w:rFonts w:ascii="Times New Roman" w:hAnsi="Times New Roman"/>
          <w:b/>
          <w:sz w:val="24"/>
        </w:rPr>
        <w:t>HIGH</w:t>
      </w:r>
      <w:r>
        <w:rPr>
          <w:rFonts w:ascii="Times New Roman" w:hAnsi="Times New Roman"/>
          <w:sz w:val="24"/>
        </w:rPr>
        <w:t>.</w:t>
      </w:r>
    </w:p>
    <w:p w14:paraId="2B8887FD"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2FD5AE3B"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Mangosteens packed for export typically consist of the fruit with a short pedicel and the calyx consisting of four sepals. Ants can hide under the calyx and may not be detected during routine visual inspection procedures within the packing house. Inspection procedures focus primarily on quality standards of the fruit with regards to blemishes, premature ripening, bruising or damage to the skin and calyces. The procedures are not particularly directed at the detection of small arthropod pests which may be present under the calyx.</w:t>
      </w:r>
    </w:p>
    <w:p w14:paraId="3389E58D"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Many species of the above listed genera are small in size, ranging from 1.5–2.4 mm for species of </w:t>
      </w:r>
      <w:r>
        <w:rPr>
          <w:rFonts w:ascii="Times New Roman" w:hAnsi="Times New Roman"/>
          <w:i/>
        </w:rPr>
        <w:t>Monomorium</w:t>
      </w:r>
      <w:r>
        <w:rPr>
          <w:rFonts w:ascii="Times New Roman" w:hAnsi="Times New Roman"/>
        </w:rPr>
        <w:t xml:space="preserve">, </w:t>
      </w:r>
      <w:r>
        <w:rPr>
          <w:rFonts w:ascii="Times New Roman" w:hAnsi="Times New Roman"/>
          <w:i/>
        </w:rPr>
        <w:t>Tapinoma</w:t>
      </w:r>
      <w:r>
        <w:rPr>
          <w:rFonts w:ascii="Times New Roman" w:hAnsi="Times New Roman"/>
        </w:rPr>
        <w:t xml:space="preserve"> and </w:t>
      </w:r>
      <w:r>
        <w:rPr>
          <w:rFonts w:ascii="Times New Roman" w:hAnsi="Times New Roman"/>
          <w:i/>
        </w:rPr>
        <w:t>Wasmannia</w:t>
      </w:r>
      <w:r>
        <w:rPr>
          <w:rFonts w:ascii="Times New Roman" w:hAnsi="Times New Roman"/>
        </w:rPr>
        <w:t xml:space="preserve"> to as long as 3–4.5 mm for species of </w:t>
      </w:r>
      <w:r>
        <w:rPr>
          <w:rFonts w:ascii="Times New Roman" w:hAnsi="Times New Roman"/>
          <w:i/>
        </w:rPr>
        <w:t>Dolichoderus</w:t>
      </w:r>
      <w:r>
        <w:rPr>
          <w:rFonts w:ascii="Times New Roman" w:hAnsi="Times New Roman"/>
        </w:rPr>
        <w:t xml:space="preserve">, </w:t>
      </w:r>
      <w:r>
        <w:rPr>
          <w:rFonts w:ascii="Times New Roman" w:hAnsi="Times New Roman"/>
          <w:i/>
        </w:rPr>
        <w:t xml:space="preserve">Technomyrmex, Tetramorium, Paratrechina </w:t>
      </w:r>
      <w:r>
        <w:rPr>
          <w:rFonts w:ascii="Times New Roman" w:hAnsi="Times New Roman"/>
        </w:rPr>
        <w:t>and</w:t>
      </w:r>
      <w:r>
        <w:rPr>
          <w:rFonts w:ascii="Times New Roman" w:hAnsi="Times New Roman"/>
          <w:i/>
        </w:rPr>
        <w:t xml:space="preserve"> Pheidole</w:t>
      </w:r>
      <w:r>
        <w:rPr>
          <w:rFonts w:ascii="Times New Roman" w:hAnsi="Times New Roman"/>
        </w:rPr>
        <w:t xml:space="preserve"> (Chin 2008; CSIRO 2011).</w:t>
      </w:r>
    </w:p>
    <w:p w14:paraId="4C381D13"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Many species in the above listed genera of ants are attracted to honeydew secreted by mealybugs and scales (Fernald 1947; Kalshoven 1981; Nechols and Seibert 1985; Causton </w:t>
      </w:r>
      <w:r>
        <w:rPr>
          <w:rFonts w:ascii="Times New Roman" w:hAnsi="Times New Roman"/>
        </w:rPr>
        <w:lastRenderedPageBreak/>
        <w:t>2001; Causton</w:t>
      </w:r>
      <w:r>
        <w:rPr>
          <w:rFonts w:ascii="Times New Roman" w:hAnsi="Times New Roman"/>
          <w:i/>
        </w:rPr>
        <w:t xml:space="preserve"> et al.</w:t>
      </w:r>
      <w:r>
        <w:rPr>
          <w:rFonts w:ascii="Times New Roman" w:hAnsi="Times New Roman"/>
        </w:rPr>
        <w:t xml:space="preserve"> 2005) and would be found attending these hemipterans on mangosteens.</w:t>
      </w:r>
    </w:p>
    <w:p w14:paraId="1FC04D5A"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Species of </w:t>
      </w:r>
      <w:r>
        <w:rPr>
          <w:rFonts w:ascii="Times New Roman" w:hAnsi="Times New Roman"/>
          <w:i/>
        </w:rPr>
        <w:t>Technomyrmex</w:t>
      </w:r>
      <w:r>
        <w:rPr>
          <w:rFonts w:ascii="Times New Roman" w:hAnsi="Times New Roman"/>
        </w:rPr>
        <w:t xml:space="preserve"> and </w:t>
      </w:r>
      <w:r>
        <w:rPr>
          <w:rFonts w:ascii="Times New Roman" w:hAnsi="Times New Roman"/>
          <w:i/>
        </w:rPr>
        <w:t>Dolichoderus</w:t>
      </w:r>
      <w:r>
        <w:rPr>
          <w:rFonts w:ascii="Times New Roman" w:hAnsi="Times New Roman"/>
        </w:rPr>
        <w:t xml:space="preserve"> have been observed hiding under the calyces of mangosteen fruit in Thailand (Biosecurity Australia 2003).</w:t>
      </w:r>
    </w:p>
    <w:p w14:paraId="2F643B4E"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Ants have been observed constructing nests under the calyces of mangosteen fruit in Thailand (Biosecurity Australia 2003).</w:t>
      </w:r>
    </w:p>
    <w:p w14:paraId="3343EF5C"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Cleaning may remove some ant species on the fruit but effective removal of all ants may be difficult.</w:t>
      </w:r>
    </w:p>
    <w:p w14:paraId="504275F6"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This is evidenced by the interception of unidentified ant species of 14 genera on mangosteens imported into Australia from Thailand.</w:t>
      </w:r>
    </w:p>
    <w:p w14:paraId="20B43A88"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Queens and workers of </w:t>
      </w:r>
      <w:r>
        <w:rPr>
          <w:rFonts w:ascii="Times New Roman" w:hAnsi="Times New Roman"/>
          <w:i/>
        </w:rPr>
        <w:t xml:space="preserve">Wasmannia auropunctata </w:t>
      </w:r>
      <w:r>
        <w:rPr>
          <w:rFonts w:ascii="Times New Roman" w:hAnsi="Times New Roman"/>
        </w:rPr>
        <w:t>have been intercepted on arrival in Australia on produce imported from Bolivia, New Caledonia, Singapore, Solomon Islands, USA, Vanuatu and Vietnam.</w:t>
      </w:r>
    </w:p>
    <w:p w14:paraId="3D3636EB"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Wasmannia auropunctata</w:t>
      </w:r>
      <w:r>
        <w:rPr>
          <w:rFonts w:ascii="Times New Roman" w:hAnsi="Times New Roman"/>
        </w:rPr>
        <w:t xml:space="preserve"> is a common invasive “tramp” ant species that has spread widely throughout the warmer regions of the world, due to its ability to hitch-hike in commodities (Brooks and Nickerson 2011).</w:t>
      </w:r>
    </w:p>
    <w:p w14:paraId="63E5A219"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i/>
        </w:rPr>
        <w:t xml:space="preserve">Wasmannia auropunctata </w:t>
      </w:r>
      <w:r>
        <w:rPr>
          <w:rFonts w:ascii="Times New Roman" w:hAnsi="Times New Roman"/>
        </w:rPr>
        <w:t>has been accidentally introduced to New Caledonia and is spreading (Fabres and Brown 1978) and has been detected in north Queensland and is subject to an eradication program (DEEDI 2011; IPPC 2012).</w:t>
      </w:r>
    </w:p>
    <w:p w14:paraId="7B8872EB"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The interception of unidentified ant species on commodities on arrival in Australia suggests that: postharvest procedures will not remove all ants; quality control inspectors within the packing house are likely to miss some infested fruit; and ants will survive storage and transportation.</w:t>
      </w:r>
    </w:p>
    <w:p w14:paraId="3CAD9968" w14:textId="77777777" w:rsidR="009D3DC8" w:rsidRDefault="009D3DC8">
      <w:pPr>
        <w:pStyle w:val="Bullet"/>
        <w:spacing w:before="180" w:after="0" w:line="280" w:lineRule="atLeast"/>
        <w:rPr>
          <w:rFonts w:ascii="Times New Roman" w:hAnsi="Times New Roman"/>
        </w:rPr>
      </w:pPr>
      <w:r>
        <w:rPr>
          <w:rFonts w:ascii="Times New Roman" w:hAnsi="Times New Roman"/>
        </w:rPr>
        <w:t>The presence of unidentified ant species on mangosteen trees in Indonesia, the interception of ants on mangosteens from Thailand, the association of ants with fruit and the presence of mealybugs and scales under the sepals, the mutualistic relationship between ants and honeydew secreting hemipterans, their small size, sessile and cryptic nature of most life stages all support a likelihood estimate for importation of ‘high’.</w:t>
      </w:r>
    </w:p>
    <w:p w14:paraId="6AE30451"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Reassessment of probability of distribution</w:t>
      </w:r>
    </w:p>
    <w:p w14:paraId="222999F4"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likelihood that </w:t>
      </w:r>
      <w:r>
        <w:rPr>
          <w:rFonts w:ascii="Times New Roman" w:hAnsi="Times New Roman"/>
          <w:i/>
          <w:sz w:val="24"/>
        </w:rPr>
        <w:t>Camponotus</w:t>
      </w:r>
      <w:r>
        <w:rPr>
          <w:rFonts w:ascii="Times New Roman" w:hAnsi="Times New Roman"/>
          <w:sz w:val="24"/>
        </w:rPr>
        <w:t xml:space="preserve"> sp., </w:t>
      </w:r>
      <w:r>
        <w:rPr>
          <w:rFonts w:ascii="Times New Roman" w:hAnsi="Times New Roman"/>
          <w:i/>
          <w:sz w:val="24"/>
        </w:rPr>
        <w:t>Cardiocondyla</w:t>
      </w:r>
      <w:r>
        <w:rPr>
          <w:rFonts w:ascii="Times New Roman" w:hAnsi="Times New Roman"/>
          <w:sz w:val="24"/>
        </w:rPr>
        <w:t xml:space="preserve"> sp., </w:t>
      </w:r>
      <w:r>
        <w:rPr>
          <w:rFonts w:ascii="Times New Roman" w:hAnsi="Times New Roman"/>
          <w:i/>
          <w:sz w:val="24"/>
        </w:rPr>
        <w:t>Crematogaster</w:t>
      </w:r>
      <w:r>
        <w:rPr>
          <w:rFonts w:ascii="Times New Roman" w:hAnsi="Times New Roman"/>
          <w:sz w:val="24"/>
        </w:rPr>
        <w:t xml:space="preserve"> sp., </w:t>
      </w:r>
      <w:r>
        <w:rPr>
          <w:rFonts w:ascii="Times New Roman" w:hAnsi="Times New Roman"/>
          <w:i/>
          <w:sz w:val="24"/>
        </w:rPr>
        <w:t>Dolichoderus</w:t>
      </w:r>
      <w:r>
        <w:rPr>
          <w:rFonts w:ascii="Times New Roman" w:hAnsi="Times New Roman"/>
          <w:sz w:val="24"/>
        </w:rPr>
        <w:t xml:space="preserve"> sp., </w:t>
      </w:r>
      <w:r>
        <w:rPr>
          <w:rFonts w:ascii="Times New Roman" w:hAnsi="Times New Roman"/>
          <w:i/>
          <w:sz w:val="24"/>
        </w:rPr>
        <w:t>Iridomyrmex</w:t>
      </w:r>
      <w:r>
        <w:rPr>
          <w:rFonts w:ascii="Times New Roman" w:hAnsi="Times New Roman"/>
          <w:sz w:val="24"/>
        </w:rPr>
        <w:t xml:space="preserve"> sp., </w:t>
      </w:r>
      <w:r>
        <w:rPr>
          <w:rFonts w:ascii="Times New Roman" w:hAnsi="Times New Roman"/>
          <w:i/>
          <w:sz w:val="24"/>
        </w:rPr>
        <w:t>Monomorium</w:t>
      </w:r>
      <w:r>
        <w:rPr>
          <w:rFonts w:ascii="Times New Roman" w:hAnsi="Times New Roman"/>
          <w:sz w:val="24"/>
        </w:rPr>
        <w:t xml:space="preserve"> sp., </w:t>
      </w:r>
      <w:r>
        <w:rPr>
          <w:rFonts w:ascii="Times New Roman" w:hAnsi="Times New Roman"/>
          <w:i/>
          <w:sz w:val="24"/>
        </w:rPr>
        <w:t>Paratrechina</w:t>
      </w:r>
      <w:r>
        <w:rPr>
          <w:rFonts w:ascii="Times New Roman" w:hAnsi="Times New Roman"/>
          <w:sz w:val="24"/>
        </w:rPr>
        <w:t xml:space="preserve"> sp., </w:t>
      </w:r>
      <w:r>
        <w:rPr>
          <w:rFonts w:ascii="Times New Roman" w:hAnsi="Times New Roman"/>
          <w:i/>
          <w:sz w:val="24"/>
        </w:rPr>
        <w:t>Pheidole</w:t>
      </w:r>
      <w:r>
        <w:rPr>
          <w:rFonts w:ascii="Times New Roman" w:hAnsi="Times New Roman"/>
          <w:sz w:val="24"/>
        </w:rPr>
        <w:t xml:space="preserve"> sp., </w:t>
      </w:r>
      <w:r>
        <w:rPr>
          <w:rFonts w:ascii="Times New Roman" w:hAnsi="Times New Roman"/>
          <w:i/>
          <w:sz w:val="24"/>
        </w:rPr>
        <w:t>Plagiolepis</w:t>
      </w:r>
      <w:r>
        <w:rPr>
          <w:rFonts w:ascii="Times New Roman" w:hAnsi="Times New Roman"/>
          <w:sz w:val="24"/>
        </w:rPr>
        <w:t xml:space="preserve"> sp., </w:t>
      </w:r>
      <w:r>
        <w:rPr>
          <w:rFonts w:ascii="Times New Roman" w:hAnsi="Times New Roman"/>
          <w:i/>
          <w:sz w:val="24"/>
        </w:rPr>
        <w:t>Polyrhachis</w:t>
      </w:r>
      <w:r>
        <w:rPr>
          <w:rFonts w:ascii="Times New Roman" w:hAnsi="Times New Roman"/>
          <w:sz w:val="24"/>
        </w:rPr>
        <w:t xml:space="preserve"> sp., </w:t>
      </w:r>
      <w:r>
        <w:rPr>
          <w:rFonts w:ascii="Times New Roman" w:hAnsi="Times New Roman"/>
          <w:i/>
          <w:sz w:val="24"/>
        </w:rPr>
        <w:t>Tapinoma</w:t>
      </w:r>
      <w:r>
        <w:rPr>
          <w:rFonts w:ascii="Times New Roman" w:hAnsi="Times New Roman"/>
          <w:sz w:val="24"/>
        </w:rPr>
        <w:t xml:space="preserve"> sp., </w:t>
      </w:r>
      <w:r>
        <w:rPr>
          <w:rFonts w:ascii="Times New Roman" w:hAnsi="Times New Roman"/>
          <w:i/>
          <w:sz w:val="24"/>
        </w:rPr>
        <w:t>Technomyrmex</w:t>
      </w:r>
      <w:r>
        <w:rPr>
          <w:rFonts w:ascii="Times New Roman" w:hAnsi="Times New Roman"/>
          <w:sz w:val="24"/>
        </w:rPr>
        <w:t xml:space="preserve"> sp., </w:t>
      </w:r>
      <w:r>
        <w:rPr>
          <w:rFonts w:ascii="Times New Roman" w:hAnsi="Times New Roman"/>
          <w:i/>
          <w:sz w:val="24"/>
        </w:rPr>
        <w:t>Tetramorium</w:t>
      </w:r>
      <w:r>
        <w:rPr>
          <w:rFonts w:ascii="Times New Roman" w:hAnsi="Times New Roman"/>
          <w:sz w:val="24"/>
        </w:rPr>
        <w:t xml:space="preserve"> sp., and </w:t>
      </w:r>
      <w:r>
        <w:rPr>
          <w:rFonts w:ascii="Times New Roman" w:hAnsi="Times New Roman"/>
          <w:i/>
          <w:sz w:val="24"/>
        </w:rPr>
        <w:t>Wasmannia</w:t>
      </w:r>
      <w:r>
        <w:rPr>
          <w:rFonts w:ascii="Times New Roman" w:hAnsi="Times New Roman"/>
          <w:sz w:val="24"/>
        </w:rPr>
        <w:t xml:space="preserve"> </w:t>
      </w:r>
      <w:r>
        <w:rPr>
          <w:rFonts w:ascii="Times New Roman" w:hAnsi="Times New Roman"/>
          <w:i/>
          <w:sz w:val="24"/>
        </w:rPr>
        <w:t xml:space="preserve">auropunctata </w:t>
      </w:r>
      <w:r>
        <w:rPr>
          <w:rFonts w:ascii="Times New Roman" w:hAnsi="Times New Roman"/>
          <w:sz w:val="24"/>
        </w:rPr>
        <w:t xml:space="preserve">will be distributed within Australia in a viable state as a result of the processing, sale or disposal of mangosteen fruit from Indonesia and subsequently transfer to a susceptible part of a host is: </w:t>
      </w:r>
      <w:r>
        <w:rPr>
          <w:rFonts w:ascii="Times New Roman" w:hAnsi="Times New Roman"/>
          <w:b/>
          <w:sz w:val="24"/>
        </w:rPr>
        <w:t>HIGH</w:t>
      </w:r>
      <w:r>
        <w:rPr>
          <w:rFonts w:ascii="Times New Roman" w:hAnsi="Times New Roman"/>
          <w:sz w:val="24"/>
        </w:rPr>
        <w:t>.</w:t>
      </w:r>
    </w:p>
    <w:p w14:paraId="3103E94D" w14:textId="77777777" w:rsidR="009D3DC8" w:rsidRDefault="009D3DC8">
      <w:pPr>
        <w:spacing w:before="180" w:line="280" w:lineRule="atLeast"/>
        <w:rPr>
          <w:rFonts w:ascii="Times New Roman" w:hAnsi="Times New Roman"/>
          <w:sz w:val="24"/>
        </w:rPr>
      </w:pPr>
      <w:r>
        <w:rPr>
          <w:rFonts w:ascii="Times New Roman" w:hAnsi="Times New Roman"/>
          <w:sz w:val="24"/>
        </w:rPr>
        <w:t>Supporting information for this assessment is provided below:</w:t>
      </w:r>
    </w:p>
    <w:p w14:paraId="7E1A09A2"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Mangosteen fruit may be distributed throughout Australia for retail sale, as the intended use of the commodity is human consumption. Waste material may be generated.</w:t>
      </w:r>
    </w:p>
    <w:p w14:paraId="47F083D0"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Ants may remain on the fruit during retail distribution. The unconsumed parts of the fruit, especially the skin and calyx of infested fruit, are likely to end up in fruit waste, which may further aid distribution of ants. Disposal of infested fruit is likely to be by commercial or domestic rubbish systems or where the fruit is consumed.</w:t>
      </w:r>
    </w:p>
    <w:p w14:paraId="70FD950E"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lastRenderedPageBreak/>
        <w:t>Ants are highly mobile and can easily disperse by crawling. Additionally, reproductive males and females are winged and dispersal during mating flights can also occur.</w:t>
      </w:r>
    </w:p>
    <w:p w14:paraId="4B4C39C3"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Many species in the listed genera of ants are attracted to honeydew secreted by sap-sucking hemipterans e.g. mealybugs, aphids, scales and leafhoppers (Fernald 1947; Armbrecht and Ulloa-Chacón 2003; IPPC 2012). These insects are highly polyphagous and are found on a wide variety of host plants across Australia.</w:t>
      </w:r>
    </w:p>
    <w:p w14:paraId="4650DB76" w14:textId="77777777" w:rsidR="009D3DC8" w:rsidRDefault="009D3DC8">
      <w:pPr>
        <w:pStyle w:val="Bullet"/>
        <w:numPr>
          <w:ilvl w:val="0"/>
          <w:numId w:val="27"/>
        </w:numPr>
        <w:spacing w:before="120" w:after="60" w:line="280" w:lineRule="atLeast"/>
        <w:ind w:left="357" w:hanging="357"/>
        <w:rPr>
          <w:rFonts w:ascii="Times New Roman" w:hAnsi="Times New Roman"/>
        </w:rPr>
      </w:pPr>
      <w:r>
        <w:rPr>
          <w:rFonts w:ascii="Times New Roman" w:hAnsi="Times New Roman"/>
        </w:rPr>
        <w:t xml:space="preserve">Ants are also attracted to and feed on nursery seedlings, nectar from flowers, resinous secretion (bamboo), pollen and fruiting fungal structures, all of which are readily present throughout Australia (Kalshoven 1981). </w:t>
      </w:r>
    </w:p>
    <w:p w14:paraId="27000DBE" w14:textId="77777777" w:rsidR="009D3DC8" w:rsidRDefault="009D3DC8">
      <w:pPr>
        <w:spacing w:before="180" w:line="280" w:lineRule="atLeast"/>
        <w:rPr>
          <w:rFonts w:ascii="Times New Roman" w:hAnsi="Times New Roman"/>
          <w:sz w:val="24"/>
        </w:rPr>
      </w:pPr>
      <w:r>
        <w:rPr>
          <w:rFonts w:ascii="Times New Roman" w:hAnsi="Times New Roman"/>
          <w:sz w:val="24"/>
        </w:rPr>
        <w:t>The invasive nature of ants, ability to adapt to a wide range of habitats, highly mobile nature and abundant food source (e.g. honeydew excreted by sap-sucking insects, nectar, pollen) support a likelihood estimate for distribution of ‘high’.</w:t>
      </w:r>
    </w:p>
    <w:p w14:paraId="481BFDA0" w14:textId="77777777" w:rsidR="009D3DC8" w:rsidRDefault="009D3DC8">
      <w:pPr>
        <w:pStyle w:val="Heading4"/>
        <w:keepLines w:val="0"/>
        <w:spacing w:before="240" w:after="120" w:line="275"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 xml:space="preserve">Overall probability of entry (importation </w:t>
      </w:r>
      <w:r>
        <w:rPr>
          <w:rFonts w:ascii="Times New Roman" w:hAnsi="Times New Roman" w:cs="Arial"/>
          <w:i w:val="0"/>
          <w:iCs w:val="0"/>
          <w:color w:val="000000"/>
          <w:sz w:val="24"/>
          <w:szCs w:val="28"/>
        </w:rPr>
        <w:sym w:font="Symbol" w:char="F0B4"/>
      </w:r>
      <w:r>
        <w:rPr>
          <w:rFonts w:ascii="Times New Roman" w:hAnsi="Times New Roman" w:cs="Arial"/>
          <w:i w:val="0"/>
          <w:iCs w:val="0"/>
          <w:color w:val="000000"/>
          <w:sz w:val="24"/>
          <w:szCs w:val="28"/>
        </w:rPr>
        <w:t xml:space="preserve"> distribution)</w:t>
      </w:r>
    </w:p>
    <w:p w14:paraId="74DDC787"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is determined by combining the probabilities of importation and of distribution using the matrix of rules shown in Table 2.2.</w:t>
      </w:r>
    </w:p>
    <w:p w14:paraId="7B3C6F2A" w14:textId="77777777" w:rsidR="009D3DC8" w:rsidRDefault="009D3DC8">
      <w:pPr>
        <w:spacing w:before="180" w:line="280" w:lineRule="atLeast"/>
        <w:rPr>
          <w:rFonts w:ascii="Times New Roman" w:hAnsi="Times New Roman"/>
        </w:rPr>
      </w:pPr>
      <w:r>
        <w:rPr>
          <w:rFonts w:ascii="Times New Roman" w:hAnsi="Times New Roman"/>
          <w:sz w:val="24"/>
        </w:rPr>
        <w:t xml:space="preserve">The likelihood that </w:t>
      </w:r>
      <w:r>
        <w:rPr>
          <w:rFonts w:ascii="Times New Roman" w:hAnsi="Times New Roman"/>
          <w:i/>
          <w:sz w:val="24"/>
        </w:rPr>
        <w:t>Camponotus</w:t>
      </w:r>
      <w:r>
        <w:rPr>
          <w:rFonts w:ascii="Times New Roman" w:hAnsi="Times New Roman"/>
          <w:sz w:val="24"/>
        </w:rPr>
        <w:t xml:space="preserve"> sp., </w:t>
      </w:r>
      <w:r>
        <w:rPr>
          <w:rFonts w:ascii="Times New Roman" w:hAnsi="Times New Roman"/>
          <w:i/>
          <w:sz w:val="24"/>
        </w:rPr>
        <w:t>Cardiocondyla</w:t>
      </w:r>
      <w:r>
        <w:rPr>
          <w:rFonts w:ascii="Times New Roman" w:hAnsi="Times New Roman"/>
          <w:sz w:val="24"/>
        </w:rPr>
        <w:t xml:space="preserve"> sp., </w:t>
      </w:r>
      <w:r>
        <w:rPr>
          <w:rFonts w:ascii="Times New Roman" w:hAnsi="Times New Roman"/>
          <w:i/>
          <w:sz w:val="24"/>
        </w:rPr>
        <w:t>Crematogaster</w:t>
      </w:r>
      <w:r>
        <w:rPr>
          <w:rFonts w:ascii="Times New Roman" w:hAnsi="Times New Roman"/>
          <w:sz w:val="24"/>
        </w:rPr>
        <w:t xml:space="preserve"> sp., </w:t>
      </w:r>
      <w:r>
        <w:rPr>
          <w:rFonts w:ascii="Times New Roman" w:hAnsi="Times New Roman"/>
          <w:i/>
          <w:sz w:val="24"/>
        </w:rPr>
        <w:t>Dolichoderus</w:t>
      </w:r>
      <w:r>
        <w:rPr>
          <w:rFonts w:ascii="Times New Roman" w:hAnsi="Times New Roman"/>
          <w:sz w:val="24"/>
        </w:rPr>
        <w:t xml:space="preserve"> sp., </w:t>
      </w:r>
      <w:r>
        <w:rPr>
          <w:rFonts w:ascii="Times New Roman" w:hAnsi="Times New Roman"/>
          <w:i/>
          <w:sz w:val="24"/>
        </w:rPr>
        <w:t>Iridomyrmex</w:t>
      </w:r>
      <w:r>
        <w:rPr>
          <w:rFonts w:ascii="Times New Roman" w:hAnsi="Times New Roman"/>
          <w:sz w:val="24"/>
        </w:rPr>
        <w:t xml:space="preserve"> sp., </w:t>
      </w:r>
      <w:r>
        <w:rPr>
          <w:rFonts w:ascii="Times New Roman" w:hAnsi="Times New Roman"/>
          <w:i/>
          <w:sz w:val="24"/>
        </w:rPr>
        <w:t>Monomorium</w:t>
      </w:r>
      <w:r>
        <w:rPr>
          <w:rFonts w:ascii="Times New Roman" w:hAnsi="Times New Roman"/>
          <w:sz w:val="24"/>
        </w:rPr>
        <w:t xml:space="preserve"> sp., </w:t>
      </w:r>
      <w:r>
        <w:rPr>
          <w:rFonts w:ascii="Times New Roman" w:hAnsi="Times New Roman"/>
          <w:i/>
          <w:sz w:val="24"/>
        </w:rPr>
        <w:t>Paratrechina</w:t>
      </w:r>
      <w:r>
        <w:rPr>
          <w:rFonts w:ascii="Times New Roman" w:hAnsi="Times New Roman"/>
          <w:sz w:val="24"/>
        </w:rPr>
        <w:t xml:space="preserve"> sp., </w:t>
      </w:r>
      <w:r>
        <w:rPr>
          <w:rFonts w:ascii="Times New Roman" w:hAnsi="Times New Roman"/>
          <w:i/>
          <w:sz w:val="24"/>
        </w:rPr>
        <w:t>Pheidole</w:t>
      </w:r>
      <w:r>
        <w:rPr>
          <w:rFonts w:ascii="Times New Roman" w:hAnsi="Times New Roman"/>
          <w:sz w:val="24"/>
        </w:rPr>
        <w:t xml:space="preserve"> sp., </w:t>
      </w:r>
      <w:r>
        <w:rPr>
          <w:rFonts w:ascii="Times New Roman" w:hAnsi="Times New Roman"/>
          <w:i/>
          <w:sz w:val="24"/>
        </w:rPr>
        <w:t>Plagiolepis</w:t>
      </w:r>
      <w:r>
        <w:rPr>
          <w:rFonts w:ascii="Times New Roman" w:hAnsi="Times New Roman"/>
          <w:sz w:val="24"/>
        </w:rPr>
        <w:t xml:space="preserve"> sp., </w:t>
      </w:r>
      <w:r>
        <w:rPr>
          <w:rFonts w:ascii="Times New Roman" w:hAnsi="Times New Roman"/>
          <w:i/>
          <w:sz w:val="24"/>
        </w:rPr>
        <w:t>Polyrhachis</w:t>
      </w:r>
      <w:r>
        <w:rPr>
          <w:rFonts w:ascii="Times New Roman" w:hAnsi="Times New Roman"/>
          <w:sz w:val="24"/>
        </w:rPr>
        <w:t xml:space="preserve"> sp., </w:t>
      </w:r>
      <w:r>
        <w:rPr>
          <w:rFonts w:ascii="Times New Roman" w:hAnsi="Times New Roman"/>
          <w:i/>
          <w:sz w:val="24"/>
        </w:rPr>
        <w:t>Tapinoma</w:t>
      </w:r>
      <w:r>
        <w:rPr>
          <w:rFonts w:ascii="Times New Roman" w:hAnsi="Times New Roman"/>
          <w:sz w:val="24"/>
        </w:rPr>
        <w:t xml:space="preserve"> sp., </w:t>
      </w:r>
      <w:r>
        <w:rPr>
          <w:rFonts w:ascii="Times New Roman" w:hAnsi="Times New Roman"/>
          <w:i/>
          <w:sz w:val="24"/>
        </w:rPr>
        <w:t>Technomyrmex</w:t>
      </w:r>
      <w:r>
        <w:rPr>
          <w:rFonts w:ascii="Times New Roman" w:hAnsi="Times New Roman"/>
          <w:sz w:val="24"/>
        </w:rPr>
        <w:t xml:space="preserve"> sp., </w:t>
      </w:r>
      <w:r>
        <w:rPr>
          <w:rFonts w:ascii="Times New Roman" w:hAnsi="Times New Roman"/>
          <w:i/>
          <w:sz w:val="24"/>
        </w:rPr>
        <w:t>Tetramorium</w:t>
      </w:r>
      <w:r>
        <w:rPr>
          <w:rFonts w:ascii="Times New Roman" w:hAnsi="Times New Roman"/>
          <w:sz w:val="24"/>
        </w:rPr>
        <w:t xml:space="preserve"> sp., and </w:t>
      </w:r>
      <w:r>
        <w:rPr>
          <w:rFonts w:ascii="Times New Roman" w:hAnsi="Times New Roman"/>
          <w:i/>
          <w:sz w:val="24"/>
        </w:rPr>
        <w:t>Wasmannia</w:t>
      </w:r>
      <w:r>
        <w:rPr>
          <w:rFonts w:ascii="Times New Roman" w:hAnsi="Times New Roman"/>
          <w:sz w:val="24"/>
        </w:rPr>
        <w:t xml:space="preserve"> </w:t>
      </w:r>
      <w:r>
        <w:rPr>
          <w:rFonts w:ascii="Times New Roman" w:hAnsi="Times New Roman"/>
          <w:i/>
          <w:sz w:val="24"/>
        </w:rPr>
        <w:t xml:space="preserve">auropunctata </w:t>
      </w:r>
      <w:r>
        <w:rPr>
          <w:rFonts w:ascii="Times New Roman" w:hAnsi="Times New Roman"/>
          <w:sz w:val="24"/>
        </w:rPr>
        <w:t xml:space="preserve">will enter Australia as a result of trade in mangosteen fruit from Indonesia and be distributed in a viable state to a susceptible host is: </w:t>
      </w:r>
      <w:r>
        <w:rPr>
          <w:rFonts w:ascii="Times New Roman" w:hAnsi="Times New Roman"/>
          <w:b/>
          <w:sz w:val="24"/>
        </w:rPr>
        <w:t>HIGH</w:t>
      </w:r>
      <w:r>
        <w:rPr>
          <w:rFonts w:ascii="Times New Roman" w:hAnsi="Times New Roman"/>
          <w:sz w:val="24"/>
        </w:rPr>
        <w:t>.</w:t>
      </w:r>
    </w:p>
    <w:p w14:paraId="58819877" w14:textId="77777777" w:rsidR="009D3DC8" w:rsidRDefault="009D3DC8">
      <w:pPr>
        <w:pStyle w:val="Heading3"/>
        <w:numPr>
          <w:ilvl w:val="2"/>
          <w:numId w:val="8"/>
        </w:numPr>
        <w:spacing w:line="240" w:lineRule="auto"/>
      </w:pPr>
      <w:r>
        <w:t>Probability of establishment and of spread</w:t>
      </w:r>
    </w:p>
    <w:p w14:paraId="7EC2F0F5"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above, the probability of establishment and of spread for the listed ant species is being based on the assessment for </w:t>
      </w:r>
      <w:r>
        <w:rPr>
          <w:rFonts w:ascii="Times New Roman" w:hAnsi="Times New Roman"/>
          <w:i/>
          <w:sz w:val="24"/>
        </w:rPr>
        <w:t>Wasmannia auropunctata</w:t>
      </w:r>
      <w:r>
        <w:rPr>
          <w:rFonts w:ascii="Times New Roman" w:hAnsi="Times New Roman"/>
          <w:sz w:val="24"/>
        </w:rPr>
        <w:t xml:space="preserve"> on limes from New Caledonia (Biosecurity Australia 2006a). The ratings from the previous assessment are presented below:</w:t>
      </w:r>
    </w:p>
    <w:p w14:paraId="17A2DE25" w14:textId="77777777" w:rsidR="009D3DC8" w:rsidRDefault="009D3DC8">
      <w:pPr>
        <w:spacing w:before="180" w:line="280" w:lineRule="atLeast"/>
        <w:rPr>
          <w:rFonts w:ascii="Times New Roman" w:hAnsi="Times New Roman"/>
          <w:sz w:val="24"/>
        </w:rPr>
      </w:pPr>
      <w:r>
        <w:rPr>
          <w:rFonts w:ascii="Times New Roman" w:hAnsi="Times New Roman"/>
          <w:sz w:val="24"/>
        </w:rPr>
        <w:t>Probability of establishment:</w:t>
      </w:r>
      <w:r>
        <w:rPr>
          <w:rFonts w:ascii="Times New Roman" w:hAnsi="Times New Roman"/>
          <w:sz w:val="24"/>
        </w:rPr>
        <w:tab/>
      </w:r>
      <w:r>
        <w:rPr>
          <w:rFonts w:ascii="Times New Roman" w:hAnsi="Times New Roman"/>
          <w:sz w:val="24"/>
        </w:rPr>
        <w:tab/>
      </w:r>
      <w:r>
        <w:rPr>
          <w:rFonts w:ascii="Times New Roman" w:hAnsi="Times New Roman"/>
          <w:b/>
          <w:sz w:val="24"/>
        </w:rPr>
        <w:t>MODERATE</w:t>
      </w:r>
    </w:p>
    <w:p w14:paraId="5E30DDB9" w14:textId="77777777" w:rsidR="009D3DC8" w:rsidRDefault="009D3DC8">
      <w:pPr>
        <w:spacing w:before="180" w:line="280" w:lineRule="atLeast"/>
        <w:rPr>
          <w:rFonts w:ascii="Times New Roman" w:hAnsi="Times New Roman"/>
          <w:sz w:val="24"/>
        </w:rPr>
      </w:pPr>
      <w:r>
        <w:rPr>
          <w:rFonts w:ascii="Times New Roman" w:hAnsi="Times New Roman"/>
          <w:sz w:val="24"/>
        </w:rPr>
        <w:t>Probability of spread: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HIGH</w:t>
      </w:r>
    </w:p>
    <w:p w14:paraId="13B6E976" w14:textId="77777777" w:rsidR="009D3DC8" w:rsidRDefault="009D3DC8">
      <w:pPr>
        <w:pStyle w:val="Heading3"/>
        <w:numPr>
          <w:ilvl w:val="2"/>
          <w:numId w:val="8"/>
        </w:numPr>
        <w:spacing w:line="240" w:lineRule="auto"/>
      </w:pPr>
      <w:r>
        <w:t>Overall probability of entry, establishment and spread</w:t>
      </w:r>
    </w:p>
    <w:p w14:paraId="6B2712E1" w14:textId="77777777" w:rsidR="009D3DC8" w:rsidRDefault="009D3DC8">
      <w:pPr>
        <w:spacing w:before="180" w:line="280" w:lineRule="atLeast"/>
        <w:rPr>
          <w:rFonts w:ascii="Times New Roman" w:hAnsi="Times New Roman"/>
          <w:sz w:val="24"/>
        </w:rPr>
      </w:pPr>
      <w:r>
        <w:rPr>
          <w:rFonts w:ascii="Times New Roman" w:hAnsi="Times New Roman"/>
          <w:sz w:val="24"/>
        </w:rPr>
        <w:t>The overall probability of entry, establishment and spread is determined by combining the probabilities of entry, of establishment and of spread using the matrix of ‘rules’ are shown in Table 2.2.</w:t>
      </w:r>
    </w:p>
    <w:p w14:paraId="550C38B9"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overall likelihood that the listed ants will enter Australia as a result of trade in mangosteen fruit from Indonesia, be distributed in a viable state to susceptible host, establish in Australia and subsequently spread within Australia: </w:t>
      </w:r>
      <w:r>
        <w:rPr>
          <w:rFonts w:ascii="Times New Roman" w:hAnsi="Times New Roman"/>
          <w:b/>
          <w:sz w:val="24"/>
        </w:rPr>
        <w:t>MODERATE</w:t>
      </w:r>
      <w:r>
        <w:rPr>
          <w:rFonts w:ascii="Times New Roman" w:hAnsi="Times New Roman"/>
          <w:sz w:val="24"/>
        </w:rPr>
        <w:t>.</w:t>
      </w:r>
    </w:p>
    <w:p w14:paraId="50E8FC21" w14:textId="77777777" w:rsidR="009D3DC8" w:rsidRDefault="009D3DC8">
      <w:pPr>
        <w:pStyle w:val="Heading3"/>
        <w:numPr>
          <w:ilvl w:val="2"/>
          <w:numId w:val="8"/>
        </w:numPr>
        <w:spacing w:line="240" w:lineRule="auto"/>
      </w:pPr>
      <w:r>
        <w:t>Consequences</w:t>
      </w:r>
    </w:p>
    <w:p w14:paraId="151D5F8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consequences of the establishment of </w:t>
      </w:r>
      <w:r>
        <w:rPr>
          <w:rFonts w:ascii="Times New Roman" w:hAnsi="Times New Roman"/>
          <w:i/>
          <w:sz w:val="24"/>
        </w:rPr>
        <w:t>Technomyrmex butteli</w:t>
      </w:r>
      <w:r>
        <w:rPr>
          <w:rFonts w:ascii="Times New Roman" w:hAnsi="Times New Roman"/>
          <w:sz w:val="24"/>
        </w:rPr>
        <w:t xml:space="preserve"> and an unidentified </w:t>
      </w:r>
      <w:r>
        <w:rPr>
          <w:rFonts w:ascii="Times New Roman" w:hAnsi="Times New Roman"/>
          <w:i/>
          <w:sz w:val="24"/>
        </w:rPr>
        <w:t>Dolichoderus</w:t>
      </w:r>
      <w:r>
        <w:rPr>
          <w:rFonts w:ascii="Times New Roman" w:hAnsi="Times New Roman"/>
          <w:sz w:val="24"/>
        </w:rPr>
        <w:t xml:space="preserve"> species in Australia have been estimated previously for mangosteens from Thailand as low (DAFF 2004b) and for </w:t>
      </w:r>
      <w:r>
        <w:rPr>
          <w:rFonts w:ascii="Times New Roman" w:hAnsi="Times New Roman"/>
          <w:i/>
          <w:sz w:val="24"/>
        </w:rPr>
        <w:t>Wasmannia auropunctata</w:t>
      </w:r>
      <w:r>
        <w:rPr>
          <w:rFonts w:ascii="Times New Roman" w:hAnsi="Times New Roman"/>
          <w:sz w:val="24"/>
        </w:rPr>
        <w:t xml:space="preserve"> for Tahitian limes from New Caledonia as moderate (Biosecurity Australia 2006a). This was presumably due to </w:t>
      </w:r>
      <w:r>
        <w:rPr>
          <w:rFonts w:ascii="Times New Roman" w:hAnsi="Times New Roman"/>
          <w:i/>
          <w:sz w:val="24"/>
        </w:rPr>
        <w:lastRenderedPageBreak/>
        <w:t>W. auropunctata</w:t>
      </w:r>
      <w:r>
        <w:rPr>
          <w:rFonts w:ascii="Times New Roman" w:hAnsi="Times New Roman"/>
          <w:sz w:val="24"/>
        </w:rPr>
        <w:t xml:space="preserve"> being a more highly invasive species that is capable of causing a reduction in the productivity of farm workers due to their stinging behaviour, leading to premium wages being paid to workers to work in infested areas as well as being rated amongst 100 of the world’s worst invasive alien species (Lowe</w:t>
      </w:r>
      <w:r>
        <w:rPr>
          <w:rFonts w:ascii="Times New Roman" w:hAnsi="Times New Roman"/>
          <w:i/>
          <w:sz w:val="24"/>
        </w:rPr>
        <w:t xml:space="preserve"> et al.</w:t>
      </w:r>
      <w:r>
        <w:rPr>
          <w:rFonts w:ascii="Times New Roman" w:hAnsi="Times New Roman"/>
          <w:sz w:val="24"/>
        </w:rPr>
        <w:t xml:space="preserve"> 2000) than either the unidentified </w:t>
      </w:r>
      <w:r>
        <w:rPr>
          <w:rFonts w:ascii="Times New Roman" w:hAnsi="Times New Roman"/>
          <w:i/>
          <w:sz w:val="24"/>
        </w:rPr>
        <w:t>Dolichoderus</w:t>
      </w:r>
      <w:r>
        <w:rPr>
          <w:rFonts w:ascii="Times New Roman" w:hAnsi="Times New Roman"/>
          <w:sz w:val="24"/>
        </w:rPr>
        <w:t xml:space="preserve"> species or </w:t>
      </w:r>
      <w:r>
        <w:rPr>
          <w:rFonts w:ascii="Times New Roman" w:hAnsi="Times New Roman"/>
          <w:i/>
          <w:sz w:val="24"/>
        </w:rPr>
        <w:t>Technomyrmex butteli</w:t>
      </w:r>
      <w:r>
        <w:rPr>
          <w:rFonts w:ascii="Times New Roman" w:hAnsi="Times New Roman"/>
          <w:sz w:val="24"/>
        </w:rPr>
        <w:t xml:space="preserve"> on Thai mangosteens. This risk assessment takes a conservative approach and rates the consequences for the unidentified ant species and </w:t>
      </w:r>
      <w:r>
        <w:rPr>
          <w:rFonts w:ascii="Times New Roman" w:hAnsi="Times New Roman"/>
          <w:i/>
          <w:sz w:val="24"/>
        </w:rPr>
        <w:t>Wasmannia auropunctata</w:t>
      </w:r>
      <w:r>
        <w:rPr>
          <w:rFonts w:ascii="Times New Roman" w:hAnsi="Times New Roman"/>
          <w:sz w:val="24"/>
        </w:rPr>
        <w:t xml:space="preserve"> which is under official control and eradication in Queensland (DEEDI 2011; IPPC 2012) as moderate.</w:t>
      </w:r>
    </w:p>
    <w:p w14:paraId="22E7445E" w14:textId="77777777" w:rsidR="009D3DC8" w:rsidRDefault="009D3DC8">
      <w:pPr>
        <w:spacing w:before="180" w:line="280" w:lineRule="atLeast"/>
        <w:rPr>
          <w:rFonts w:ascii="Times New Roman" w:hAnsi="Times New Roman"/>
          <w:sz w:val="24"/>
        </w:rPr>
      </w:pPr>
      <w:r>
        <w:rPr>
          <w:rFonts w:ascii="Times New Roman" w:hAnsi="Times New Roman"/>
          <w:sz w:val="24"/>
        </w:rPr>
        <w:t>The estimate of impact is provided below. As the ratings were conducted on a scale from A to F, they have been adjusted to reflect a current rating scale from A to G.</w:t>
      </w:r>
    </w:p>
    <w:p w14:paraId="1D36A111" w14:textId="77777777" w:rsidR="009D3DC8" w:rsidRDefault="009D3DC8">
      <w:pPr>
        <w:spacing w:after="0" w:line="240" w:lineRule="auto"/>
        <w:rPr>
          <w:rFonts w:ascii="Times New Roman" w:hAnsi="Times New Roman"/>
          <w:sz w:val="24"/>
        </w:rPr>
      </w:pPr>
      <w:r>
        <w:rPr>
          <w:rFonts w:ascii="Times New Roman" w:hAnsi="Times New Roman"/>
          <w:sz w:val="24"/>
        </w:rPr>
        <w:t>Plant life or health</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C</w:t>
      </w:r>
    </w:p>
    <w:p w14:paraId="53CDD7A0" w14:textId="77777777" w:rsidR="009D3DC8" w:rsidRDefault="009D3DC8">
      <w:pPr>
        <w:spacing w:after="0" w:line="240" w:lineRule="auto"/>
        <w:rPr>
          <w:rFonts w:ascii="Times New Roman" w:hAnsi="Times New Roman"/>
          <w:b/>
          <w:sz w:val="24"/>
        </w:rPr>
      </w:pPr>
      <w:r>
        <w:rPr>
          <w:rFonts w:ascii="Times New Roman" w:hAnsi="Times New Roman"/>
          <w:sz w:val="24"/>
        </w:rPr>
        <w:t>Any other aspects of the environment</w:t>
      </w:r>
      <w:r>
        <w:rPr>
          <w:rFonts w:ascii="Times New Roman" w:hAnsi="Times New Roman"/>
          <w:sz w:val="24"/>
        </w:rPr>
        <w:tab/>
      </w:r>
      <w:r>
        <w:rPr>
          <w:rFonts w:ascii="Times New Roman" w:hAnsi="Times New Roman"/>
          <w:b/>
          <w:sz w:val="24"/>
        </w:rPr>
        <w:t>E</w:t>
      </w:r>
    </w:p>
    <w:p w14:paraId="1AD5F5C9" w14:textId="77777777" w:rsidR="009D3DC8" w:rsidRDefault="009D3DC8">
      <w:pPr>
        <w:spacing w:after="0" w:line="240" w:lineRule="auto"/>
        <w:rPr>
          <w:rFonts w:ascii="Times New Roman" w:hAnsi="Times New Roman"/>
          <w:b/>
          <w:sz w:val="24"/>
        </w:rPr>
      </w:pPr>
      <w:r>
        <w:rPr>
          <w:rFonts w:ascii="Times New Roman" w:hAnsi="Times New Roman"/>
          <w:sz w:val="24"/>
        </w:rPr>
        <w:t>Eradication, control etc.</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E</w:t>
      </w:r>
    </w:p>
    <w:p w14:paraId="1D42DFA3" w14:textId="77777777" w:rsidR="009D3DC8" w:rsidRDefault="009D3DC8">
      <w:pPr>
        <w:spacing w:after="0" w:line="240" w:lineRule="auto"/>
        <w:rPr>
          <w:rFonts w:ascii="Times New Roman" w:hAnsi="Times New Roman"/>
          <w:sz w:val="24"/>
        </w:rPr>
      </w:pPr>
      <w:r>
        <w:rPr>
          <w:rFonts w:ascii="Times New Roman" w:hAnsi="Times New Roman"/>
          <w:sz w:val="24"/>
        </w:rPr>
        <w:t>Domestic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E</w:t>
      </w:r>
    </w:p>
    <w:p w14:paraId="298A2BDC" w14:textId="77777777" w:rsidR="009D3DC8" w:rsidRDefault="009D3DC8">
      <w:pPr>
        <w:spacing w:after="0" w:line="240" w:lineRule="auto"/>
        <w:rPr>
          <w:rFonts w:ascii="Times New Roman" w:hAnsi="Times New Roman"/>
          <w:sz w:val="24"/>
        </w:rPr>
      </w:pPr>
      <w:r>
        <w:rPr>
          <w:rFonts w:ascii="Times New Roman" w:hAnsi="Times New Roman"/>
          <w:sz w:val="24"/>
        </w:rPr>
        <w:t>International trade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34C160E1" w14:textId="77777777" w:rsidR="009D3DC8" w:rsidRDefault="009D3DC8">
      <w:pPr>
        <w:spacing w:after="0" w:line="240" w:lineRule="auto"/>
        <w:rPr>
          <w:rFonts w:ascii="Times New Roman" w:hAnsi="Times New Roman"/>
          <w:sz w:val="24"/>
        </w:rPr>
      </w:pPr>
      <w:r>
        <w:rPr>
          <w:rFonts w:ascii="Times New Roman" w:hAnsi="Times New Roman"/>
          <w:sz w:val="24"/>
        </w:rPr>
        <w:t>Environment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D</w:t>
      </w:r>
    </w:p>
    <w:p w14:paraId="79AE55ED" w14:textId="77777777" w:rsidR="009D3DC8" w:rsidRDefault="009D3DC8">
      <w:pPr>
        <w:spacing w:before="180" w:line="280" w:lineRule="atLeast"/>
        <w:rPr>
          <w:rFonts w:ascii="Times New Roman" w:hAnsi="Times New Roman"/>
          <w:sz w:val="24"/>
        </w:rPr>
      </w:pPr>
      <w:r>
        <w:rPr>
          <w:rFonts w:ascii="Times New Roman" w:hAnsi="Times New Roman"/>
          <w:sz w:val="24"/>
        </w:rPr>
        <w:t>Based on the decision rules described in Table 2.4, that is, where the consequences of a pest with respect to one or more criteria are ‘</w:t>
      </w:r>
      <w:r>
        <w:rPr>
          <w:rFonts w:ascii="Times New Roman" w:hAnsi="Times New Roman"/>
          <w:b/>
          <w:sz w:val="24"/>
        </w:rPr>
        <w:t>E</w:t>
      </w:r>
      <w:r>
        <w:rPr>
          <w:rFonts w:ascii="Times New Roman" w:hAnsi="Times New Roman"/>
          <w:sz w:val="24"/>
        </w:rPr>
        <w:t xml:space="preserve">’, the overall consequences are considered to be: </w:t>
      </w:r>
      <w:r>
        <w:rPr>
          <w:rFonts w:ascii="Times New Roman" w:hAnsi="Times New Roman"/>
          <w:b/>
          <w:sz w:val="24"/>
        </w:rPr>
        <w:t>MODERAT</w:t>
      </w:r>
      <w:bookmarkEnd w:id="77"/>
      <w:r>
        <w:rPr>
          <w:rFonts w:ascii="Times New Roman" w:hAnsi="Times New Roman"/>
          <w:b/>
          <w:sz w:val="24"/>
        </w:rPr>
        <w:t>E</w:t>
      </w:r>
      <w:r>
        <w:rPr>
          <w:rFonts w:ascii="Times New Roman" w:hAnsi="Times New Roman"/>
          <w:sz w:val="24"/>
        </w:rPr>
        <w:t>.</w:t>
      </w:r>
    </w:p>
    <w:p w14:paraId="30235C29" w14:textId="77777777" w:rsidR="009D3DC8" w:rsidRDefault="009D3DC8">
      <w:pPr>
        <w:pStyle w:val="Heading3"/>
        <w:numPr>
          <w:ilvl w:val="2"/>
          <w:numId w:val="8"/>
        </w:numPr>
        <w:spacing w:line="240" w:lineRule="auto"/>
      </w:pPr>
      <w:r>
        <w:t>Unrestricted risk estimate</w:t>
      </w:r>
    </w:p>
    <w:p w14:paraId="57935C7F" w14:textId="77777777" w:rsidR="009D3DC8" w:rsidRDefault="009D3DC8">
      <w:pPr>
        <w:spacing w:before="180" w:after="180" w:line="280" w:lineRule="atLeast"/>
        <w:rPr>
          <w:rFonts w:ascii="Times New Roman" w:hAnsi="Times New Roman"/>
          <w:sz w:val="24"/>
        </w:rPr>
      </w:pPr>
      <w:r>
        <w:rPr>
          <w:rFonts w:ascii="Times New Roman" w:hAnsi="Times New Roman"/>
          <w:sz w:val="24"/>
        </w:rPr>
        <w:t>Unrestricted risk is the result of combining the probability of entry, establishment and spread with the estimate of consequences. Probabilities and consequences are combined using the risk estimation matrix shown in Table 2.5.</w:t>
      </w:r>
    </w:p>
    <w:tbl>
      <w:tblPr>
        <w:tblW w:w="9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9"/>
        <w:gridCol w:w="2977"/>
      </w:tblGrid>
      <w:tr w:rsidR="009D3DC8" w14:paraId="64618F41" w14:textId="77777777">
        <w:tc>
          <w:tcPr>
            <w:tcW w:w="9436" w:type="dxa"/>
            <w:gridSpan w:val="2"/>
            <w:shd w:val="clear" w:color="auto" w:fill="E0E0E0"/>
          </w:tcPr>
          <w:p w14:paraId="4B50588A" w14:textId="77777777" w:rsidR="009D3DC8" w:rsidRDefault="009D3DC8">
            <w:pPr>
              <w:pStyle w:val="TableText1"/>
              <w:rPr>
                <w:rFonts w:ascii="Arial" w:hAnsi="Arial" w:cs="Arial"/>
                <w:b/>
              </w:rPr>
            </w:pPr>
            <w:r>
              <w:rPr>
                <w:rFonts w:ascii="Arial" w:hAnsi="Arial" w:cs="Arial"/>
                <w:b/>
              </w:rPr>
              <w:t xml:space="preserve">Unrestricted risk estimate for </w:t>
            </w:r>
            <w:r>
              <w:rPr>
                <w:rFonts w:ascii="Arial" w:hAnsi="Arial" w:cs="Arial"/>
                <w:b/>
                <w:i/>
              </w:rPr>
              <w:t>Camponotus</w:t>
            </w:r>
            <w:r>
              <w:rPr>
                <w:rFonts w:ascii="Arial" w:hAnsi="Arial" w:cs="Arial"/>
                <w:b/>
              </w:rPr>
              <w:t xml:space="preserve"> sp., </w:t>
            </w:r>
            <w:r>
              <w:rPr>
                <w:rFonts w:ascii="Arial" w:hAnsi="Arial" w:cs="Arial"/>
                <w:b/>
                <w:i/>
              </w:rPr>
              <w:t>Cardiocondyla</w:t>
            </w:r>
            <w:r>
              <w:rPr>
                <w:rFonts w:ascii="Arial" w:hAnsi="Arial" w:cs="Arial"/>
                <w:b/>
              </w:rPr>
              <w:t xml:space="preserve"> sp., </w:t>
            </w:r>
            <w:r>
              <w:rPr>
                <w:rFonts w:ascii="Arial" w:hAnsi="Arial" w:cs="Arial"/>
                <w:b/>
                <w:i/>
              </w:rPr>
              <w:t>Crematogaster</w:t>
            </w:r>
            <w:r>
              <w:rPr>
                <w:rFonts w:ascii="Arial" w:hAnsi="Arial" w:cs="Arial"/>
                <w:b/>
              </w:rPr>
              <w:t xml:space="preserve"> sp., </w:t>
            </w:r>
            <w:r>
              <w:rPr>
                <w:rFonts w:ascii="Arial" w:hAnsi="Arial" w:cs="Arial"/>
                <w:b/>
                <w:i/>
              </w:rPr>
              <w:t>Dolichoderus</w:t>
            </w:r>
            <w:r>
              <w:rPr>
                <w:rFonts w:ascii="Arial" w:hAnsi="Arial" w:cs="Arial"/>
                <w:b/>
              </w:rPr>
              <w:t xml:space="preserve"> sp., </w:t>
            </w:r>
            <w:r>
              <w:rPr>
                <w:rFonts w:ascii="Arial" w:hAnsi="Arial" w:cs="Arial"/>
                <w:b/>
                <w:i/>
              </w:rPr>
              <w:t>Iridomyrmex</w:t>
            </w:r>
            <w:r>
              <w:rPr>
                <w:rFonts w:ascii="Arial" w:hAnsi="Arial" w:cs="Arial"/>
                <w:b/>
              </w:rPr>
              <w:t xml:space="preserve"> sp., </w:t>
            </w:r>
            <w:r>
              <w:rPr>
                <w:rFonts w:ascii="Arial" w:hAnsi="Arial" w:cs="Arial"/>
                <w:b/>
                <w:i/>
              </w:rPr>
              <w:t>Monomorium</w:t>
            </w:r>
            <w:r>
              <w:rPr>
                <w:rFonts w:ascii="Arial" w:hAnsi="Arial" w:cs="Arial"/>
                <w:b/>
              </w:rPr>
              <w:t xml:space="preserve"> sp., </w:t>
            </w:r>
            <w:r>
              <w:rPr>
                <w:rFonts w:ascii="Arial" w:hAnsi="Arial" w:cs="Arial"/>
                <w:b/>
                <w:i/>
              </w:rPr>
              <w:t>Paratrechina</w:t>
            </w:r>
            <w:r>
              <w:rPr>
                <w:rFonts w:ascii="Arial" w:hAnsi="Arial" w:cs="Arial"/>
                <w:b/>
              </w:rPr>
              <w:t xml:space="preserve"> sp., </w:t>
            </w:r>
            <w:r>
              <w:rPr>
                <w:rFonts w:ascii="Arial" w:hAnsi="Arial" w:cs="Arial"/>
                <w:b/>
                <w:i/>
              </w:rPr>
              <w:t>Pheidole</w:t>
            </w:r>
            <w:r>
              <w:rPr>
                <w:rFonts w:ascii="Arial" w:hAnsi="Arial" w:cs="Arial"/>
                <w:b/>
              </w:rPr>
              <w:t xml:space="preserve"> sp., </w:t>
            </w:r>
            <w:r>
              <w:rPr>
                <w:rFonts w:ascii="Arial" w:hAnsi="Arial" w:cs="Arial"/>
                <w:b/>
                <w:i/>
              </w:rPr>
              <w:t>Plagiolepis</w:t>
            </w:r>
            <w:r>
              <w:rPr>
                <w:rFonts w:ascii="Arial" w:hAnsi="Arial" w:cs="Arial"/>
                <w:b/>
              </w:rPr>
              <w:t xml:space="preserve"> sp., </w:t>
            </w:r>
            <w:r>
              <w:rPr>
                <w:rFonts w:ascii="Arial" w:hAnsi="Arial" w:cs="Arial"/>
                <w:b/>
                <w:i/>
              </w:rPr>
              <w:t>Polyrhachis</w:t>
            </w:r>
            <w:r>
              <w:rPr>
                <w:rFonts w:ascii="Arial" w:hAnsi="Arial" w:cs="Arial"/>
                <w:b/>
              </w:rPr>
              <w:t xml:space="preserve"> sp., </w:t>
            </w:r>
            <w:r>
              <w:rPr>
                <w:rFonts w:ascii="Arial" w:hAnsi="Arial" w:cs="Arial"/>
                <w:b/>
                <w:i/>
              </w:rPr>
              <w:t>Tapinoma</w:t>
            </w:r>
            <w:r>
              <w:rPr>
                <w:rFonts w:ascii="Arial" w:hAnsi="Arial" w:cs="Arial"/>
                <w:b/>
              </w:rPr>
              <w:t xml:space="preserve"> sp., </w:t>
            </w:r>
            <w:r>
              <w:rPr>
                <w:rFonts w:ascii="Arial" w:hAnsi="Arial" w:cs="Arial"/>
                <w:b/>
                <w:i/>
              </w:rPr>
              <w:t>Technomyrmex</w:t>
            </w:r>
            <w:r>
              <w:rPr>
                <w:rFonts w:ascii="Arial" w:hAnsi="Arial" w:cs="Arial"/>
                <w:b/>
              </w:rPr>
              <w:t xml:space="preserve"> sp., </w:t>
            </w:r>
            <w:r>
              <w:rPr>
                <w:rFonts w:ascii="Arial" w:hAnsi="Arial" w:cs="Arial"/>
                <w:b/>
                <w:i/>
              </w:rPr>
              <w:t>Tetramorium</w:t>
            </w:r>
            <w:r>
              <w:rPr>
                <w:rFonts w:ascii="Arial" w:hAnsi="Arial" w:cs="Arial"/>
                <w:b/>
              </w:rPr>
              <w:t xml:space="preserve"> sp. and </w:t>
            </w:r>
            <w:r>
              <w:rPr>
                <w:rFonts w:ascii="Arial" w:hAnsi="Arial" w:cs="Arial"/>
                <w:b/>
                <w:i/>
              </w:rPr>
              <w:t>Wasmannia</w:t>
            </w:r>
            <w:r>
              <w:rPr>
                <w:rFonts w:ascii="Arial" w:hAnsi="Arial" w:cs="Arial"/>
                <w:b/>
              </w:rPr>
              <w:t xml:space="preserve"> </w:t>
            </w:r>
            <w:r>
              <w:rPr>
                <w:rFonts w:ascii="Arial" w:hAnsi="Arial" w:cs="Arial"/>
                <w:b/>
                <w:i/>
              </w:rPr>
              <w:t>auropunctata</w:t>
            </w:r>
          </w:p>
        </w:tc>
      </w:tr>
      <w:tr w:rsidR="009D3DC8" w14:paraId="3F1A2CD4" w14:textId="77777777">
        <w:tc>
          <w:tcPr>
            <w:tcW w:w="6459" w:type="dxa"/>
            <w:tcBorders>
              <w:bottom w:val="single" w:sz="8" w:space="0" w:color="C0C0C0"/>
            </w:tcBorders>
          </w:tcPr>
          <w:p w14:paraId="0DC1AAC0" w14:textId="77777777" w:rsidR="009D3DC8" w:rsidRDefault="009D3DC8">
            <w:pPr>
              <w:pStyle w:val="TableText1"/>
              <w:rPr>
                <w:rFonts w:ascii="Arial" w:hAnsi="Arial" w:cs="Arial"/>
              </w:rPr>
            </w:pPr>
            <w:r>
              <w:rPr>
                <w:rFonts w:ascii="Arial" w:hAnsi="Arial" w:cs="Arial"/>
              </w:rPr>
              <w:t>Overall probability of entry, establishment and spread</w:t>
            </w:r>
          </w:p>
        </w:tc>
        <w:tc>
          <w:tcPr>
            <w:tcW w:w="2977" w:type="dxa"/>
            <w:tcBorders>
              <w:bottom w:val="single" w:sz="8" w:space="0" w:color="C0C0C0"/>
            </w:tcBorders>
          </w:tcPr>
          <w:p w14:paraId="59C03E12" w14:textId="77777777" w:rsidR="009D3DC8" w:rsidRDefault="009D3DC8">
            <w:pPr>
              <w:pStyle w:val="TableText1"/>
              <w:rPr>
                <w:rFonts w:ascii="Arial" w:hAnsi="Arial" w:cs="Arial"/>
              </w:rPr>
            </w:pPr>
            <w:r>
              <w:rPr>
                <w:rFonts w:ascii="Arial" w:hAnsi="Arial" w:cs="Arial"/>
              </w:rPr>
              <w:t>Moderate</w:t>
            </w:r>
          </w:p>
        </w:tc>
      </w:tr>
      <w:tr w:rsidR="009D3DC8" w14:paraId="2E38F713" w14:textId="77777777">
        <w:tc>
          <w:tcPr>
            <w:tcW w:w="6459" w:type="dxa"/>
            <w:tcBorders>
              <w:top w:val="single" w:sz="8" w:space="0" w:color="C0C0C0"/>
            </w:tcBorders>
          </w:tcPr>
          <w:p w14:paraId="6A369741" w14:textId="77777777" w:rsidR="009D3DC8" w:rsidRDefault="009D3DC8">
            <w:pPr>
              <w:pStyle w:val="TableText1"/>
              <w:rPr>
                <w:rFonts w:ascii="Arial" w:hAnsi="Arial" w:cs="Arial"/>
              </w:rPr>
            </w:pPr>
            <w:r>
              <w:rPr>
                <w:rFonts w:ascii="Arial" w:hAnsi="Arial" w:cs="Arial"/>
              </w:rPr>
              <w:t>Consequences</w:t>
            </w:r>
          </w:p>
        </w:tc>
        <w:tc>
          <w:tcPr>
            <w:tcW w:w="2977" w:type="dxa"/>
            <w:tcBorders>
              <w:top w:val="single" w:sz="8" w:space="0" w:color="C0C0C0"/>
            </w:tcBorders>
          </w:tcPr>
          <w:p w14:paraId="4B559B70" w14:textId="77777777" w:rsidR="009D3DC8" w:rsidRDefault="009D3DC8">
            <w:pPr>
              <w:pStyle w:val="TableText1"/>
              <w:rPr>
                <w:rFonts w:ascii="Arial" w:hAnsi="Arial" w:cs="Arial"/>
              </w:rPr>
            </w:pPr>
            <w:r>
              <w:rPr>
                <w:rFonts w:ascii="Arial" w:hAnsi="Arial" w:cs="Arial"/>
              </w:rPr>
              <w:t>Moderate</w:t>
            </w:r>
          </w:p>
        </w:tc>
      </w:tr>
      <w:tr w:rsidR="009D3DC8" w14:paraId="144F9A3F" w14:textId="77777777">
        <w:tc>
          <w:tcPr>
            <w:tcW w:w="6459" w:type="dxa"/>
          </w:tcPr>
          <w:p w14:paraId="5A6B5025" w14:textId="77777777" w:rsidR="009D3DC8" w:rsidRDefault="009D3DC8">
            <w:pPr>
              <w:pStyle w:val="TableText1"/>
              <w:rPr>
                <w:rFonts w:ascii="Arial" w:hAnsi="Arial" w:cs="Arial"/>
              </w:rPr>
            </w:pPr>
            <w:r>
              <w:rPr>
                <w:rFonts w:ascii="Arial" w:hAnsi="Arial" w:cs="Arial"/>
              </w:rPr>
              <w:t>Unrestricted risk</w:t>
            </w:r>
          </w:p>
        </w:tc>
        <w:tc>
          <w:tcPr>
            <w:tcW w:w="2977" w:type="dxa"/>
          </w:tcPr>
          <w:p w14:paraId="61EE76C7" w14:textId="77777777" w:rsidR="009D3DC8" w:rsidRDefault="009D3DC8">
            <w:pPr>
              <w:pStyle w:val="TableText1"/>
              <w:rPr>
                <w:rFonts w:ascii="Arial" w:hAnsi="Arial" w:cs="Arial"/>
              </w:rPr>
            </w:pPr>
            <w:r>
              <w:rPr>
                <w:rFonts w:ascii="Arial" w:hAnsi="Arial" w:cs="Arial"/>
              </w:rPr>
              <w:t>Moderate</w:t>
            </w:r>
          </w:p>
        </w:tc>
      </w:tr>
    </w:tbl>
    <w:p w14:paraId="4CDD1038"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As indicated, the unrestricted risk estimate for </w:t>
      </w:r>
      <w:r>
        <w:rPr>
          <w:rFonts w:ascii="Times New Roman" w:hAnsi="Times New Roman"/>
          <w:i/>
          <w:sz w:val="24"/>
        </w:rPr>
        <w:t>Camponotus</w:t>
      </w:r>
      <w:r>
        <w:rPr>
          <w:rFonts w:ascii="Times New Roman" w:hAnsi="Times New Roman"/>
          <w:sz w:val="24"/>
        </w:rPr>
        <w:t xml:space="preserve"> sp., </w:t>
      </w:r>
      <w:r>
        <w:rPr>
          <w:rFonts w:ascii="Times New Roman" w:hAnsi="Times New Roman"/>
          <w:i/>
          <w:sz w:val="24"/>
        </w:rPr>
        <w:t>Cardiocondyla</w:t>
      </w:r>
      <w:r>
        <w:rPr>
          <w:rFonts w:ascii="Times New Roman" w:hAnsi="Times New Roman"/>
          <w:sz w:val="24"/>
        </w:rPr>
        <w:t xml:space="preserve"> sp., </w:t>
      </w:r>
      <w:r>
        <w:rPr>
          <w:rFonts w:ascii="Times New Roman" w:hAnsi="Times New Roman"/>
          <w:i/>
          <w:sz w:val="24"/>
        </w:rPr>
        <w:t>Crematogaster</w:t>
      </w:r>
      <w:r>
        <w:rPr>
          <w:rFonts w:ascii="Times New Roman" w:hAnsi="Times New Roman"/>
          <w:sz w:val="24"/>
        </w:rPr>
        <w:t xml:space="preserve"> sp., </w:t>
      </w:r>
      <w:r>
        <w:rPr>
          <w:rFonts w:ascii="Times New Roman" w:hAnsi="Times New Roman"/>
          <w:i/>
          <w:sz w:val="24"/>
        </w:rPr>
        <w:t>Dolichoderus</w:t>
      </w:r>
      <w:r>
        <w:rPr>
          <w:rFonts w:ascii="Times New Roman" w:hAnsi="Times New Roman"/>
          <w:sz w:val="24"/>
        </w:rPr>
        <w:t xml:space="preserve"> sp., </w:t>
      </w:r>
      <w:r>
        <w:rPr>
          <w:rFonts w:ascii="Times New Roman" w:hAnsi="Times New Roman"/>
          <w:i/>
          <w:sz w:val="24"/>
        </w:rPr>
        <w:t>Iridomyrmex</w:t>
      </w:r>
      <w:r>
        <w:rPr>
          <w:rFonts w:ascii="Times New Roman" w:hAnsi="Times New Roman"/>
          <w:sz w:val="24"/>
        </w:rPr>
        <w:t xml:space="preserve"> sp., </w:t>
      </w:r>
      <w:r>
        <w:rPr>
          <w:rFonts w:ascii="Times New Roman" w:hAnsi="Times New Roman"/>
          <w:i/>
          <w:sz w:val="24"/>
        </w:rPr>
        <w:t>Monomorium</w:t>
      </w:r>
      <w:r>
        <w:rPr>
          <w:rFonts w:ascii="Times New Roman" w:hAnsi="Times New Roman"/>
          <w:sz w:val="24"/>
        </w:rPr>
        <w:t xml:space="preserve"> sp., </w:t>
      </w:r>
      <w:r>
        <w:rPr>
          <w:rFonts w:ascii="Times New Roman" w:hAnsi="Times New Roman"/>
          <w:i/>
          <w:sz w:val="24"/>
        </w:rPr>
        <w:t>Paratrechina</w:t>
      </w:r>
      <w:r>
        <w:rPr>
          <w:rFonts w:ascii="Times New Roman" w:hAnsi="Times New Roman"/>
          <w:sz w:val="24"/>
        </w:rPr>
        <w:t xml:space="preserve"> sp., </w:t>
      </w:r>
      <w:r>
        <w:rPr>
          <w:rFonts w:ascii="Times New Roman" w:hAnsi="Times New Roman"/>
          <w:i/>
          <w:sz w:val="24"/>
        </w:rPr>
        <w:t>Pheidole</w:t>
      </w:r>
      <w:r>
        <w:rPr>
          <w:rFonts w:ascii="Times New Roman" w:hAnsi="Times New Roman"/>
          <w:sz w:val="24"/>
        </w:rPr>
        <w:t xml:space="preserve"> sp., </w:t>
      </w:r>
      <w:r>
        <w:rPr>
          <w:rFonts w:ascii="Times New Roman" w:hAnsi="Times New Roman"/>
          <w:i/>
          <w:sz w:val="24"/>
        </w:rPr>
        <w:t>Plagiolepis</w:t>
      </w:r>
      <w:r>
        <w:rPr>
          <w:rFonts w:ascii="Times New Roman" w:hAnsi="Times New Roman"/>
          <w:sz w:val="24"/>
        </w:rPr>
        <w:t xml:space="preserve"> sp., </w:t>
      </w:r>
      <w:r>
        <w:rPr>
          <w:rFonts w:ascii="Times New Roman" w:hAnsi="Times New Roman"/>
          <w:i/>
          <w:sz w:val="24"/>
        </w:rPr>
        <w:t>Polyrhachis</w:t>
      </w:r>
      <w:r>
        <w:rPr>
          <w:rFonts w:ascii="Times New Roman" w:hAnsi="Times New Roman"/>
          <w:sz w:val="24"/>
        </w:rPr>
        <w:t xml:space="preserve"> sp., </w:t>
      </w:r>
      <w:r>
        <w:rPr>
          <w:rFonts w:ascii="Times New Roman" w:hAnsi="Times New Roman"/>
          <w:i/>
          <w:sz w:val="24"/>
        </w:rPr>
        <w:t>Tapinoma</w:t>
      </w:r>
      <w:r>
        <w:rPr>
          <w:rFonts w:ascii="Times New Roman" w:hAnsi="Times New Roman"/>
          <w:sz w:val="24"/>
        </w:rPr>
        <w:t xml:space="preserve"> sp., </w:t>
      </w:r>
      <w:r>
        <w:rPr>
          <w:rFonts w:ascii="Times New Roman" w:hAnsi="Times New Roman"/>
          <w:i/>
          <w:sz w:val="24"/>
        </w:rPr>
        <w:t>Technomyrmex</w:t>
      </w:r>
      <w:r>
        <w:rPr>
          <w:rFonts w:ascii="Times New Roman" w:hAnsi="Times New Roman"/>
          <w:sz w:val="24"/>
        </w:rPr>
        <w:t xml:space="preserve"> sp., </w:t>
      </w:r>
      <w:r>
        <w:rPr>
          <w:rFonts w:ascii="Times New Roman" w:hAnsi="Times New Roman"/>
          <w:i/>
          <w:sz w:val="24"/>
        </w:rPr>
        <w:t>Tetramorium</w:t>
      </w:r>
      <w:r>
        <w:rPr>
          <w:rFonts w:ascii="Times New Roman" w:hAnsi="Times New Roman"/>
          <w:sz w:val="24"/>
        </w:rPr>
        <w:t xml:space="preserve"> sp. and </w:t>
      </w:r>
      <w:r>
        <w:rPr>
          <w:rFonts w:ascii="Times New Roman" w:hAnsi="Times New Roman"/>
          <w:i/>
          <w:sz w:val="24"/>
        </w:rPr>
        <w:t>Wasmannia</w:t>
      </w:r>
      <w:r>
        <w:rPr>
          <w:rFonts w:ascii="Times New Roman" w:hAnsi="Times New Roman"/>
          <w:sz w:val="24"/>
        </w:rPr>
        <w:t xml:space="preserve"> </w:t>
      </w:r>
      <w:r>
        <w:rPr>
          <w:rFonts w:ascii="Times New Roman" w:hAnsi="Times New Roman"/>
          <w:i/>
          <w:sz w:val="24"/>
        </w:rPr>
        <w:t>auropunctata</w:t>
      </w:r>
      <w:r>
        <w:rPr>
          <w:rFonts w:ascii="Times New Roman" w:hAnsi="Times New Roman"/>
          <w:sz w:val="24"/>
        </w:rPr>
        <w:t xml:space="preserve"> has been assessed as ‘moderate’, which is above Australia’s ALOP. Therefore, specific risk management measures are required for these pests.</w:t>
      </w:r>
    </w:p>
    <w:p w14:paraId="57C40A10" w14:textId="77777777" w:rsidR="009D3DC8" w:rsidRDefault="009D3DC8">
      <w:pPr>
        <w:spacing w:after="180"/>
        <w:rPr>
          <w:sz w:val="24"/>
        </w:rPr>
      </w:pPr>
    </w:p>
    <w:p w14:paraId="16C2D9DD" w14:textId="77777777" w:rsidR="009D3DC8" w:rsidRDefault="009D3DC8">
      <w:pPr>
        <w:pStyle w:val="Heading2"/>
        <w:numPr>
          <w:ilvl w:val="1"/>
          <w:numId w:val="8"/>
        </w:numPr>
        <w:spacing w:line="240" w:lineRule="auto"/>
        <w:sectPr w:rsidR="009D3DC8">
          <w:headerReference w:type="default" r:id="rId47"/>
          <w:pgSz w:w="11906" w:h="16838"/>
          <w:pgMar w:top="1411" w:right="1411" w:bottom="1411" w:left="1411" w:header="706" w:footer="706" w:gutter="0"/>
          <w:cols w:space="708"/>
          <w:formProt w:val="0"/>
          <w:docGrid w:linePitch="360"/>
        </w:sectPr>
      </w:pPr>
      <w:bookmarkStart w:id="83" w:name="_Toc228243145"/>
      <w:bookmarkStart w:id="84" w:name="_Toc287523094"/>
      <w:bookmarkStart w:id="85" w:name="_Toc299957841"/>
    </w:p>
    <w:p w14:paraId="4C2CA2CA" w14:textId="77777777" w:rsidR="009D3DC8" w:rsidRDefault="009D3DC8">
      <w:pPr>
        <w:pStyle w:val="Heading2"/>
        <w:numPr>
          <w:ilvl w:val="1"/>
          <w:numId w:val="8"/>
        </w:numPr>
        <w:spacing w:line="240" w:lineRule="auto"/>
      </w:pPr>
      <w:bookmarkStart w:id="86" w:name="_Toc325618448"/>
      <w:r>
        <w:lastRenderedPageBreak/>
        <w:t>Pest risk assessment conclusions</w:t>
      </w:r>
      <w:bookmarkEnd w:id="83"/>
      <w:bookmarkEnd w:id="84"/>
      <w:bookmarkEnd w:id="85"/>
      <w:bookmarkEnd w:id="86"/>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9"/>
      </w:tblGrid>
      <w:tr w:rsidR="009D3DC8" w14:paraId="7E831EA6" w14:textId="77777777">
        <w:trPr>
          <w:trHeight w:val="6555"/>
        </w:trPr>
        <w:tc>
          <w:tcPr>
            <w:tcW w:w="9089" w:type="dxa"/>
          </w:tcPr>
          <w:p w14:paraId="676DFF5D" w14:textId="77777777" w:rsidR="009D3DC8" w:rsidRDefault="009D3DC8">
            <w:pPr>
              <w:spacing w:before="360"/>
              <w:rPr>
                <w:rFonts w:ascii="Arial" w:hAnsi="Arial" w:cs="Arial"/>
              </w:rPr>
            </w:pPr>
            <w:r>
              <w:rPr>
                <w:rFonts w:ascii="Arial" w:hAnsi="Arial" w:cs="Arial"/>
                <w:b/>
                <w:bCs/>
                <w:sz w:val="20"/>
                <w:szCs w:val="18"/>
              </w:rPr>
              <w:t>Key to Table 4.2 (starting next page)</w:t>
            </w:r>
          </w:p>
          <w:p w14:paraId="01EA86C7" w14:textId="77777777" w:rsidR="009D3DC8" w:rsidRDefault="009D3DC8">
            <w:pPr>
              <w:tabs>
                <w:tab w:val="left" w:pos="2461"/>
              </w:tabs>
              <w:spacing w:before="120"/>
              <w:ind w:left="2461" w:hanging="2461"/>
              <w:rPr>
                <w:rFonts w:ascii="Arial" w:hAnsi="Arial" w:cs="Arial"/>
              </w:rPr>
            </w:pPr>
            <w:r>
              <w:rPr>
                <w:rFonts w:ascii="Arial" w:hAnsi="Arial" w:cs="Arial"/>
                <w:i/>
                <w:sz w:val="20"/>
                <w:szCs w:val="18"/>
              </w:rPr>
              <w:t xml:space="preserve">Genus species </w:t>
            </w:r>
            <w:r>
              <w:rPr>
                <w:rFonts w:ascii="Arial" w:hAnsi="Arial" w:cs="Arial"/>
                <w:b/>
                <w:sz w:val="20"/>
                <w:szCs w:val="18"/>
                <w:vertAlign w:val="superscript"/>
              </w:rPr>
              <w:t xml:space="preserve">EP </w:t>
            </w:r>
            <w:r>
              <w:rPr>
                <w:rFonts w:ascii="Arial" w:hAnsi="Arial" w:cs="Arial"/>
                <w:sz w:val="20"/>
                <w:szCs w:val="18"/>
              </w:rPr>
              <w:tab/>
              <w:t>pests for which policy already exists. The outcomes of previous assessments and/or reassessments in this report are presented in Table 4.2</w:t>
            </w:r>
          </w:p>
          <w:p w14:paraId="1D413AAA" w14:textId="77777777" w:rsidR="009D3DC8" w:rsidRDefault="009D3DC8">
            <w:pPr>
              <w:tabs>
                <w:tab w:val="left" w:pos="2461"/>
              </w:tabs>
              <w:spacing w:before="60"/>
              <w:ind w:left="2461" w:hanging="2461"/>
              <w:rPr>
                <w:rFonts w:ascii="Arial" w:hAnsi="Arial" w:cs="Arial"/>
              </w:rPr>
            </w:pPr>
            <w:r>
              <w:rPr>
                <w:rFonts w:ascii="Arial" w:hAnsi="Arial" w:cs="Arial"/>
                <w:i/>
                <w:sz w:val="20"/>
                <w:szCs w:val="18"/>
              </w:rPr>
              <w:t xml:space="preserve">Genus species </w:t>
            </w:r>
            <w:r>
              <w:rPr>
                <w:rFonts w:ascii="Arial" w:hAnsi="Arial" w:cs="Arial"/>
                <w:sz w:val="20"/>
                <w:szCs w:val="18"/>
                <w:vertAlign w:val="superscript"/>
              </w:rPr>
              <w:t>state/territory</w:t>
            </w:r>
            <w:r>
              <w:rPr>
                <w:rFonts w:ascii="Arial" w:hAnsi="Arial" w:cs="Arial"/>
                <w:b/>
                <w:sz w:val="20"/>
                <w:szCs w:val="18"/>
                <w:vertAlign w:val="superscript"/>
              </w:rPr>
              <w:tab/>
            </w:r>
            <w:r>
              <w:rPr>
                <w:rFonts w:ascii="Arial" w:hAnsi="Arial" w:cs="Arial"/>
                <w:sz w:val="20"/>
                <w:szCs w:val="18"/>
              </w:rPr>
              <w:t>state/territory in which regional quarantine pests have been identified</w:t>
            </w:r>
          </w:p>
          <w:p w14:paraId="6A745257" w14:textId="77777777" w:rsidR="009D3DC8" w:rsidRDefault="009D3DC8">
            <w:pPr>
              <w:spacing w:before="240"/>
              <w:rPr>
                <w:rFonts w:ascii="Arial" w:hAnsi="Arial" w:cs="Arial"/>
                <w:b/>
                <w:bCs/>
                <w:sz w:val="20"/>
                <w:szCs w:val="18"/>
              </w:rPr>
            </w:pPr>
            <w:r>
              <w:rPr>
                <w:rFonts w:ascii="Arial" w:hAnsi="Arial" w:cs="Arial"/>
                <w:b/>
                <w:bCs/>
                <w:sz w:val="20"/>
                <w:szCs w:val="18"/>
              </w:rPr>
              <w:t>Likelihoods for entry, establishment and spread</w:t>
            </w:r>
          </w:p>
          <w:p w14:paraId="0B87C87F" w14:textId="77777777" w:rsidR="009D3DC8" w:rsidRDefault="009D3DC8">
            <w:pPr>
              <w:tabs>
                <w:tab w:val="left" w:pos="902"/>
              </w:tabs>
              <w:spacing w:before="120"/>
              <w:rPr>
                <w:rFonts w:ascii="Arial" w:hAnsi="Arial" w:cs="Arial"/>
              </w:rPr>
            </w:pPr>
            <w:r>
              <w:rPr>
                <w:rFonts w:ascii="Arial" w:hAnsi="Arial" w:cs="Arial"/>
                <w:sz w:val="20"/>
                <w:szCs w:val="18"/>
              </w:rPr>
              <w:t>N</w:t>
            </w:r>
            <w:r>
              <w:rPr>
                <w:rFonts w:ascii="Arial" w:hAnsi="Arial" w:cs="Arial"/>
                <w:sz w:val="20"/>
                <w:szCs w:val="18"/>
              </w:rPr>
              <w:tab/>
              <w:t>negligible</w:t>
            </w:r>
          </w:p>
          <w:p w14:paraId="73237165" w14:textId="77777777" w:rsidR="009D3DC8" w:rsidRDefault="009D3DC8">
            <w:pPr>
              <w:tabs>
                <w:tab w:val="left" w:pos="902"/>
              </w:tabs>
              <w:spacing w:before="60"/>
              <w:rPr>
                <w:rFonts w:ascii="Arial" w:hAnsi="Arial" w:cs="Arial"/>
              </w:rPr>
            </w:pPr>
            <w:r>
              <w:rPr>
                <w:rFonts w:ascii="Arial" w:hAnsi="Arial" w:cs="Arial"/>
                <w:sz w:val="20"/>
                <w:szCs w:val="18"/>
              </w:rPr>
              <w:t>EL</w:t>
            </w:r>
            <w:r>
              <w:rPr>
                <w:rFonts w:ascii="Arial" w:hAnsi="Arial" w:cs="Arial"/>
                <w:sz w:val="20"/>
                <w:szCs w:val="18"/>
              </w:rPr>
              <w:tab/>
              <w:t>extremely low</w:t>
            </w:r>
          </w:p>
          <w:p w14:paraId="31C237EA" w14:textId="77777777" w:rsidR="009D3DC8" w:rsidRDefault="009D3DC8">
            <w:pPr>
              <w:tabs>
                <w:tab w:val="left" w:pos="902"/>
              </w:tabs>
              <w:spacing w:before="60"/>
              <w:rPr>
                <w:rFonts w:ascii="Arial" w:hAnsi="Arial" w:cs="Arial"/>
              </w:rPr>
            </w:pPr>
            <w:r>
              <w:rPr>
                <w:rFonts w:ascii="Arial" w:hAnsi="Arial" w:cs="Arial"/>
                <w:sz w:val="20"/>
                <w:szCs w:val="18"/>
              </w:rPr>
              <w:t>VL</w:t>
            </w:r>
            <w:r>
              <w:rPr>
                <w:rFonts w:ascii="Arial" w:hAnsi="Arial" w:cs="Arial"/>
                <w:sz w:val="20"/>
                <w:szCs w:val="18"/>
              </w:rPr>
              <w:tab/>
              <w:t>very low</w:t>
            </w:r>
          </w:p>
          <w:p w14:paraId="02E7C82E" w14:textId="77777777" w:rsidR="009D3DC8" w:rsidRDefault="009D3DC8">
            <w:pPr>
              <w:tabs>
                <w:tab w:val="left" w:pos="902"/>
              </w:tabs>
              <w:spacing w:before="60"/>
              <w:rPr>
                <w:rFonts w:ascii="Arial" w:hAnsi="Arial" w:cs="Arial"/>
              </w:rPr>
            </w:pPr>
            <w:r>
              <w:rPr>
                <w:rFonts w:ascii="Arial" w:hAnsi="Arial" w:cs="Arial"/>
                <w:sz w:val="20"/>
                <w:szCs w:val="18"/>
              </w:rPr>
              <w:t>L</w:t>
            </w:r>
            <w:r>
              <w:rPr>
                <w:rFonts w:ascii="Arial" w:hAnsi="Arial" w:cs="Arial"/>
                <w:sz w:val="20"/>
                <w:szCs w:val="18"/>
              </w:rPr>
              <w:tab/>
              <w:t>low</w:t>
            </w:r>
          </w:p>
          <w:p w14:paraId="10F73AB8" w14:textId="77777777" w:rsidR="009D3DC8" w:rsidRDefault="009D3DC8">
            <w:pPr>
              <w:tabs>
                <w:tab w:val="left" w:pos="902"/>
              </w:tabs>
              <w:spacing w:before="60"/>
              <w:rPr>
                <w:rFonts w:ascii="Arial" w:hAnsi="Arial" w:cs="Arial"/>
              </w:rPr>
            </w:pPr>
            <w:r>
              <w:rPr>
                <w:rFonts w:ascii="Arial" w:hAnsi="Arial" w:cs="Arial"/>
                <w:sz w:val="20"/>
                <w:szCs w:val="18"/>
              </w:rPr>
              <w:t>M</w:t>
            </w:r>
            <w:r>
              <w:rPr>
                <w:rFonts w:ascii="Arial" w:hAnsi="Arial" w:cs="Arial"/>
                <w:sz w:val="20"/>
                <w:szCs w:val="18"/>
              </w:rPr>
              <w:tab/>
              <w:t>moderate</w:t>
            </w:r>
          </w:p>
          <w:p w14:paraId="77946C8D" w14:textId="77777777" w:rsidR="009D3DC8" w:rsidRDefault="009D3DC8">
            <w:pPr>
              <w:tabs>
                <w:tab w:val="left" w:pos="902"/>
              </w:tabs>
              <w:spacing w:before="60"/>
              <w:rPr>
                <w:rFonts w:ascii="Arial" w:hAnsi="Arial" w:cs="Arial"/>
              </w:rPr>
            </w:pPr>
            <w:r>
              <w:rPr>
                <w:rFonts w:ascii="Arial" w:hAnsi="Arial" w:cs="Arial"/>
                <w:sz w:val="20"/>
                <w:szCs w:val="18"/>
              </w:rPr>
              <w:t>H</w:t>
            </w:r>
            <w:r>
              <w:rPr>
                <w:rFonts w:ascii="Arial" w:hAnsi="Arial" w:cs="Arial"/>
                <w:sz w:val="20"/>
                <w:szCs w:val="18"/>
              </w:rPr>
              <w:tab/>
              <w:t>high</w:t>
            </w:r>
          </w:p>
          <w:p w14:paraId="1415478D" w14:textId="77777777" w:rsidR="009D3DC8" w:rsidRDefault="009D3DC8">
            <w:pPr>
              <w:tabs>
                <w:tab w:val="left" w:pos="902"/>
              </w:tabs>
              <w:spacing w:before="60"/>
              <w:rPr>
                <w:rFonts w:ascii="Arial" w:hAnsi="Arial" w:cs="Arial"/>
              </w:rPr>
            </w:pPr>
            <w:r>
              <w:rPr>
                <w:rFonts w:ascii="Arial" w:hAnsi="Arial" w:cs="Arial"/>
                <w:sz w:val="20"/>
                <w:szCs w:val="18"/>
              </w:rPr>
              <w:t>P[EES]</w:t>
            </w:r>
            <w:r>
              <w:rPr>
                <w:rFonts w:ascii="Arial" w:hAnsi="Arial" w:cs="Arial"/>
                <w:sz w:val="20"/>
                <w:szCs w:val="18"/>
              </w:rPr>
              <w:tab/>
              <w:t>overall probability of entry, establishment and spread</w:t>
            </w:r>
          </w:p>
          <w:p w14:paraId="0F66961C" w14:textId="77777777" w:rsidR="009D3DC8" w:rsidRDefault="009D3DC8">
            <w:pPr>
              <w:spacing w:before="240"/>
              <w:rPr>
                <w:rFonts w:ascii="Arial" w:hAnsi="Arial" w:cs="Arial"/>
              </w:rPr>
            </w:pPr>
            <w:r>
              <w:rPr>
                <w:rFonts w:ascii="Arial" w:hAnsi="Arial" w:cs="Arial"/>
                <w:b/>
                <w:bCs/>
                <w:sz w:val="20"/>
                <w:szCs w:val="18"/>
              </w:rPr>
              <w:t>Assessment of consequences from pest entry, establishment and spread</w:t>
            </w:r>
          </w:p>
          <w:p w14:paraId="6D997840" w14:textId="77777777" w:rsidR="009D3DC8" w:rsidRDefault="009D3DC8">
            <w:pPr>
              <w:pStyle w:val="TableNotes"/>
              <w:tabs>
                <w:tab w:val="left" w:pos="902"/>
              </w:tabs>
              <w:spacing w:before="120" w:after="0"/>
              <w:rPr>
                <w:rFonts w:ascii="Arial" w:hAnsi="Arial" w:cs="Arial"/>
                <w:sz w:val="20"/>
                <w:szCs w:val="18"/>
              </w:rPr>
            </w:pPr>
            <w:r>
              <w:rPr>
                <w:rFonts w:ascii="Arial" w:hAnsi="Arial" w:cs="Arial"/>
                <w:sz w:val="20"/>
                <w:szCs w:val="18"/>
              </w:rPr>
              <w:t>PLH</w:t>
            </w:r>
            <w:r>
              <w:rPr>
                <w:rFonts w:ascii="Arial" w:hAnsi="Arial" w:cs="Arial"/>
                <w:sz w:val="20"/>
                <w:szCs w:val="18"/>
              </w:rPr>
              <w:tab/>
              <w:t>plant life or health</w:t>
            </w:r>
          </w:p>
          <w:p w14:paraId="33A7256A" w14:textId="77777777" w:rsidR="009D3DC8" w:rsidRDefault="009D3DC8">
            <w:pPr>
              <w:pStyle w:val="TableNotes"/>
              <w:tabs>
                <w:tab w:val="left" w:pos="902"/>
              </w:tabs>
              <w:spacing w:before="60" w:after="0"/>
              <w:rPr>
                <w:rFonts w:ascii="Arial" w:hAnsi="Arial" w:cs="Arial"/>
                <w:sz w:val="20"/>
                <w:szCs w:val="18"/>
              </w:rPr>
            </w:pPr>
            <w:r>
              <w:rPr>
                <w:rFonts w:ascii="Arial" w:hAnsi="Arial" w:cs="Arial"/>
                <w:sz w:val="20"/>
                <w:szCs w:val="18"/>
              </w:rPr>
              <w:t>OE</w:t>
            </w:r>
            <w:r>
              <w:rPr>
                <w:rFonts w:ascii="Arial" w:hAnsi="Arial" w:cs="Arial"/>
                <w:sz w:val="20"/>
                <w:szCs w:val="18"/>
              </w:rPr>
              <w:tab/>
              <w:t>other aspects of the environment</w:t>
            </w:r>
          </w:p>
          <w:p w14:paraId="2E531838" w14:textId="77777777" w:rsidR="009D3DC8" w:rsidRDefault="009D3DC8">
            <w:pPr>
              <w:pStyle w:val="TableNotes"/>
              <w:tabs>
                <w:tab w:val="left" w:pos="902"/>
              </w:tabs>
              <w:spacing w:before="60" w:after="0"/>
              <w:rPr>
                <w:rFonts w:ascii="Arial" w:hAnsi="Arial" w:cs="Arial"/>
                <w:sz w:val="20"/>
                <w:szCs w:val="18"/>
              </w:rPr>
            </w:pPr>
            <w:r>
              <w:rPr>
                <w:rFonts w:ascii="Arial" w:hAnsi="Arial" w:cs="Arial"/>
                <w:sz w:val="20"/>
                <w:szCs w:val="18"/>
              </w:rPr>
              <w:t>EC</w:t>
            </w:r>
            <w:r>
              <w:rPr>
                <w:rFonts w:ascii="Arial" w:hAnsi="Arial" w:cs="Arial"/>
                <w:sz w:val="20"/>
                <w:szCs w:val="18"/>
              </w:rPr>
              <w:tab/>
              <w:t>eradication, control etc.</w:t>
            </w:r>
          </w:p>
          <w:p w14:paraId="44D4E579" w14:textId="77777777" w:rsidR="009D3DC8" w:rsidRDefault="009D3DC8">
            <w:pPr>
              <w:pStyle w:val="TableNotes"/>
              <w:tabs>
                <w:tab w:val="left" w:pos="902"/>
              </w:tabs>
              <w:spacing w:before="60" w:after="0"/>
              <w:rPr>
                <w:rFonts w:ascii="Arial" w:hAnsi="Arial" w:cs="Arial"/>
                <w:sz w:val="20"/>
                <w:szCs w:val="18"/>
              </w:rPr>
            </w:pPr>
            <w:r>
              <w:rPr>
                <w:rFonts w:ascii="Arial" w:hAnsi="Arial" w:cs="Arial"/>
                <w:sz w:val="20"/>
                <w:szCs w:val="18"/>
              </w:rPr>
              <w:t>DT</w:t>
            </w:r>
            <w:r>
              <w:rPr>
                <w:rFonts w:ascii="Arial" w:hAnsi="Arial" w:cs="Arial"/>
                <w:sz w:val="20"/>
                <w:szCs w:val="18"/>
              </w:rPr>
              <w:tab/>
              <w:t>domestic trade</w:t>
            </w:r>
          </w:p>
          <w:p w14:paraId="36743796" w14:textId="77777777" w:rsidR="009D3DC8" w:rsidRDefault="009D3DC8">
            <w:pPr>
              <w:pStyle w:val="TableNotes"/>
              <w:tabs>
                <w:tab w:val="left" w:pos="902"/>
              </w:tabs>
              <w:spacing w:before="60" w:after="0"/>
              <w:rPr>
                <w:rFonts w:ascii="Arial" w:hAnsi="Arial" w:cs="Arial"/>
                <w:sz w:val="20"/>
                <w:szCs w:val="18"/>
              </w:rPr>
            </w:pPr>
            <w:r>
              <w:rPr>
                <w:rFonts w:ascii="Arial" w:hAnsi="Arial" w:cs="Arial"/>
                <w:sz w:val="20"/>
                <w:szCs w:val="18"/>
              </w:rPr>
              <w:t>IT</w:t>
            </w:r>
            <w:r>
              <w:rPr>
                <w:rFonts w:ascii="Arial" w:hAnsi="Arial" w:cs="Arial"/>
                <w:sz w:val="20"/>
                <w:szCs w:val="18"/>
              </w:rPr>
              <w:tab/>
              <w:t>international trade</w:t>
            </w:r>
          </w:p>
          <w:p w14:paraId="23854D29" w14:textId="77777777" w:rsidR="009D3DC8" w:rsidRDefault="009D3DC8">
            <w:pPr>
              <w:pStyle w:val="TableNotes"/>
              <w:tabs>
                <w:tab w:val="left" w:pos="902"/>
              </w:tabs>
              <w:spacing w:before="60" w:after="0"/>
              <w:rPr>
                <w:rFonts w:ascii="Arial" w:hAnsi="Arial" w:cs="Arial"/>
                <w:sz w:val="20"/>
                <w:szCs w:val="18"/>
              </w:rPr>
            </w:pPr>
            <w:r>
              <w:rPr>
                <w:rFonts w:ascii="Arial" w:hAnsi="Arial" w:cs="Arial"/>
                <w:sz w:val="20"/>
                <w:szCs w:val="18"/>
              </w:rPr>
              <w:t>ENC</w:t>
            </w:r>
            <w:r>
              <w:rPr>
                <w:rFonts w:ascii="Arial" w:hAnsi="Arial" w:cs="Arial"/>
                <w:sz w:val="20"/>
                <w:szCs w:val="18"/>
              </w:rPr>
              <w:tab/>
              <w:t>environmental and non-commercial</w:t>
            </w:r>
          </w:p>
          <w:p w14:paraId="4BEDE54D" w14:textId="77777777" w:rsidR="009D3DC8" w:rsidRDefault="009D3DC8">
            <w:pPr>
              <w:pStyle w:val="TableNotes"/>
              <w:tabs>
                <w:tab w:val="left" w:pos="902"/>
              </w:tabs>
              <w:spacing w:before="60" w:after="0"/>
              <w:rPr>
                <w:rFonts w:ascii="Arial" w:hAnsi="Arial" w:cs="Arial"/>
                <w:sz w:val="20"/>
                <w:szCs w:val="18"/>
              </w:rPr>
            </w:pPr>
            <w:r>
              <w:rPr>
                <w:rFonts w:ascii="Arial" w:hAnsi="Arial" w:cs="Arial"/>
                <w:sz w:val="20"/>
                <w:szCs w:val="18"/>
              </w:rPr>
              <w:t>A-G</w:t>
            </w:r>
            <w:r>
              <w:rPr>
                <w:rFonts w:ascii="Arial" w:hAnsi="Arial" w:cs="Arial"/>
                <w:sz w:val="20"/>
                <w:szCs w:val="18"/>
              </w:rPr>
              <w:tab/>
              <w:t>consequence impact scores are detailed in section 2.2.3</w:t>
            </w:r>
          </w:p>
          <w:p w14:paraId="008298C9" w14:textId="77777777" w:rsidR="009D3DC8" w:rsidRDefault="009D3DC8">
            <w:pPr>
              <w:pStyle w:val="TableNotes"/>
              <w:tabs>
                <w:tab w:val="left" w:pos="902"/>
              </w:tabs>
              <w:spacing w:before="60" w:after="0"/>
              <w:ind w:left="902"/>
              <w:rPr>
                <w:rFonts w:ascii="Arial" w:hAnsi="Arial" w:cs="Arial"/>
                <w:sz w:val="20"/>
                <w:szCs w:val="18"/>
              </w:rPr>
            </w:pPr>
            <w:r>
              <w:rPr>
                <w:rFonts w:ascii="Arial" w:hAnsi="Arial" w:cs="Arial"/>
                <w:sz w:val="20"/>
                <w:szCs w:val="18"/>
              </w:rPr>
              <w:t>A</w:t>
            </w:r>
            <w:r>
              <w:rPr>
                <w:rFonts w:ascii="Arial" w:hAnsi="Arial" w:cs="Arial"/>
                <w:sz w:val="20"/>
                <w:szCs w:val="18"/>
              </w:rPr>
              <w:tab/>
              <w:t>Indiscernible at the local level</w:t>
            </w:r>
          </w:p>
          <w:p w14:paraId="2D2C1A62" w14:textId="77777777" w:rsidR="009D3DC8" w:rsidRDefault="009D3DC8">
            <w:pPr>
              <w:pStyle w:val="TableNotes"/>
              <w:tabs>
                <w:tab w:val="left" w:pos="902"/>
              </w:tabs>
              <w:spacing w:before="60" w:after="0"/>
              <w:ind w:left="902"/>
              <w:rPr>
                <w:rFonts w:ascii="Arial" w:hAnsi="Arial" w:cs="Arial"/>
                <w:sz w:val="20"/>
                <w:szCs w:val="18"/>
              </w:rPr>
            </w:pPr>
            <w:r>
              <w:rPr>
                <w:rFonts w:ascii="Arial" w:hAnsi="Arial" w:cs="Arial"/>
                <w:sz w:val="20"/>
                <w:szCs w:val="18"/>
              </w:rPr>
              <w:t>B</w:t>
            </w:r>
            <w:r>
              <w:rPr>
                <w:rFonts w:ascii="Arial" w:hAnsi="Arial" w:cs="Arial"/>
                <w:sz w:val="20"/>
                <w:szCs w:val="18"/>
              </w:rPr>
              <w:tab/>
              <w:t>Minor significance at the at the local level</w:t>
            </w:r>
          </w:p>
          <w:p w14:paraId="0FFCE065" w14:textId="77777777" w:rsidR="009D3DC8" w:rsidRDefault="009D3DC8">
            <w:pPr>
              <w:pStyle w:val="TableNotes"/>
              <w:tabs>
                <w:tab w:val="left" w:pos="902"/>
              </w:tabs>
              <w:spacing w:before="60" w:after="0"/>
              <w:ind w:left="902"/>
              <w:rPr>
                <w:rFonts w:ascii="Arial" w:hAnsi="Arial" w:cs="Arial"/>
                <w:sz w:val="20"/>
                <w:szCs w:val="18"/>
              </w:rPr>
            </w:pPr>
            <w:r>
              <w:rPr>
                <w:rFonts w:ascii="Arial" w:hAnsi="Arial" w:cs="Arial"/>
                <w:sz w:val="20"/>
                <w:szCs w:val="18"/>
              </w:rPr>
              <w:t>C</w:t>
            </w:r>
            <w:r>
              <w:rPr>
                <w:rFonts w:ascii="Arial" w:hAnsi="Arial" w:cs="Arial"/>
                <w:sz w:val="20"/>
                <w:szCs w:val="18"/>
              </w:rPr>
              <w:tab/>
              <w:t>Significant at the local level</w:t>
            </w:r>
          </w:p>
          <w:p w14:paraId="733949E8" w14:textId="77777777" w:rsidR="009D3DC8" w:rsidRDefault="009D3DC8">
            <w:pPr>
              <w:pStyle w:val="TableNotes"/>
              <w:tabs>
                <w:tab w:val="left" w:pos="902"/>
              </w:tabs>
              <w:spacing w:before="60" w:after="0"/>
              <w:ind w:left="902"/>
              <w:rPr>
                <w:rFonts w:ascii="Arial" w:hAnsi="Arial" w:cs="Arial"/>
                <w:sz w:val="20"/>
                <w:szCs w:val="18"/>
              </w:rPr>
            </w:pPr>
            <w:r>
              <w:rPr>
                <w:rFonts w:ascii="Arial" w:hAnsi="Arial" w:cs="Arial"/>
                <w:sz w:val="20"/>
                <w:szCs w:val="18"/>
              </w:rPr>
              <w:t>D</w:t>
            </w:r>
            <w:r>
              <w:rPr>
                <w:rFonts w:ascii="Arial" w:hAnsi="Arial" w:cs="Arial"/>
                <w:sz w:val="20"/>
                <w:szCs w:val="18"/>
              </w:rPr>
              <w:tab/>
              <w:t>Significant at the district level</w:t>
            </w:r>
          </w:p>
          <w:p w14:paraId="77D54F36" w14:textId="77777777" w:rsidR="009D3DC8" w:rsidRDefault="009D3DC8">
            <w:pPr>
              <w:pStyle w:val="TableNotes"/>
              <w:tabs>
                <w:tab w:val="left" w:pos="902"/>
              </w:tabs>
              <w:spacing w:before="60" w:after="0"/>
              <w:ind w:left="902"/>
              <w:rPr>
                <w:rFonts w:ascii="Arial" w:hAnsi="Arial" w:cs="Arial"/>
                <w:sz w:val="20"/>
                <w:szCs w:val="18"/>
              </w:rPr>
            </w:pPr>
            <w:r>
              <w:rPr>
                <w:rFonts w:ascii="Arial" w:hAnsi="Arial" w:cs="Arial"/>
                <w:sz w:val="20"/>
                <w:szCs w:val="18"/>
              </w:rPr>
              <w:t>E</w:t>
            </w:r>
            <w:r>
              <w:rPr>
                <w:rFonts w:ascii="Arial" w:hAnsi="Arial" w:cs="Arial"/>
                <w:sz w:val="20"/>
                <w:szCs w:val="18"/>
              </w:rPr>
              <w:tab/>
              <w:t>Significant at the regional level</w:t>
            </w:r>
          </w:p>
          <w:p w14:paraId="4D4CD1DD" w14:textId="77777777" w:rsidR="009D3DC8" w:rsidRDefault="009D3DC8">
            <w:pPr>
              <w:pStyle w:val="TableNotes"/>
              <w:tabs>
                <w:tab w:val="left" w:pos="902"/>
              </w:tabs>
              <w:spacing w:before="60" w:after="0"/>
              <w:ind w:left="902"/>
              <w:rPr>
                <w:rFonts w:ascii="Arial" w:hAnsi="Arial" w:cs="Arial"/>
                <w:sz w:val="20"/>
                <w:szCs w:val="18"/>
              </w:rPr>
            </w:pPr>
            <w:r>
              <w:rPr>
                <w:rFonts w:ascii="Arial" w:hAnsi="Arial" w:cs="Arial"/>
                <w:sz w:val="20"/>
                <w:szCs w:val="18"/>
              </w:rPr>
              <w:t>F</w:t>
            </w:r>
            <w:r>
              <w:rPr>
                <w:rFonts w:ascii="Arial" w:hAnsi="Arial" w:cs="Arial"/>
                <w:sz w:val="20"/>
                <w:szCs w:val="18"/>
              </w:rPr>
              <w:tab/>
              <w:t>Significant at the national level</w:t>
            </w:r>
          </w:p>
          <w:p w14:paraId="171BDFE2" w14:textId="77777777" w:rsidR="009D3DC8" w:rsidRDefault="009D3DC8">
            <w:pPr>
              <w:pStyle w:val="TableNotes"/>
              <w:tabs>
                <w:tab w:val="left" w:pos="902"/>
              </w:tabs>
              <w:spacing w:before="60" w:after="0"/>
              <w:ind w:left="902"/>
              <w:rPr>
                <w:rFonts w:ascii="Arial" w:hAnsi="Arial" w:cs="Arial"/>
                <w:sz w:val="20"/>
                <w:szCs w:val="18"/>
              </w:rPr>
            </w:pPr>
            <w:r>
              <w:rPr>
                <w:rFonts w:ascii="Arial" w:hAnsi="Arial" w:cs="Arial"/>
                <w:sz w:val="20"/>
                <w:szCs w:val="18"/>
              </w:rPr>
              <w:t>G</w:t>
            </w:r>
            <w:r>
              <w:rPr>
                <w:rFonts w:ascii="Arial" w:hAnsi="Arial" w:cs="Arial"/>
                <w:sz w:val="20"/>
                <w:szCs w:val="18"/>
              </w:rPr>
              <w:tab/>
              <w:t>Major significance at the national level</w:t>
            </w:r>
          </w:p>
          <w:p w14:paraId="2368975A" w14:textId="77777777" w:rsidR="009D3DC8" w:rsidRDefault="009D3DC8">
            <w:pPr>
              <w:pStyle w:val="TableNotes"/>
              <w:tabs>
                <w:tab w:val="left" w:pos="902"/>
              </w:tabs>
              <w:spacing w:before="60" w:after="360"/>
              <w:ind w:left="902" w:hanging="902"/>
              <w:rPr>
                <w:rFonts w:cs="Arial"/>
                <w:b/>
                <w:bCs/>
                <w:sz w:val="20"/>
                <w:szCs w:val="18"/>
                <w:lang w:eastAsia="en-AU"/>
              </w:rPr>
            </w:pPr>
            <w:r>
              <w:rPr>
                <w:rFonts w:ascii="Arial" w:hAnsi="Arial" w:cs="Arial"/>
                <w:sz w:val="20"/>
              </w:rPr>
              <w:t>URE</w:t>
            </w:r>
            <w:r>
              <w:rPr>
                <w:rFonts w:ascii="Arial" w:hAnsi="Arial" w:cs="Arial"/>
                <w:sz w:val="20"/>
              </w:rPr>
              <w:tab/>
              <w:t>unrestricted risk estimate. This is expressed on an ascending scale from negligible to extreme.</w:t>
            </w:r>
          </w:p>
        </w:tc>
      </w:tr>
    </w:tbl>
    <w:p w14:paraId="073BC709" w14:textId="77777777" w:rsidR="009D3DC8" w:rsidRDefault="009D3DC8">
      <w:pPr>
        <w:pStyle w:val="Table"/>
        <w:sectPr w:rsidR="009D3DC8">
          <w:type w:val="evenPage"/>
          <w:pgSz w:w="11906" w:h="16838"/>
          <w:pgMar w:top="1411" w:right="1411" w:bottom="1411" w:left="1411" w:header="706" w:footer="706" w:gutter="0"/>
          <w:cols w:space="708"/>
          <w:formProt w:val="0"/>
          <w:docGrid w:linePitch="360"/>
        </w:sectPr>
      </w:pPr>
      <w:bookmarkStart w:id="87" w:name="_Toc213229623"/>
      <w:bookmarkStart w:id="88" w:name="_Toc261004354"/>
    </w:p>
    <w:p w14:paraId="1B4F5A25" w14:textId="77777777" w:rsidR="009D3DC8" w:rsidRDefault="009D3DC8">
      <w:pPr>
        <w:pStyle w:val="Table"/>
      </w:pPr>
      <w:bookmarkStart w:id="89" w:name="_Toc325625802"/>
      <w:r>
        <w:lastRenderedPageBreak/>
        <w:t>Table 4.2</w:t>
      </w:r>
      <w:r>
        <w:tab/>
        <w:t>Summary of unrestricted risk estimates for quarantine pests associated with fresh mangosteen fruit from Indonesia</w:t>
      </w:r>
      <w:bookmarkEnd w:id="87"/>
      <w:bookmarkEnd w:id="88"/>
      <w:bookmarkEnd w:id="89"/>
    </w:p>
    <w:tbl>
      <w:tblPr>
        <w:tblW w:w="5098" w:type="pct"/>
        <w:tblBorders>
          <w:insideH w:val="single" w:sz="4" w:space="0" w:color="C0C0C0"/>
          <w:insideV w:val="single" w:sz="4" w:space="0" w:color="C0C0C0"/>
        </w:tblBorders>
        <w:tblLayout w:type="fixed"/>
        <w:tblLook w:val="0000" w:firstRow="0" w:lastRow="0" w:firstColumn="0" w:lastColumn="0" w:noHBand="0" w:noVBand="0"/>
      </w:tblPr>
      <w:tblGrid>
        <w:gridCol w:w="2386"/>
        <w:gridCol w:w="1111"/>
        <w:gridCol w:w="1061"/>
        <w:gridCol w:w="980"/>
        <w:gridCol w:w="1403"/>
        <w:gridCol w:w="48"/>
        <w:gridCol w:w="931"/>
        <w:gridCol w:w="947"/>
        <w:gridCol w:w="704"/>
        <w:gridCol w:w="539"/>
        <w:gridCol w:w="539"/>
        <w:gridCol w:w="502"/>
        <w:gridCol w:w="15"/>
        <w:gridCol w:w="24"/>
        <w:gridCol w:w="539"/>
        <w:gridCol w:w="671"/>
        <w:gridCol w:w="1031"/>
        <w:gridCol w:w="1080"/>
      </w:tblGrid>
      <w:tr w:rsidR="009D3DC8" w14:paraId="19DAD1D6" w14:textId="77777777">
        <w:trPr>
          <w:cantSplit/>
          <w:tblHeader/>
        </w:trPr>
        <w:tc>
          <w:tcPr>
            <w:tcW w:w="2386" w:type="dxa"/>
            <w:tcBorders>
              <w:top w:val="single" w:sz="4" w:space="0" w:color="auto"/>
              <w:left w:val="single" w:sz="4" w:space="0" w:color="auto"/>
              <w:bottom w:val="nil"/>
              <w:right w:val="single" w:sz="4" w:space="0" w:color="auto"/>
            </w:tcBorders>
          </w:tcPr>
          <w:p w14:paraId="4E4207EB" w14:textId="77777777" w:rsidR="009D3DC8" w:rsidRDefault="009D3DC8">
            <w:pPr>
              <w:pStyle w:val="TableText1"/>
              <w:rPr>
                <w:rFonts w:ascii="Arial" w:hAnsi="Arial" w:cs="Arial"/>
                <w:b/>
                <w:szCs w:val="16"/>
              </w:rPr>
            </w:pPr>
          </w:p>
        </w:tc>
        <w:tc>
          <w:tcPr>
            <w:tcW w:w="6481" w:type="dxa"/>
            <w:gridSpan w:val="7"/>
            <w:tcBorders>
              <w:top w:val="single" w:sz="4" w:space="0" w:color="000000"/>
              <w:left w:val="single" w:sz="4" w:space="0" w:color="auto"/>
              <w:bottom w:val="single" w:sz="4" w:space="0" w:color="000000"/>
              <w:right w:val="nil"/>
            </w:tcBorders>
            <w:vAlign w:val="center"/>
          </w:tcPr>
          <w:p w14:paraId="5636B157" w14:textId="77777777" w:rsidR="009D3DC8" w:rsidRDefault="009D3DC8">
            <w:pPr>
              <w:pStyle w:val="TableText1"/>
              <w:jc w:val="center"/>
              <w:rPr>
                <w:rFonts w:ascii="Arial" w:hAnsi="Arial" w:cs="Arial"/>
                <w:b/>
                <w:szCs w:val="16"/>
              </w:rPr>
            </w:pPr>
            <w:r>
              <w:rPr>
                <w:rFonts w:ascii="Arial" w:hAnsi="Arial" w:cs="Arial"/>
                <w:b/>
                <w:szCs w:val="16"/>
              </w:rPr>
              <w:t>Likelihood of</w:t>
            </w:r>
          </w:p>
        </w:tc>
        <w:tc>
          <w:tcPr>
            <w:tcW w:w="4564" w:type="dxa"/>
            <w:gridSpan w:val="9"/>
            <w:vMerge w:val="restart"/>
            <w:tcBorders>
              <w:top w:val="single" w:sz="4" w:space="0" w:color="000000"/>
              <w:left w:val="nil"/>
              <w:right w:val="single" w:sz="4" w:space="0" w:color="FFFFC1"/>
            </w:tcBorders>
            <w:shd w:val="clear" w:color="auto" w:fill="FFFFC1"/>
          </w:tcPr>
          <w:p w14:paraId="0B3E30D3" w14:textId="77777777" w:rsidR="009D3DC8" w:rsidRDefault="009D3DC8">
            <w:pPr>
              <w:pStyle w:val="TableText1"/>
              <w:jc w:val="center"/>
              <w:rPr>
                <w:rFonts w:ascii="Arial" w:hAnsi="Arial" w:cs="Arial"/>
                <w:b/>
                <w:szCs w:val="16"/>
              </w:rPr>
            </w:pPr>
            <w:r>
              <w:rPr>
                <w:rFonts w:ascii="Arial" w:hAnsi="Arial" w:cs="Arial"/>
                <w:b/>
                <w:szCs w:val="16"/>
              </w:rPr>
              <w:t>Consequences</w:t>
            </w:r>
          </w:p>
        </w:tc>
        <w:tc>
          <w:tcPr>
            <w:tcW w:w="1080" w:type="dxa"/>
            <w:vMerge w:val="restart"/>
            <w:tcBorders>
              <w:top w:val="single" w:sz="4" w:space="0" w:color="000000"/>
              <w:left w:val="single" w:sz="4" w:space="0" w:color="FFFFC1"/>
              <w:right w:val="single" w:sz="4" w:space="0" w:color="000000"/>
            </w:tcBorders>
            <w:shd w:val="clear" w:color="auto" w:fill="CCFF66"/>
          </w:tcPr>
          <w:p w14:paraId="6BE3B670" w14:textId="77777777" w:rsidR="009D3DC8" w:rsidRDefault="009D3DC8">
            <w:pPr>
              <w:pStyle w:val="TableText1"/>
              <w:jc w:val="center"/>
              <w:rPr>
                <w:rFonts w:ascii="Arial" w:hAnsi="Arial" w:cs="Arial"/>
                <w:b/>
                <w:szCs w:val="16"/>
              </w:rPr>
            </w:pPr>
            <w:r>
              <w:rPr>
                <w:rFonts w:ascii="Arial" w:hAnsi="Arial" w:cs="Arial"/>
                <w:b/>
                <w:szCs w:val="16"/>
              </w:rPr>
              <w:t>URE</w:t>
            </w:r>
          </w:p>
        </w:tc>
      </w:tr>
      <w:tr w:rsidR="009D3DC8" w14:paraId="345ED3A7" w14:textId="77777777">
        <w:trPr>
          <w:cantSplit/>
          <w:tblHeader/>
        </w:trPr>
        <w:tc>
          <w:tcPr>
            <w:tcW w:w="2386" w:type="dxa"/>
            <w:vMerge w:val="restart"/>
            <w:tcBorders>
              <w:top w:val="nil"/>
              <w:left w:val="single" w:sz="4" w:space="0" w:color="auto"/>
              <w:bottom w:val="nil"/>
              <w:right w:val="single" w:sz="4" w:space="0" w:color="auto"/>
            </w:tcBorders>
          </w:tcPr>
          <w:p w14:paraId="7AB0CEFD" w14:textId="77777777" w:rsidR="009D3DC8" w:rsidRDefault="009D3DC8">
            <w:pPr>
              <w:pStyle w:val="TableText1"/>
              <w:rPr>
                <w:rFonts w:ascii="Arial" w:hAnsi="Arial" w:cs="Arial"/>
                <w:b/>
                <w:szCs w:val="16"/>
              </w:rPr>
            </w:pPr>
            <w:r>
              <w:rPr>
                <w:rFonts w:ascii="Arial" w:hAnsi="Arial" w:cs="Arial"/>
                <w:b/>
                <w:szCs w:val="16"/>
              </w:rPr>
              <w:t>Pest name</w:t>
            </w:r>
          </w:p>
        </w:tc>
        <w:tc>
          <w:tcPr>
            <w:tcW w:w="3152" w:type="dxa"/>
            <w:gridSpan w:val="3"/>
            <w:tcBorders>
              <w:top w:val="single" w:sz="4" w:space="0" w:color="000000"/>
              <w:left w:val="single" w:sz="4" w:space="0" w:color="auto"/>
              <w:bottom w:val="single" w:sz="4" w:space="0" w:color="000000"/>
              <w:right w:val="single" w:sz="4" w:space="0" w:color="FFE6CD"/>
            </w:tcBorders>
            <w:shd w:val="clear" w:color="auto" w:fill="FFE6CD"/>
            <w:vAlign w:val="center"/>
          </w:tcPr>
          <w:p w14:paraId="6C01AE5A" w14:textId="77777777" w:rsidR="009D3DC8" w:rsidRDefault="009D3DC8">
            <w:pPr>
              <w:pStyle w:val="TableText1"/>
              <w:jc w:val="center"/>
              <w:rPr>
                <w:rFonts w:ascii="Arial" w:hAnsi="Arial" w:cs="Arial"/>
                <w:szCs w:val="16"/>
              </w:rPr>
            </w:pPr>
            <w:r>
              <w:rPr>
                <w:rFonts w:ascii="Arial" w:hAnsi="Arial" w:cs="Arial"/>
                <w:b/>
                <w:szCs w:val="16"/>
              </w:rPr>
              <w:t>Entry</w:t>
            </w:r>
          </w:p>
        </w:tc>
        <w:tc>
          <w:tcPr>
            <w:tcW w:w="1403" w:type="dxa"/>
            <w:vMerge w:val="restart"/>
            <w:tcBorders>
              <w:top w:val="single" w:sz="4" w:space="0" w:color="000000"/>
              <w:left w:val="single" w:sz="4" w:space="0" w:color="FFE6CD"/>
              <w:bottom w:val="single" w:sz="4" w:space="0" w:color="000000"/>
              <w:right w:val="single" w:sz="4" w:space="0" w:color="FFE7E7"/>
            </w:tcBorders>
            <w:shd w:val="clear" w:color="auto" w:fill="FFE7E7"/>
          </w:tcPr>
          <w:p w14:paraId="178AA903" w14:textId="77777777" w:rsidR="009D3DC8" w:rsidRDefault="009D3DC8">
            <w:pPr>
              <w:pStyle w:val="TableText1"/>
              <w:jc w:val="center"/>
              <w:rPr>
                <w:rFonts w:ascii="Arial" w:hAnsi="Arial" w:cs="Arial"/>
                <w:b/>
                <w:szCs w:val="16"/>
              </w:rPr>
            </w:pPr>
            <w:r>
              <w:rPr>
                <w:rFonts w:ascii="Arial" w:hAnsi="Arial" w:cs="Arial"/>
                <w:b/>
                <w:szCs w:val="16"/>
              </w:rPr>
              <w:t>Establishment</w:t>
            </w:r>
          </w:p>
        </w:tc>
        <w:tc>
          <w:tcPr>
            <w:tcW w:w="979" w:type="dxa"/>
            <w:gridSpan w:val="2"/>
            <w:vMerge w:val="restart"/>
            <w:tcBorders>
              <w:top w:val="single" w:sz="4" w:space="0" w:color="000000"/>
              <w:left w:val="single" w:sz="4" w:space="0" w:color="FFE7E7"/>
              <w:bottom w:val="single" w:sz="4" w:space="0" w:color="000000"/>
              <w:right w:val="single" w:sz="4" w:space="0" w:color="D9F1FF"/>
            </w:tcBorders>
            <w:shd w:val="clear" w:color="auto" w:fill="D9F1FF"/>
          </w:tcPr>
          <w:p w14:paraId="3D82845F" w14:textId="77777777" w:rsidR="009D3DC8" w:rsidRDefault="009D3DC8">
            <w:pPr>
              <w:pStyle w:val="TableText1"/>
              <w:jc w:val="center"/>
              <w:rPr>
                <w:rFonts w:ascii="Arial" w:hAnsi="Arial" w:cs="Arial"/>
                <w:b/>
                <w:szCs w:val="16"/>
              </w:rPr>
            </w:pPr>
            <w:r>
              <w:rPr>
                <w:rFonts w:ascii="Arial" w:hAnsi="Arial" w:cs="Arial"/>
                <w:b/>
                <w:szCs w:val="16"/>
              </w:rPr>
              <w:t>Spread</w:t>
            </w:r>
          </w:p>
        </w:tc>
        <w:tc>
          <w:tcPr>
            <w:tcW w:w="947" w:type="dxa"/>
            <w:vMerge w:val="restart"/>
            <w:tcBorders>
              <w:top w:val="single" w:sz="4" w:space="0" w:color="000000"/>
              <w:left w:val="single" w:sz="4" w:space="0" w:color="D9F1FF"/>
              <w:bottom w:val="single" w:sz="4" w:space="0" w:color="000000"/>
              <w:right w:val="single" w:sz="4" w:space="0" w:color="FFFFC1"/>
            </w:tcBorders>
            <w:shd w:val="clear" w:color="auto" w:fill="E1FFE1"/>
          </w:tcPr>
          <w:p w14:paraId="531D17C3" w14:textId="77777777" w:rsidR="009D3DC8" w:rsidRDefault="009D3DC8">
            <w:pPr>
              <w:pStyle w:val="TableText1"/>
              <w:rPr>
                <w:rFonts w:ascii="Arial" w:hAnsi="Arial" w:cs="Arial"/>
                <w:szCs w:val="16"/>
              </w:rPr>
            </w:pPr>
            <w:r>
              <w:rPr>
                <w:rFonts w:ascii="Arial" w:hAnsi="Arial" w:cs="Arial"/>
                <w:b/>
                <w:szCs w:val="16"/>
              </w:rPr>
              <w:t>P[EES]</w:t>
            </w:r>
          </w:p>
        </w:tc>
        <w:tc>
          <w:tcPr>
            <w:tcW w:w="4564" w:type="dxa"/>
            <w:gridSpan w:val="9"/>
            <w:vMerge/>
            <w:tcBorders>
              <w:left w:val="single" w:sz="4" w:space="0" w:color="FFFFC1"/>
              <w:bottom w:val="single" w:sz="4" w:space="0" w:color="000000"/>
              <w:right w:val="single" w:sz="4" w:space="0" w:color="FFFFC1"/>
            </w:tcBorders>
            <w:shd w:val="clear" w:color="auto" w:fill="FFFFC1"/>
          </w:tcPr>
          <w:p w14:paraId="1E257938" w14:textId="77777777" w:rsidR="009D3DC8" w:rsidRDefault="009D3DC8">
            <w:pPr>
              <w:pStyle w:val="TableText1"/>
              <w:jc w:val="center"/>
              <w:rPr>
                <w:rFonts w:ascii="Arial" w:hAnsi="Arial" w:cs="Arial"/>
                <w:szCs w:val="16"/>
              </w:rPr>
            </w:pPr>
          </w:p>
        </w:tc>
        <w:tc>
          <w:tcPr>
            <w:tcW w:w="1080" w:type="dxa"/>
            <w:vMerge/>
            <w:tcBorders>
              <w:left w:val="single" w:sz="4" w:space="0" w:color="FFFFC1"/>
              <w:right w:val="single" w:sz="4" w:space="0" w:color="000000"/>
            </w:tcBorders>
            <w:shd w:val="clear" w:color="auto" w:fill="CCFF66"/>
          </w:tcPr>
          <w:p w14:paraId="1EA829F8" w14:textId="77777777" w:rsidR="009D3DC8" w:rsidRDefault="009D3DC8">
            <w:pPr>
              <w:pStyle w:val="TableText1"/>
              <w:rPr>
                <w:rFonts w:ascii="Arial" w:hAnsi="Arial" w:cs="Arial"/>
                <w:b/>
                <w:szCs w:val="16"/>
              </w:rPr>
            </w:pPr>
          </w:p>
        </w:tc>
      </w:tr>
      <w:tr w:rsidR="009D3DC8" w14:paraId="468066D1" w14:textId="77777777">
        <w:trPr>
          <w:cantSplit/>
          <w:tblHeader/>
        </w:trPr>
        <w:tc>
          <w:tcPr>
            <w:tcW w:w="2386" w:type="dxa"/>
            <w:vMerge/>
            <w:tcBorders>
              <w:top w:val="nil"/>
              <w:left w:val="single" w:sz="4" w:space="0" w:color="auto"/>
              <w:bottom w:val="nil"/>
              <w:right w:val="single" w:sz="4" w:space="0" w:color="auto"/>
            </w:tcBorders>
          </w:tcPr>
          <w:p w14:paraId="34EA8F3A" w14:textId="77777777" w:rsidR="009D3DC8" w:rsidRDefault="009D3DC8">
            <w:pPr>
              <w:pStyle w:val="TableText1"/>
              <w:rPr>
                <w:rFonts w:ascii="Arial" w:hAnsi="Arial" w:cs="Arial"/>
                <w:szCs w:val="16"/>
              </w:rPr>
            </w:pPr>
          </w:p>
        </w:tc>
        <w:tc>
          <w:tcPr>
            <w:tcW w:w="1111" w:type="dxa"/>
            <w:vMerge w:val="restart"/>
            <w:tcBorders>
              <w:top w:val="single" w:sz="4" w:space="0" w:color="000000"/>
              <w:left w:val="single" w:sz="4" w:space="0" w:color="auto"/>
              <w:right w:val="single" w:sz="4" w:space="0" w:color="FFE6CD"/>
            </w:tcBorders>
            <w:shd w:val="clear" w:color="auto" w:fill="FFE6CD"/>
          </w:tcPr>
          <w:p w14:paraId="25856A94" w14:textId="77777777" w:rsidR="009D3DC8" w:rsidRDefault="009D3DC8">
            <w:pPr>
              <w:pStyle w:val="TableText1"/>
              <w:rPr>
                <w:rFonts w:ascii="Arial" w:hAnsi="Arial" w:cs="Arial"/>
                <w:b/>
                <w:szCs w:val="16"/>
              </w:rPr>
            </w:pPr>
            <w:r>
              <w:rPr>
                <w:rFonts w:ascii="Arial" w:hAnsi="Arial" w:cs="Arial"/>
                <w:szCs w:val="16"/>
              </w:rPr>
              <w:t>Importation</w:t>
            </w:r>
          </w:p>
        </w:tc>
        <w:tc>
          <w:tcPr>
            <w:tcW w:w="1061" w:type="dxa"/>
            <w:vMerge w:val="restart"/>
            <w:tcBorders>
              <w:top w:val="single" w:sz="4" w:space="0" w:color="000000"/>
              <w:left w:val="single" w:sz="4" w:space="0" w:color="FFE6CD"/>
              <w:bottom w:val="nil"/>
              <w:right w:val="single" w:sz="4" w:space="0" w:color="FFE6CD"/>
            </w:tcBorders>
            <w:shd w:val="clear" w:color="auto" w:fill="FFE6CD"/>
          </w:tcPr>
          <w:p w14:paraId="0A5686B0" w14:textId="77777777" w:rsidR="009D3DC8" w:rsidRDefault="009D3DC8">
            <w:pPr>
              <w:pStyle w:val="TableText1"/>
              <w:rPr>
                <w:rFonts w:ascii="Arial" w:hAnsi="Arial" w:cs="Arial"/>
                <w:b/>
                <w:szCs w:val="16"/>
              </w:rPr>
            </w:pPr>
            <w:r>
              <w:rPr>
                <w:rFonts w:ascii="Arial" w:hAnsi="Arial" w:cs="Arial"/>
                <w:szCs w:val="16"/>
              </w:rPr>
              <w:t>Distribution</w:t>
            </w:r>
          </w:p>
        </w:tc>
        <w:tc>
          <w:tcPr>
            <w:tcW w:w="980" w:type="dxa"/>
            <w:vMerge w:val="restart"/>
            <w:tcBorders>
              <w:top w:val="single" w:sz="4" w:space="0" w:color="000000"/>
              <w:left w:val="single" w:sz="4" w:space="0" w:color="FFE6CD"/>
              <w:right w:val="single" w:sz="4" w:space="0" w:color="FFE6CD"/>
            </w:tcBorders>
            <w:shd w:val="clear" w:color="auto" w:fill="FFE6CD"/>
          </w:tcPr>
          <w:p w14:paraId="3479B606" w14:textId="77777777" w:rsidR="009D3DC8" w:rsidRDefault="009D3DC8">
            <w:pPr>
              <w:pStyle w:val="TableText1"/>
              <w:rPr>
                <w:rFonts w:ascii="Arial" w:hAnsi="Arial" w:cs="Arial"/>
                <w:b/>
                <w:szCs w:val="16"/>
              </w:rPr>
            </w:pPr>
            <w:r>
              <w:rPr>
                <w:rFonts w:ascii="Arial" w:hAnsi="Arial" w:cs="Arial"/>
                <w:b/>
                <w:szCs w:val="16"/>
              </w:rPr>
              <w:t>Overall</w:t>
            </w:r>
          </w:p>
        </w:tc>
        <w:tc>
          <w:tcPr>
            <w:tcW w:w="1403" w:type="dxa"/>
            <w:vMerge/>
            <w:tcBorders>
              <w:top w:val="single" w:sz="4" w:space="0" w:color="000000"/>
              <w:left w:val="single" w:sz="4" w:space="0" w:color="FFE6CD"/>
              <w:right w:val="single" w:sz="4" w:space="0" w:color="FFE7E7"/>
            </w:tcBorders>
            <w:shd w:val="clear" w:color="auto" w:fill="FFE7E7"/>
          </w:tcPr>
          <w:p w14:paraId="3C48E4D6" w14:textId="77777777" w:rsidR="009D3DC8" w:rsidRDefault="009D3DC8">
            <w:pPr>
              <w:pStyle w:val="TableText1"/>
              <w:jc w:val="center"/>
              <w:rPr>
                <w:rFonts w:ascii="Arial" w:hAnsi="Arial" w:cs="Arial"/>
                <w:b/>
                <w:szCs w:val="16"/>
              </w:rPr>
            </w:pPr>
          </w:p>
        </w:tc>
        <w:tc>
          <w:tcPr>
            <w:tcW w:w="979" w:type="dxa"/>
            <w:gridSpan w:val="2"/>
            <w:vMerge/>
            <w:tcBorders>
              <w:top w:val="single" w:sz="4" w:space="0" w:color="000000"/>
              <w:left w:val="single" w:sz="4" w:space="0" w:color="FFE7E7"/>
              <w:right w:val="single" w:sz="4" w:space="0" w:color="D9F1FF"/>
            </w:tcBorders>
            <w:shd w:val="clear" w:color="auto" w:fill="D9F1FF"/>
          </w:tcPr>
          <w:p w14:paraId="537FCBB8" w14:textId="77777777" w:rsidR="009D3DC8" w:rsidRDefault="009D3DC8">
            <w:pPr>
              <w:pStyle w:val="TableText1"/>
              <w:jc w:val="center"/>
              <w:rPr>
                <w:rFonts w:ascii="Arial" w:hAnsi="Arial" w:cs="Arial"/>
                <w:b/>
                <w:szCs w:val="16"/>
              </w:rPr>
            </w:pPr>
          </w:p>
        </w:tc>
        <w:tc>
          <w:tcPr>
            <w:tcW w:w="947" w:type="dxa"/>
            <w:vMerge/>
            <w:tcBorders>
              <w:top w:val="single" w:sz="4" w:space="0" w:color="000000"/>
              <w:left w:val="single" w:sz="4" w:space="0" w:color="D9F1FF"/>
              <w:right w:val="single" w:sz="4" w:space="0" w:color="FFFFC1"/>
            </w:tcBorders>
            <w:shd w:val="clear" w:color="auto" w:fill="E1FFE1"/>
          </w:tcPr>
          <w:p w14:paraId="68B733D9" w14:textId="77777777" w:rsidR="009D3DC8" w:rsidRDefault="009D3DC8">
            <w:pPr>
              <w:pStyle w:val="TableText1"/>
              <w:rPr>
                <w:rFonts w:ascii="Arial" w:hAnsi="Arial" w:cs="Arial"/>
                <w:b/>
                <w:szCs w:val="16"/>
              </w:rPr>
            </w:pPr>
          </w:p>
        </w:tc>
        <w:tc>
          <w:tcPr>
            <w:tcW w:w="1243" w:type="dxa"/>
            <w:gridSpan w:val="2"/>
            <w:tcBorders>
              <w:top w:val="single" w:sz="4" w:space="0" w:color="000000"/>
              <w:left w:val="single" w:sz="4" w:space="0" w:color="FFFFC1"/>
              <w:bottom w:val="single" w:sz="4" w:space="0" w:color="FFFFC1"/>
              <w:right w:val="single" w:sz="4" w:space="0" w:color="000000"/>
            </w:tcBorders>
            <w:shd w:val="clear" w:color="auto" w:fill="FFFFC1"/>
          </w:tcPr>
          <w:p w14:paraId="574CFC26" w14:textId="77777777" w:rsidR="009D3DC8" w:rsidRDefault="009D3DC8">
            <w:pPr>
              <w:pStyle w:val="TableText1"/>
              <w:rPr>
                <w:rFonts w:ascii="Arial" w:hAnsi="Arial" w:cs="Arial"/>
                <w:szCs w:val="16"/>
              </w:rPr>
            </w:pPr>
            <w:r>
              <w:rPr>
                <w:rFonts w:ascii="Arial" w:hAnsi="Arial" w:cs="Arial"/>
                <w:szCs w:val="16"/>
              </w:rPr>
              <w:t>Direct</w:t>
            </w:r>
          </w:p>
        </w:tc>
        <w:tc>
          <w:tcPr>
            <w:tcW w:w="2290" w:type="dxa"/>
            <w:gridSpan w:val="6"/>
            <w:tcBorders>
              <w:top w:val="single" w:sz="4" w:space="0" w:color="000000"/>
              <w:left w:val="single" w:sz="4" w:space="0" w:color="000000"/>
              <w:bottom w:val="single" w:sz="4" w:space="0" w:color="FFFFC1"/>
              <w:right w:val="single" w:sz="4" w:space="0" w:color="FFFFC1"/>
            </w:tcBorders>
            <w:shd w:val="clear" w:color="auto" w:fill="FFFFC1"/>
          </w:tcPr>
          <w:p w14:paraId="3F72225C" w14:textId="77777777" w:rsidR="009D3DC8" w:rsidRDefault="009D3DC8">
            <w:pPr>
              <w:pStyle w:val="TableText1"/>
              <w:rPr>
                <w:rFonts w:ascii="Arial" w:hAnsi="Arial" w:cs="Arial"/>
                <w:szCs w:val="16"/>
              </w:rPr>
            </w:pPr>
            <w:r>
              <w:rPr>
                <w:rFonts w:ascii="Arial" w:hAnsi="Arial" w:cs="Arial"/>
                <w:szCs w:val="16"/>
              </w:rPr>
              <w:t>Indirect</w:t>
            </w:r>
          </w:p>
        </w:tc>
        <w:tc>
          <w:tcPr>
            <w:tcW w:w="1031" w:type="dxa"/>
            <w:vMerge w:val="restart"/>
            <w:tcBorders>
              <w:top w:val="single" w:sz="4" w:space="0" w:color="000000"/>
              <w:left w:val="single" w:sz="4" w:space="0" w:color="FFFFC1"/>
              <w:right w:val="single" w:sz="4" w:space="0" w:color="FFFFC1"/>
            </w:tcBorders>
            <w:shd w:val="clear" w:color="auto" w:fill="FFFFC1"/>
          </w:tcPr>
          <w:p w14:paraId="189CF41F" w14:textId="77777777" w:rsidR="009D3DC8" w:rsidRDefault="009D3DC8">
            <w:pPr>
              <w:pStyle w:val="TableText1"/>
              <w:rPr>
                <w:rFonts w:ascii="Arial" w:hAnsi="Arial" w:cs="Arial"/>
                <w:szCs w:val="16"/>
              </w:rPr>
            </w:pPr>
            <w:r>
              <w:rPr>
                <w:rFonts w:ascii="Arial" w:hAnsi="Arial" w:cs="Arial"/>
                <w:b/>
                <w:szCs w:val="16"/>
              </w:rPr>
              <w:t>Overall</w:t>
            </w:r>
          </w:p>
        </w:tc>
        <w:tc>
          <w:tcPr>
            <w:tcW w:w="1080" w:type="dxa"/>
            <w:vMerge/>
            <w:tcBorders>
              <w:left w:val="single" w:sz="4" w:space="0" w:color="FFFFC1"/>
              <w:right w:val="single" w:sz="4" w:space="0" w:color="000000"/>
            </w:tcBorders>
            <w:shd w:val="clear" w:color="auto" w:fill="CCFF66"/>
          </w:tcPr>
          <w:p w14:paraId="584E14CA" w14:textId="77777777" w:rsidR="009D3DC8" w:rsidRDefault="009D3DC8">
            <w:pPr>
              <w:pStyle w:val="TableText1"/>
              <w:rPr>
                <w:rFonts w:ascii="Arial" w:hAnsi="Arial" w:cs="Arial"/>
                <w:szCs w:val="16"/>
              </w:rPr>
            </w:pPr>
          </w:p>
        </w:tc>
      </w:tr>
      <w:tr w:rsidR="009D3DC8" w14:paraId="20F0D3E9" w14:textId="77777777">
        <w:trPr>
          <w:cantSplit/>
          <w:tblHeader/>
        </w:trPr>
        <w:tc>
          <w:tcPr>
            <w:tcW w:w="2386" w:type="dxa"/>
            <w:vMerge/>
            <w:tcBorders>
              <w:top w:val="nil"/>
              <w:left w:val="single" w:sz="4" w:space="0" w:color="auto"/>
              <w:bottom w:val="nil"/>
              <w:right w:val="single" w:sz="4" w:space="0" w:color="auto"/>
            </w:tcBorders>
          </w:tcPr>
          <w:p w14:paraId="46F54D2C" w14:textId="77777777" w:rsidR="009D3DC8" w:rsidRDefault="009D3DC8">
            <w:pPr>
              <w:pStyle w:val="TableText1"/>
              <w:rPr>
                <w:rFonts w:ascii="Arial" w:hAnsi="Arial" w:cs="Arial"/>
                <w:szCs w:val="16"/>
              </w:rPr>
            </w:pPr>
          </w:p>
        </w:tc>
        <w:tc>
          <w:tcPr>
            <w:tcW w:w="1111" w:type="dxa"/>
            <w:vMerge/>
            <w:tcBorders>
              <w:left w:val="single" w:sz="4" w:space="0" w:color="auto"/>
              <w:bottom w:val="single" w:sz="4" w:space="0" w:color="000000"/>
              <w:right w:val="single" w:sz="4" w:space="0" w:color="FFE6CD"/>
            </w:tcBorders>
            <w:shd w:val="clear" w:color="auto" w:fill="FFE6CD"/>
          </w:tcPr>
          <w:p w14:paraId="4B9E6461" w14:textId="77777777" w:rsidR="009D3DC8" w:rsidRDefault="009D3DC8">
            <w:pPr>
              <w:pStyle w:val="TableText1"/>
              <w:jc w:val="center"/>
              <w:rPr>
                <w:rFonts w:ascii="Arial" w:hAnsi="Arial" w:cs="Arial"/>
                <w:szCs w:val="16"/>
              </w:rPr>
            </w:pPr>
          </w:p>
        </w:tc>
        <w:tc>
          <w:tcPr>
            <w:tcW w:w="1061" w:type="dxa"/>
            <w:vMerge/>
            <w:tcBorders>
              <w:top w:val="single" w:sz="4" w:space="0" w:color="C0C0C0"/>
              <w:left w:val="single" w:sz="4" w:space="0" w:color="FFE6CD"/>
              <w:bottom w:val="single" w:sz="4" w:space="0" w:color="000000"/>
              <w:right w:val="single" w:sz="4" w:space="0" w:color="FFE6CD"/>
            </w:tcBorders>
            <w:shd w:val="clear" w:color="auto" w:fill="FFE6CD"/>
          </w:tcPr>
          <w:p w14:paraId="167DBD73" w14:textId="77777777" w:rsidR="009D3DC8" w:rsidRDefault="009D3DC8">
            <w:pPr>
              <w:pStyle w:val="TableText1"/>
              <w:jc w:val="center"/>
              <w:rPr>
                <w:rFonts w:ascii="Arial" w:hAnsi="Arial" w:cs="Arial"/>
                <w:szCs w:val="16"/>
              </w:rPr>
            </w:pPr>
          </w:p>
        </w:tc>
        <w:tc>
          <w:tcPr>
            <w:tcW w:w="980" w:type="dxa"/>
            <w:vMerge/>
            <w:tcBorders>
              <w:left w:val="single" w:sz="4" w:space="0" w:color="FFE6CD"/>
              <w:bottom w:val="single" w:sz="4" w:space="0" w:color="000000"/>
              <w:right w:val="single" w:sz="4" w:space="0" w:color="FFE6CD"/>
            </w:tcBorders>
            <w:shd w:val="clear" w:color="auto" w:fill="FFE6CD"/>
          </w:tcPr>
          <w:p w14:paraId="70D9A0F1" w14:textId="77777777" w:rsidR="009D3DC8" w:rsidRDefault="009D3DC8">
            <w:pPr>
              <w:pStyle w:val="TableText1"/>
              <w:rPr>
                <w:rFonts w:ascii="Arial" w:hAnsi="Arial" w:cs="Arial"/>
                <w:b/>
                <w:szCs w:val="16"/>
              </w:rPr>
            </w:pPr>
          </w:p>
        </w:tc>
        <w:tc>
          <w:tcPr>
            <w:tcW w:w="1403" w:type="dxa"/>
            <w:vMerge/>
            <w:tcBorders>
              <w:left w:val="single" w:sz="4" w:space="0" w:color="FFE6CD"/>
              <w:bottom w:val="single" w:sz="4" w:space="0" w:color="000000"/>
              <w:right w:val="single" w:sz="4" w:space="0" w:color="FFE7E7"/>
            </w:tcBorders>
            <w:shd w:val="clear" w:color="auto" w:fill="FFE7E7"/>
          </w:tcPr>
          <w:p w14:paraId="68003848" w14:textId="77777777" w:rsidR="009D3DC8" w:rsidRDefault="009D3DC8">
            <w:pPr>
              <w:pStyle w:val="TableText1"/>
              <w:jc w:val="center"/>
              <w:rPr>
                <w:rFonts w:ascii="Arial" w:hAnsi="Arial" w:cs="Arial"/>
                <w:b/>
                <w:szCs w:val="16"/>
              </w:rPr>
            </w:pPr>
          </w:p>
        </w:tc>
        <w:tc>
          <w:tcPr>
            <w:tcW w:w="979" w:type="dxa"/>
            <w:gridSpan w:val="2"/>
            <w:vMerge/>
            <w:tcBorders>
              <w:left w:val="single" w:sz="4" w:space="0" w:color="FFE7E7"/>
              <w:bottom w:val="single" w:sz="4" w:space="0" w:color="000000"/>
              <w:right w:val="single" w:sz="4" w:space="0" w:color="D9F1FF"/>
            </w:tcBorders>
            <w:shd w:val="clear" w:color="auto" w:fill="D9F1FF"/>
          </w:tcPr>
          <w:p w14:paraId="6B7C1060" w14:textId="77777777" w:rsidR="009D3DC8" w:rsidRDefault="009D3DC8">
            <w:pPr>
              <w:pStyle w:val="TableText1"/>
              <w:jc w:val="center"/>
              <w:rPr>
                <w:rFonts w:ascii="Arial" w:hAnsi="Arial" w:cs="Arial"/>
                <w:b/>
                <w:szCs w:val="16"/>
              </w:rPr>
            </w:pPr>
          </w:p>
        </w:tc>
        <w:tc>
          <w:tcPr>
            <w:tcW w:w="947" w:type="dxa"/>
            <w:vMerge/>
            <w:tcBorders>
              <w:left w:val="single" w:sz="4" w:space="0" w:color="D9F1FF"/>
              <w:bottom w:val="single" w:sz="4" w:space="0" w:color="000000"/>
              <w:right w:val="single" w:sz="4" w:space="0" w:color="FFFFC1"/>
            </w:tcBorders>
            <w:shd w:val="clear" w:color="auto" w:fill="E1FFE1"/>
          </w:tcPr>
          <w:p w14:paraId="118D1423" w14:textId="77777777" w:rsidR="009D3DC8" w:rsidRDefault="009D3DC8">
            <w:pPr>
              <w:pStyle w:val="TableText1"/>
              <w:rPr>
                <w:rFonts w:ascii="Arial" w:hAnsi="Arial" w:cs="Arial"/>
                <w:szCs w:val="16"/>
              </w:rPr>
            </w:pPr>
          </w:p>
        </w:tc>
        <w:tc>
          <w:tcPr>
            <w:tcW w:w="704" w:type="dxa"/>
            <w:tcBorders>
              <w:top w:val="single" w:sz="4" w:space="0" w:color="FFFFC1"/>
              <w:left w:val="single" w:sz="4" w:space="0" w:color="FFFFC1"/>
              <w:bottom w:val="single" w:sz="4" w:space="0" w:color="000000"/>
              <w:right w:val="single" w:sz="4" w:space="0" w:color="FFFFC1"/>
            </w:tcBorders>
            <w:shd w:val="clear" w:color="auto" w:fill="FFFFC1"/>
          </w:tcPr>
          <w:p w14:paraId="6C4A2D7F" w14:textId="77777777" w:rsidR="009D3DC8" w:rsidRDefault="009D3DC8">
            <w:pPr>
              <w:pStyle w:val="TableText1"/>
              <w:rPr>
                <w:rFonts w:ascii="Arial" w:hAnsi="Arial" w:cs="Arial"/>
                <w:b/>
                <w:szCs w:val="16"/>
              </w:rPr>
            </w:pPr>
            <w:r>
              <w:rPr>
                <w:rFonts w:ascii="Arial" w:hAnsi="Arial" w:cs="Arial"/>
                <w:b/>
                <w:szCs w:val="16"/>
              </w:rPr>
              <w:t>PLH</w:t>
            </w:r>
          </w:p>
        </w:tc>
        <w:tc>
          <w:tcPr>
            <w:tcW w:w="539" w:type="dxa"/>
            <w:tcBorders>
              <w:top w:val="single" w:sz="4" w:space="0" w:color="FFFFC1"/>
              <w:left w:val="single" w:sz="4" w:space="0" w:color="FFFFC1"/>
              <w:bottom w:val="single" w:sz="4" w:space="0" w:color="000000"/>
              <w:right w:val="single" w:sz="4" w:space="0" w:color="FFFFC1"/>
            </w:tcBorders>
            <w:shd w:val="clear" w:color="auto" w:fill="FFFFC1"/>
          </w:tcPr>
          <w:p w14:paraId="74C05679" w14:textId="77777777" w:rsidR="009D3DC8" w:rsidRDefault="009D3DC8">
            <w:pPr>
              <w:pStyle w:val="TableText1"/>
              <w:rPr>
                <w:rFonts w:ascii="Arial" w:hAnsi="Arial" w:cs="Arial"/>
                <w:b/>
                <w:szCs w:val="16"/>
              </w:rPr>
            </w:pPr>
            <w:r>
              <w:rPr>
                <w:rFonts w:ascii="Arial" w:hAnsi="Arial" w:cs="Arial"/>
                <w:b/>
                <w:szCs w:val="16"/>
              </w:rPr>
              <w:t>OE</w:t>
            </w:r>
          </w:p>
        </w:tc>
        <w:tc>
          <w:tcPr>
            <w:tcW w:w="539" w:type="dxa"/>
            <w:tcBorders>
              <w:top w:val="single" w:sz="4" w:space="0" w:color="FFFFC1"/>
              <w:left w:val="single" w:sz="4" w:space="0" w:color="FFFFC1"/>
              <w:bottom w:val="single" w:sz="4" w:space="0" w:color="000000"/>
              <w:right w:val="single" w:sz="4" w:space="0" w:color="FFFFC1"/>
            </w:tcBorders>
            <w:shd w:val="clear" w:color="auto" w:fill="FFFFC1"/>
          </w:tcPr>
          <w:p w14:paraId="11C24B2F" w14:textId="77777777" w:rsidR="009D3DC8" w:rsidRDefault="009D3DC8">
            <w:pPr>
              <w:pStyle w:val="TableText1"/>
              <w:rPr>
                <w:rFonts w:ascii="Arial" w:hAnsi="Arial" w:cs="Arial"/>
                <w:b/>
                <w:szCs w:val="16"/>
              </w:rPr>
            </w:pPr>
            <w:r>
              <w:rPr>
                <w:rFonts w:ascii="Arial" w:hAnsi="Arial" w:cs="Arial"/>
                <w:b/>
                <w:szCs w:val="16"/>
              </w:rPr>
              <w:t>EC</w:t>
            </w:r>
          </w:p>
        </w:tc>
        <w:tc>
          <w:tcPr>
            <w:tcW w:w="541" w:type="dxa"/>
            <w:gridSpan w:val="3"/>
            <w:tcBorders>
              <w:top w:val="single" w:sz="4" w:space="0" w:color="FFFFC1"/>
              <w:left w:val="single" w:sz="4" w:space="0" w:color="FFFFC1"/>
              <w:bottom w:val="single" w:sz="4" w:space="0" w:color="000000"/>
              <w:right w:val="single" w:sz="4" w:space="0" w:color="FFFFC1"/>
            </w:tcBorders>
            <w:shd w:val="clear" w:color="auto" w:fill="FFFFC1"/>
          </w:tcPr>
          <w:p w14:paraId="65CAFADA" w14:textId="77777777" w:rsidR="009D3DC8" w:rsidRDefault="009D3DC8">
            <w:pPr>
              <w:pStyle w:val="TableText1"/>
              <w:rPr>
                <w:rFonts w:ascii="Arial" w:hAnsi="Arial" w:cs="Arial"/>
                <w:b/>
                <w:szCs w:val="16"/>
              </w:rPr>
            </w:pPr>
            <w:r>
              <w:rPr>
                <w:rFonts w:ascii="Arial" w:hAnsi="Arial" w:cs="Arial"/>
                <w:b/>
                <w:szCs w:val="16"/>
              </w:rPr>
              <w:t>DT</w:t>
            </w:r>
          </w:p>
        </w:tc>
        <w:tc>
          <w:tcPr>
            <w:tcW w:w="539" w:type="dxa"/>
            <w:tcBorders>
              <w:top w:val="single" w:sz="4" w:space="0" w:color="FFFFC1"/>
              <w:left w:val="single" w:sz="4" w:space="0" w:color="FFFFC1"/>
              <w:bottom w:val="single" w:sz="4" w:space="0" w:color="000000"/>
              <w:right w:val="single" w:sz="4" w:space="0" w:color="FFFFC1"/>
            </w:tcBorders>
            <w:shd w:val="clear" w:color="auto" w:fill="FFFFC1"/>
          </w:tcPr>
          <w:p w14:paraId="3706608D" w14:textId="77777777" w:rsidR="009D3DC8" w:rsidRDefault="009D3DC8">
            <w:pPr>
              <w:pStyle w:val="TableText1"/>
              <w:rPr>
                <w:rFonts w:ascii="Arial" w:hAnsi="Arial" w:cs="Arial"/>
                <w:b/>
                <w:szCs w:val="16"/>
              </w:rPr>
            </w:pPr>
            <w:r>
              <w:rPr>
                <w:rFonts w:ascii="Arial" w:hAnsi="Arial" w:cs="Arial"/>
                <w:b/>
                <w:szCs w:val="16"/>
              </w:rPr>
              <w:t>IT</w:t>
            </w:r>
          </w:p>
        </w:tc>
        <w:tc>
          <w:tcPr>
            <w:tcW w:w="671" w:type="dxa"/>
            <w:tcBorders>
              <w:top w:val="single" w:sz="4" w:space="0" w:color="FFFFC1"/>
              <w:left w:val="single" w:sz="4" w:space="0" w:color="FFFFC1"/>
              <w:bottom w:val="single" w:sz="4" w:space="0" w:color="000000"/>
              <w:right w:val="single" w:sz="4" w:space="0" w:color="FFFFC1"/>
            </w:tcBorders>
            <w:shd w:val="clear" w:color="auto" w:fill="FFFFC1"/>
          </w:tcPr>
          <w:p w14:paraId="0AB2D585" w14:textId="77777777" w:rsidR="009D3DC8" w:rsidRDefault="009D3DC8">
            <w:pPr>
              <w:pStyle w:val="TableText1"/>
              <w:rPr>
                <w:rFonts w:ascii="Arial" w:hAnsi="Arial" w:cs="Arial"/>
                <w:b/>
                <w:szCs w:val="16"/>
              </w:rPr>
            </w:pPr>
            <w:r>
              <w:rPr>
                <w:rFonts w:ascii="Arial" w:hAnsi="Arial" w:cs="Arial"/>
                <w:b/>
                <w:szCs w:val="16"/>
              </w:rPr>
              <w:t>ENC</w:t>
            </w:r>
          </w:p>
        </w:tc>
        <w:tc>
          <w:tcPr>
            <w:tcW w:w="1031" w:type="dxa"/>
            <w:vMerge/>
            <w:tcBorders>
              <w:left w:val="single" w:sz="4" w:space="0" w:color="FFFFC1"/>
              <w:bottom w:val="single" w:sz="4" w:space="0" w:color="000000"/>
              <w:right w:val="single" w:sz="4" w:space="0" w:color="FFFFC1"/>
            </w:tcBorders>
            <w:shd w:val="clear" w:color="auto" w:fill="E0E0E0"/>
          </w:tcPr>
          <w:p w14:paraId="09B6100F" w14:textId="77777777" w:rsidR="009D3DC8" w:rsidRDefault="009D3DC8">
            <w:pPr>
              <w:pStyle w:val="TableText1"/>
              <w:rPr>
                <w:rFonts w:ascii="Arial" w:hAnsi="Arial" w:cs="Arial"/>
                <w:b/>
                <w:szCs w:val="16"/>
              </w:rPr>
            </w:pPr>
          </w:p>
        </w:tc>
        <w:tc>
          <w:tcPr>
            <w:tcW w:w="1080" w:type="dxa"/>
            <w:vMerge/>
            <w:tcBorders>
              <w:left w:val="single" w:sz="4" w:space="0" w:color="FFFFC1"/>
              <w:bottom w:val="single" w:sz="4" w:space="0" w:color="auto"/>
              <w:right w:val="single" w:sz="4" w:space="0" w:color="000000"/>
            </w:tcBorders>
            <w:shd w:val="clear" w:color="auto" w:fill="CCFF66"/>
          </w:tcPr>
          <w:p w14:paraId="2892C087" w14:textId="77777777" w:rsidR="009D3DC8" w:rsidRDefault="009D3DC8">
            <w:pPr>
              <w:pStyle w:val="TableText1"/>
              <w:rPr>
                <w:rFonts w:ascii="Arial" w:hAnsi="Arial" w:cs="Arial"/>
                <w:szCs w:val="16"/>
              </w:rPr>
            </w:pPr>
          </w:p>
        </w:tc>
      </w:tr>
      <w:tr w:rsidR="009D3DC8" w14:paraId="25212BBE" w14:textId="77777777">
        <w:tc>
          <w:tcPr>
            <w:tcW w:w="14511" w:type="dxa"/>
            <w:gridSpan w:val="18"/>
            <w:tcBorders>
              <w:top w:val="single" w:sz="4" w:space="0" w:color="auto"/>
              <w:left w:val="single" w:sz="4" w:space="0" w:color="auto"/>
              <w:bottom w:val="single" w:sz="4" w:space="0" w:color="auto"/>
              <w:right w:val="single" w:sz="4" w:space="0" w:color="auto"/>
            </w:tcBorders>
            <w:shd w:val="clear" w:color="auto" w:fill="E0E0E0"/>
          </w:tcPr>
          <w:p w14:paraId="51FE5574" w14:textId="77777777" w:rsidR="009D3DC8" w:rsidRDefault="009D3DC8">
            <w:pPr>
              <w:pStyle w:val="TableText1"/>
              <w:tabs>
                <w:tab w:val="left" w:pos="13313"/>
              </w:tabs>
              <w:spacing w:before="120"/>
              <w:rPr>
                <w:rFonts w:ascii="Arial" w:hAnsi="Arial" w:cs="Arial"/>
                <w:b/>
                <w:color w:val="auto"/>
                <w:szCs w:val="16"/>
              </w:rPr>
            </w:pPr>
            <w:r>
              <w:rPr>
                <w:rFonts w:ascii="Arial" w:hAnsi="Arial" w:cs="Arial"/>
                <w:b/>
                <w:szCs w:val="16"/>
              </w:rPr>
              <w:t>Spider mites [Polystigmata: Tetranychidae]</w:t>
            </w:r>
          </w:p>
        </w:tc>
      </w:tr>
      <w:tr w:rsidR="009D3DC8" w14:paraId="3CD34782" w14:textId="77777777">
        <w:tc>
          <w:tcPr>
            <w:tcW w:w="2386" w:type="dxa"/>
            <w:tcBorders>
              <w:top w:val="single" w:sz="4" w:space="0" w:color="auto"/>
              <w:left w:val="single" w:sz="4" w:space="0" w:color="auto"/>
              <w:bottom w:val="single" w:sz="4" w:space="0" w:color="auto"/>
              <w:right w:val="single" w:sz="4" w:space="0" w:color="auto"/>
            </w:tcBorders>
          </w:tcPr>
          <w:p w14:paraId="0497E162" w14:textId="77777777" w:rsidR="009D3DC8" w:rsidRDefault="009D3DC8">
            <w:pPr>
              <w:pStyle w:val="AQISNum"/>
              <w:numPr>
                <w:ilvl w:val="0"/>
                <w:numId w:val="0"/>
              </w:numPr>
              <w:spacing w:after="60" w:line="0" w:lineRule="atLeast"/>
              <w:rPr>
                <w:rFonts w:ascii="Arial" w:hAnsi="Arial" w:cs="Arial"/>
                <w:i/>
                <w:sz w:val="16"/>
                <w:szCs w:val="16"/>
                <w:lang w:eastAsia="en-AU"/>
              </w:rPr>
            </w:pPr>
            <w:r>
              <w:rPr>
                <w:rFonts w:ascii="Arial" w:hAnsi="Arial" w:cs="Arial"/>
                <w:i/>
                <w:sz w:val="16"/>
                <w:szCs w:val="16"/>
              </w:rPr>
              <w:t>Tetranychus</w:t>
            </w:r>
            <w:r>
              <w:rPr>
                <w:rFonts w:ascii="Arial" w:hAnsi="Arial" w:cs="Arial"/>
                <w:sz w:val="16"/>
                <w:szCs w:val="16"/>
              </w:rPr>
              <w:t xml:space="preserve"> spp. </w:t>
            </w:r>
            <w:r>
              <w:rPr>
                <w:rFonts w:ascii="Arial" w:hAnsi="Arial" w:cs="Arial"/>
                <w:b/>
                <w:sz w:val="16"/>
                <w:szCs w:val="16"/>
                <w:vertAlign w:val="superscript"/>
              </w:rPr>
              <w:t>EP</w:t>
            </w:r>
          </w:p>
        </w:tc>
        <w:tc>
          <w:tcPr>
            <w:tcW w:w="1111" w:type="dxa"/>
            <w:tcBorders>
              <w:left w:val="single" w:sz="4" w:space="0" w:color="auto"/>
            </w:tcBorders>
            <w:shd w:val="clear" w:color="auto" w:fill="FFE6CD"/>
          </w:tcPr>
          <w:p w14:paraId="51AE1968" w14:textId="77777777" w:rsidR="009D3DC8" w:rsidRDefault="009D3DC8">
            <w:pPr>
              <w:pStyle w:val="TableText"/>
              <w:spacing w:before="120"/>
              <w:jc w:val="center"/>
              <w:rPr>
                <w:rFonts w:cs="Arial"/>
                <w:szCs w:val="16"/>
              </w:rPr>
            </w:pPr>
            <w:r>
              <w:rPr>
                <w:rFonts w:cs="Arial"/>
                <w:szCs w:val="16"/>
              </w:rPr>
              <w:t>High</w:t>
            </w:r>
          </w:p>
        </w:tc>
        <w:tc>
          <w:tcPr>
            <w:tcW w:w="1061" w:type="dxa"/>
            <w:shd w:val="clear" w:color="auto" w:fill="FFE6CD"/>
          </w:tcPr>
          <w:p w14:paraId="1F119C73" w14:textId="77777777" w:rsidR="009D3DC8" w:rsidRDefault="009D3DC8">
            <w:pPr>
              <w:pStyle w:val="TableText"/>
              <w:spacing w:before="120"/>
              <w:jc w:val="center"/>
              <w:rPr>
                <w:rFonts w:cs="Arial"/>
                <w:szCs w:val="16"/>
              </w:rPr>
            </w:pPr>
            <w:r>
              <w:rPr>
                <w:rFonts w:cs="Arial"/>
                <w:szCs w:val="16"/>
              </w:rPr>
              <w:t>Moderate</w:t>
            </w:r>
          </w:p>
        </w:tc>
        <w:tc>
          <w:tcPr>
            <w:tcW w:w="980" w:type="dxa"/>
            <w:shd w:val="clear" w:color="auto" w:fill="FFE6CD"/>
          </w:tcPr>
          <w:p w14:paraId="01ABB050" w14:textId="77777777" w:rsidR="009D3DC8" w:rsidRDefault="009D3DC8">
            <w:pPr>
              <w:pStyle w:val="TableText"/>
              <w:spacing w:before="120"/>
              <w:jc w:val="center"/>
              <w:rPr>
                <w:rFonts w:cs="Arial"/>
                <w:szCs w:val="16"/>
              </w:rPr>
            </w:pPr>
            <w:r>
              <w:rPr>
                <w:rFonts w:cs="Arial"/>
                <w:szCs w:val="16"/>
              </w:rPr>
              <w:t>Moderate</w:t>
            </w:r>
          </w:p>
        </w:tc>
        <w:tc>
          <w:tcPr>
            <w:tcW w:w="1451" w:type="dxa"/>
            <w:gridSpan w:val="2"/>
            <w:tcBorders>
              <w:top w:val="single" w:sz="4" w:space="0" w:color="C0C0C0"/>
              <w:bottom w:val="single" w:sz="4" w:space="0" w:color="C0C0C0"/>
            </w:tcBorders>
            <w:shd w:val="clear" w:color="auto" w:fill="FBE9F6"/>
          </w:tcPr>
          <w:p w14:paraId="329799F2" w14:textId="77777777" w:rsidR="009D3DC8" w:rsidRDefault="009D3DC8">
            <w:pPr>
              <w:pStyle w:val="TableText"/>
              <w:spacing w:before="120"/>
              <w:jc w:val="center"/>
              <w:rPr>
                <w:rFonts w:cs="Arial"/>
                <w:szCs w:val="16"/>
              </w:rPr>
            </w:pPr>
            <w:r>
              <w:rPr>
                <w:rFonts w:cs="Arial"/>
                <w:szCs w:val="16"/>
              </w:rPr>
              <w:t>High</w:t>
            </w:r>
          </w:p>
        </w:tc>
        <w:tc>
          <w:tcPr>
            <w:tcW w:w="931" w:type="dxa"/>
            <w:shd w:val="clear" w:color="auto" w:fill="D9F1FF"/>
          </w:tcPr>
          <w:p w14:paraId="7CF9AB2F" w14:textId="77777777" w:rsidR="009D3DC8" w:rsidRDefault="009D3DC8">
            <w:pPr>
              <w:pStyle w:val="TableText"/>
              <w:spacing w:before="120"/>
              <w:jc w:val="center"/>
              <w:rPr>
                <w:rFonts w:cs="Arial"/>
                <w:szCs w:val="16"/>
              </w:rPr>
            </w:pPr>
            <w:r>
              <w:rPr>
                <w:rFonts w:cs="Arial"/>
                <w:szCs w:val="16"/>
              </w:rPr>
              <w:t>Moderate</w:t>
            </w:r>
          </w:p>
        </w:tc>
        <w:tc>
          <w:tcPr>
            <w:tcW w:w="947" w:type="dxa"/>
            <w:shd w:val="clear" w:color="auto" w:fill="E1FFE1"/>
          </w:tcPr>
          <w:p w14:paraId="11292BDA" w14:textId="77777777" w:rsidR="009D3DC8" w:rsidRDefault="009D3DC8">
            <w:pPr>
              <w:pStyle w:val="TableText"/>
              <w:spacing w:before="120"/>
              <w:jc w:val="center"/>
              <w:rPr>
                <w:rFonts w:cs="Arial"/>
                <w:szCs w:val="16"/>
              </w:rPr>
            </w:pPr>
            <w:r>
              <w:rPr>
                <w:rFonts w:cs="Arial"/>
                <w:szCs w:val="16"/>
              </w:rPr>
              <w:t>Low</w:t>
            </w:r>
          </w:p>
        </w:tc>
        <w:tc>
          <w:tcPr>
            <w:tcW w:w="704" w:type="dxa"/>
            <w:shd w:val="clear" w:color="auto" w:fill="FFFFC1"/>
          </w:tcPr>
          <w:p w14:paraId="738414BF" w14:textId="77777777" w:rsidR="009D3DC8" w:rsidRDefault="009D3DC8">
            <w:pPr>
              <w:pStyle w:val="TableText"/>
              <w:spacing w:before="120"/>
              <w:jc w:val="center"/>
              <w:rPr>
                <w:rFonts w:cs="Arial"/>
                <w:szCs w:val="16"/>
              </w:rPr>
            </w:pPr>
            <w:r>
              <w:rPr>
                <w:rFonts w:cs="Arial"/>
                <w:szCs w:val="16"/>
              </w:rPr>
              <w:t>E</w:t>
            </w:r>
          </w:p>
        </w:tc>
        <w:tc>
          <w:tcPr>
            <w:tcW w:w="539" w:type="dxa"/>
            <w:shd w:val="clear" w:color="auto" w:fill="FFFFC1"/>
          </w:tcPr>
          <w:p w14:paraId="2D1CD953" w14:textId="77777777" w:rsidR="009D3DC8" w:rsidRDefault="009D3DC8">
            <w:pPr>
              <w:pStyle w:val="TableText"/>
              <w:spacing w:before="120"/>
              <w:jc w:val="center"/>
              <w:rPr>
                <w:rFonts w:cs="Arial"/>
                <w:szCs w:val="16"/>
              </w:rPr>
            </w:pPr>
            <w:r>
              <w:rPr>
                <w:rFonts w:cs="Arial"/>
                <w:szCs w:val="16"/>
              </w:rPr>
              <w:t>B</w:t>
            </w:r>
          </w:p>
        </w:tc>
        <w:tc>
          <w:tcPr>
            <w:tcW w:w="539" w:type="dxa"/>
            <w:shd w:val="clear" w:color="auto" w:fill="FFFFC1"/>
          </w:tcPr>
          <w:p w14:paraId="46CA1B65" w14:textId="77777777" w:rsidR="009D3DC8" w:rsidRDefault="009D3DC8">
            <w:pPr>
              <w:pStyle w:val="TableText"/>
              <w:spacing w:before="120"/>
              <w:jc w:val="center"/>
              <w:rPr>
                <w:rFonts w:cs="Arial"/>
                <w:szCs w:val="16"/>
              </w:rPr>
            </w:pPr>
            <w:r>
              <w:rPr>
                <w:rFonts w:cs="Arial"/>
                <w:szCs w:val="16"/>
              </w:rPr>
              <w:t>D</w:t>
            </w:r>
          </w:p>
        </w:tc>
        <w:tc>
          <w:tcPr>
            <w:tcW w:w="541" w:type="dxa"/>
            <w:gridSpan w:val="3"/>
            <w:shd w:val="clear" w:color="auto" w:fill="FFFFC1"/>
          </w:tcPr>
          <w:p w14:paraId="5289CE27" w14:textId="77777777" w:rsidR="009D3DC8" w:rsidRDefault="009D3DC8">
            <w:pPr>
              <w:pStyle w:val="TableText"/>
              <w:spacing w:before="120"/>
              <w:jc w:val="center"/>
              <w:rPr>
                <w:rFonts w:cs="Arial"/>
                <w:szCs w:val="16"/>
              </w:rPr>
            </w:pPr>
            <w:r>
              <w:rPr>
                <w:rFonts w:cs="Arial"/>
                <w:szCs w:val="16"/>
              </w:rPr>
              <w:t>C</w:t>
            </w:r>
          </w:p>
        </w:tc>
        <w:tc>
          <w:tcPr>
            <w:tcW w:w="539" w:type="dxa"/>
            <w:shd w:val="clear" w:color="auto" w:fill="FFFFC1"/>
          </w:tcPr>
          <w:p w14:paraId="0BB68D8E" w14:textId="77777777" w:rsidR="009D3DC8" w:rsidRDefault="009D3DC8">
            <w:pPr>
              <w:pStyle w:val="TableText"/>
              <w:spacing w:before="120"/>
              <w:jc w:val="center"/>
              <w:rPr>
                <w:rFonts w:cs="Arial"/>
                <w:szCs w:val="16"/>
              </w:rPr>
            </w:pPr>
            <w:r>
              <w:rPr>
                <w:rFonts w:cs="Arial"/>
                <w:szCs w:val="16"/>
              </w:rPr>
              <w:t>D</w:t>
            </w:r>
          </w:p>
        </w:tc>
        <w:tc>
          <w:tcPr>
            <w:tcW w:w="671" w:type="dxa"/>
            <w:shd w:val="clear" w:color="auto" w:fill="FFFFC1"/>
          </w:tcPr>
          <w:p w14:paraId="75613CD3" w14:textId="77777777" w:rsidR="009D3DC8" w:rsidRDefault="009D3DC8">
            <w:pPr>
              <w:pStyle w:val="TableText"/>
              <w:spacing w:before="120"/>
              <w:jc w:val="center"/>
              <w:rPr>
                <w:rFonts w:cs="Arial"/>
                <w:szCs w:val="16"/>
              </w:rPr>
            </w:pPr>
            <w:r>
              <w:rPr>
                <w:rFonts w:cs="Arial"/>
                <w:szCs w:val="16"/>
              </w:rPr>
              <w:t>B</w:t>
            </w:r>
          </w:p>
        </w:tc>
        <w:tc>
          <w:tcPr>
            <w:tcW w:w="1031" w:type="dxa"/>
            <w:tcBorders>
              <w:right w:val="single" w:sz="4" w:space="0" w:color="auto"/>
            </w:tcBorders>
            <w:shd w:val="clear" w:color="auto" w:fill="FFFFC1"/>
          </w:tcPr>
          <w:p w14:paraId="2E676C5B" w14:textId="77777777" w:rsidR="009D3DC8" w:rsidRDefault="009D3DC8">
            <w:pPr>
              <w:pStyle w:val="TableText"/>
              <w:spacing w:before="120"/>
              <w:jc w:val="center"/>
              <w:rPr>
                <w:rFonts w:cs="Arial"/>
                <w:szCs w:val="16"/>
              </w:rPr>
            </w:pPr>
            <w:r>
              <w:rPr>
                <w:rFonts w:cs="Arial"/>
                <w:szCs w:val="16"/>
              </w:rPr>
              <w:t>Moderate</w:t>
            </w:r>
          </w:p>
        </w:tc>
        <w:tc>
          <w:tcPr>
            <w:tcW w:w="1080" w:type="dxa"/>
            <w:tcBorders>
              <w:top w:val="single" w:sz="4" w:space="0" w:color="auto"/>
              <w:left w:val="single" w:sz="4" w:space="0" w:color="auto"/>
              <w:right w:val="single" w:sz="4" w:space="0" w:color="auto"/>
            </w:tcBorders>
            <w:shd w:val="clear" w:color="auto" w:fill="CCFF66"/>
          </w:tcPr>
          <w:p w14:paraId="50B4A2B8" w14:textId="77777777" w:rsidR="009D3DC8" w:rsidRDefault="009D3DC8">
            <w:pPr>
              <w:pStyle w:val="TableText1"/>
              <w:spacing w:before="120"/>
              <w:jc w:val="center"/>
              <w:rPr>
                <w:rFonts w:ascii="Arial" w:hAnsi="Arial" w:cs="Arial"/>
                <w:b/>
                <w:szCs w:val="16"/>
              </w:rPr>
            </w:pPr>
            <w:r>
              <w:rPr>
                <w:rFonts w:ascii="Arial" w:hAnsi="Arial" w:cs="Arial"/>
                <w:b/>
                <w:szCs w:val="16"/>
              </w:rPr>
              <w:t>Low</w:t>
            </w:r>
          </w:p>
        </w:tc>
      </w:tr>
      <w:tr w:rsidR="009D3DC8" w14:paraId="777DCC12" w14:textId="77777777">
        <w:tc>
          <w:tcPr>
            <w:tcW w:w="14511" w:type="dxa"/>
            <w:gridSpan w:val="18"/>
            <w:tcBorders>
              <w:top w:val="single" w:sz="4" w:space="0" w:color="auto"/>
              <w:left w:val="single" w:sz="4" w:space="0" w:color="auto"/>
              <w:bottom w:val="single" w:sz="4" w:space="0" w:color="auto"/>
              <w:right w:val="single" w:sz="4" w:space="0" w:color="auto"/>
            </w:tcBorders>
            <w:shd w:val="clear" w:color="auto" w:fill="D9D9D9"/>
          </w:tcPr>
          <w:p w14:paraId="106B17D4" w14:textId="77777777" w:rsidR="009D3DC8" w:rsidRDefault="009D3DC8">
            <w:pPr>
              <w:pStyle w:val="TableText1"/>
              <w:spacing w:before="120"/>
              <w:rPr>
                <w:rFonts w:ascii="Arial" w:hAnsi="Arial" w:cs="Arial"/>
                <w:b/>
                <w:szCs w:val="16"/>
              </w:rPr>
            </w:pPr>
            <w:r>
              <w:rPr>
                <w:rFonts w:ascii="Arial" w:hAnsi="Arial" w:cs="Arial"/>
                <w:b/>
                <w:szCs w:val="16"/>
              </w:rPr>
              <w:t>Weevils [Coleoptera: Curculionidae]</w:t>
            </w:r>
          </w:p>
        </w:tc>
      </w:tr>
      <w:tr w:rsidR="009D3DC8" w14:paraId="05324A7D" w14:textId="77777777">
        <w:tc>
          <w:tcPr>
            <w:tcW w:w="2386" w:type="dxa"/>
            <w:tcBorders>
              <w:top w:val="single" w:sz="4" w:space="0" w:color="auto"/>
              <w:left w:val="single" w:sz="4" w:space="0" w:color="auto"/>
              <w:bottom w:val="single" w:sz="4" w:space="0" w:color="auto"/>
              <w:right w:val="single" w:sz="4" w:space="0" w:color="auto"/>
            </w:tcBorders>
          </w:tcPr>
          <w:p w14:paraId="300AC740" w14:textId="77777777" w:rsidR="009D3DC8" w:rsidRDefault="009D3DC8">
            <w:pPr>
              <w:pStyle w:val="AQISNum"/>
              <w:numPr>
                <w:ilvl w:val="0"/>
                <w:numId w:val="0"/>
              </w:numPr>
              <w:spacing w:after="60" w:line="0" w:lineRule="atLeast"/>
              <w:rPr>
                <w:rFonts w:ascii="Arial" w:hAnsi="Arial" w:cs="Arial"/>
                <w:i/>
                <w:sz w:val="16"/>
                <w:szCs w:val="16"/>
                <w:lang w:eastAsia="en-AU"/>
              </w:rPr>
            </w:pPr>
            <w:r>
              <w:rPr>
                <w:rFonts w:ascii="Arial" w:hAnsi="Arial" w:cs="Arial"/>
                <w:i/>
                <w:sz w:val="16"/>
                <w:szCs w:val="16"/>
              </w:rPr>
              <w:t xml:space="preserve">Curculio </w:t>
            </w:r>
            <w:r>
              <w:rPr>
                <w:rFonts w:ascii="Arial" w:hAnsi="Arial" w:cs="Arial"/>
                <w:sz w:val="16"/>
                <w:szCs w:val="16"/>
              </w:rPr>
              <w:t>sp.</w:t>
            </w:r>
          </w:p>
        </w:tc>
        <w:tc>
          <w:tcPr>
            <w:tcW w:w="1111" w:type="dxa"/>
            <w:tcBorders>
              <w:left w:val="single" w:sz="4" w:space="0" w:color="auto"/>
              <w:bottom w:val="single" w:sz="4" w:space="0" w:color="auto"/>
            </w:tcBorders>
            <w:shd w:val="clear" w:color="auto" w:fill="FFE6CD"/>
          </w:tcPr>
          <w:p w14:paraId="288AADB4" w14:textId="77777777" w:rsidR="009D3DC8" w:rsidRDefault="009D3DC8">
            <w:pPr>
              <w:pStyle w:val="TableText"/>
              <w:spacing w:before="120"/>
              <w:jc w:val="center"/>
              <w:rPr>
                <w:rFonts w:cs="Arial"/>
                <w:szCs w:val="16"/>
              </w:rPr>
            </w:pPr>
            <w:r>
              <w:rPr>
                <w:rFonts w:cs="Arial"/>
                <w:szCs w:val="16"/>
              </w:rPr>
              <w:t>High</w:t>
            </w:r>
          </w:p>
        </w:tc>
        <w:tc>
          <w:tcPr>
            <w:tcW w:w="1061" w:type="dxa"/>
            <w:tcBorders>
              <w:bottom w:val="single" w:sz="4" w:space="0" w:color="auto"/>
            </w:tcBorders>
            <w:shd w:val="clear" w:color="auto" w:fill="FFE6CD"/>
          </w:tcPr>
          <w:p w14:paraId="6B36A8DB" w14:textId="77777777" w:rsidR="009D3DC8" w:rsidRDefault="009D3DC8">
            <w:pPr>
              <w:pStyle w:val="TableText"/>
              <w:spacing w:before="120"/>
              <w:jc w:val="center"/>
              <w:rPr>
                <w:rFonts w:cs="Arial"/>
                <w:szCs w:val="16"/>
              </w:rPr>
            </w:pPr>
            <w:r>
              <w:rPr>
                <w:rFonts w:cs="Arial"/>
                <w:szCs w:val="16"/>
              </w:rPr>
              <w:t>Low</w:t>
            </w:r>
          </w:p>
        </w:tc>
        <w:tc>
          <w:tcPr>
            <w:tcW w:w="980" w:type="dxa"/>
            <w:tcBorders>
              <w:bottom w:val="single" w:sz="4" w:space="0" w:color="auto"/>
            </w:tcBorders>
            <w:shd w:val="clear" w:color="auto" w:fill="FFE6CD"/>
          </w:tcPr>
          <w:p w14:paraId="2AF8CAED" w14:textId="77777777" w:rsidR="009D3DC8" w:rsidRDefault="009D3DC8">
            <w:pPr>
              <w:pStyle w:val="TableText"/>
              <w:spacing w:before="120"/>
              <w:jc w:val="center"/>
              <w:rPr>
                <w:rFonts w:cs="Arial"/>
                <w:szCs w:val="16"/>
              </w:rPr>
            </w:pPr>
            <w:r>
              <w:rPr>
                <w:rFonts w:cs="Arial"/>
                <w:szCs w:val="16"/>
              </w:rPr>
              <w:t>Low</w:t>
            </w:r>
          </w:p>
        </w:tc>
        <w:tc>
          <w:tcPr>
            <w:tcW w:w="1451" w:type="dxa"/>
            <w:gridSpan w:val="2"/>
            <w:tcBorders>
              <w:top w:val="single" w:sz="4" w:space="0" w:color="C0C0C0"/>
              <w:bottom w:val="single" w:sz="4" w:space="0" w:color="auto"/>
            </w:tcBorders>
            <w:shd w:val="clear" w:color="auto" w:fill="FBE9F6"/>
          </w:tcPr>
          <w:p w14:paraId="258DB932" w14:textId="77777777" w:rsidR="009D3DC8" w:rsidRDefault="009D3DC8">
            <w:pPr>
              <w:pStyle w:val="TableText"/>
              <w:spacing w:before="120"/>
              <w:jc w:val="center"/>
              <w:rPr>
                <w:rFonts w:cs="Arial"/>
                <w:szCs w:val="16"/>
              </w:rPr>
            </w:pPr>
            <w:r>
              <w:rPr>
                <w:rFonts w:cs="Arial"/>
                <w:szCs w:val="16"/>
              </w:rPr>
              <w:t>Low</w:t>
            </w:r>
          </w:p>
        </w:tc>
        <w:tc>
          <w:tcPr>
            <w:tcW w:w="931" w:type="dxa"/>
            <w:tcBorders>
              <w:bottom w:val="single" w:sz="4" w:space="0" w:color="auto"/>
            </w:tcBorders>
            <w:shd w:val="clear" w:color="auto" w:fill="D9F1FF"/>
          </w:tcPr>
          <w:p w14:paraId="49067780" w14:textId="77777777" w:rsidR="009D3DC8" w:rsidRDefault="009D3DC8">
            <w:pPr>
              <w:pStyle w:val="TableText"/>
              <w:spacing w:before="120"/>
              <w:jc w:val="center"/>
              <w:rPr>
                <w:rFonts w:cs="Arial"/>
                <w:szCs w:val="16"/>
              </w:rPr>
            </w:pPr>
            <w:r>
              <w:rPr>
                <w:rFonts w:cs="Arial"/>
                <w:szCs w:val="16"/>
              </w:rPr>
              <w:t>Moderate</w:t>
            </w:r>
          </w:p>
        </w:tc>
        <w:tc>
          <w:tcPr>
            <w:tcW w:w="947" w:type="dxa"/>
            <w:tcBorders>
              <w:bottom w:val="single" w:sz="4" w:space="0" w:color="auto"/>
            </w:tcBorders>
            <w:shd w:val="clear" w:color="auto" w:fill="E1FFE1"/>
          </w:tcPr>
          <w:p w14:paraId="18233628" w14:textId="77777777" w:rsidR="009D3DC8" w:rsidRDefault="009D3DC8">
            <w:pPr>
              <w:pStyle w:val="TableText"/>
              <w:spacing w:before="120"/>
              <w:jc w:val="center"/>
              <w:rPr>
                <w:rFonts w:cs="Arial"/>
                <w:szCs w:val="16"/>
              </w:rPr>
            </w:pPr>
            <w:r>
              <w:rPr>
                <w:rFonts w:cs="Arial"/>
                <w:szCs w:val="16"/>
              </w:rPr>
              <w:t>Very low</w:t>
            </w:r>
          </w:p>
        </w:tc>
        <w:tc>
          <w:tcPr>
            <w:tcW w:w="704" w:type="dxa"/>
            <w:tcBorders>
              <w:bottom w:val="single" w:sz="4" w:space="0" w:color="auto"/>
            </w:tcBorders>
            <w:shd w:val="clear" w:color="auto" w:fill="FFFFC1"/>
          </w:tcPr>
          <w:p w14:paraId="19E1490B" w14:textId="77777777" w:rsidR="009D3DC8" w:rsidRDefault="009D3DC8">
            <w:pPr>
              <w:pStyle w:val="TableText"/>
              <w:spacing w:before="120"/>
              <w:jc w:val="center"/>
              <w:rPr>
                <w:rFonts w:cs="Arial"/>
                <w:szCs w:val="16"/>
              </w:rPr>
            </w:pPr>
            <w:r>
              <w:rPr>
                <w:rFonts w:cs="Arial"/>
                <w:szCs w:val="16"/>
              </w:rPr>
              <w:t>D</w:t>
            </w:r>
          </w:p>
        </w:tc>
        <w:tc>
          <w:tcPr>
            <w:tcW w:w="539" w:type="dxa"/>
            <w:tcBorders>
              <w:bottom w:val="single" w:sz="4" w:space="0" w:color="auto"/>
            </w:tcBorders>
            <w:shd w:val="clear" w:color="auto" w:fill="FFFFC1"/>
          </w:tcPr>
          <w:p w14:paraId="72BBDA6C" w14:textId="77777777" w:rsidR="009D3DC8" w:rsidRDefault="009D3DC8">
            <w:pPr>
              <w:pStyle w:val="TableText"/>
              <w:spacing w:before="120"/>
              <w:jc w:val="center"/>
              <w:rPr>
                <w:rFonts w:cs="Arial"/>
                <w:szCs w:val="16"/>
              </w:rPr>
            </w:pPr>
            <w:r>
              <w:rPr>
                <w:rFonts w:cs="Arial"/>
                <w:szCs w:val="16"/>
              </w:rPr>
              <w:t>B</w:t>
            </w:r>
          </w:p>
        </w:tc>
        <w:tc>
          <w:tcPr>
            <w:tcW w:w="539" w:type="dxa"/>
            <w:tcBorders>
              <w:bottom w:val="single" w:sz="4" w:space="0" w:color="auto"/>
            </w:tcBorders>
            <w:shd w:val="clear" w:color="auto" w:fill="FFFFC1"/>
          </w:tcPr>
          <w:p w14:paraId="2BB7609D" w14:textId="77777777" w:rsidR="009D3DC8" w:rsidRDefault="009D3DC8">
            <w:pPr>
              <w:pStyle w:val="TableText"/>
              <w:spacing w:before="120"/>
              <w:jc w:val="center"/>
              <w:rPr>
                <w:rFonts w:cs="Arial"/>
                <w:szCs w:val="16"/>
              </w:rPr>
            </w:pPr>
            <w:r>
              <w:rPr>
                <w:rFonts w:cs="Arial"/>
                <w:szCs w:val="16"/>
              </w:rPr>
              <w:t>D</w:t>
            </w:r>
          </w:p>
        </w:tc>
        <w:tc>
          <w:tcPr>
            <w:tcW w:w="541" w:type="dxa"/>
            <w:gridSpan w:val="3"/>
            <w:tcBorders>
              <w:bottom w:val="single" w:sz="4" w:space="0" w:color="auto"/>
            </w:tcBorders>
            <w:shd w:val="clear" w:color="auto" w:fill="FFFFC1"/>
          </w:tcPr>
          <w:p w14:paraId="350238C8" w14:textId="77777777" w:rsidR="009D3DC8" w:rsidRDefault="009D3DC8">
            <w:pPr>
              <w:pStyle w:val="TableText"/>
              <w:spacing w:before="120"/>
              <w:jc w:val="center"/>
              <w:rPr>
                <w:rFonts w:cs="Arial"/>
                <w:szCs w:val="16"/>
              </w:rPr>
            </w:pPr>
            <w:r>
              <w:rPr>
                <w:rFonts w:cs="Arial"/>
                <w:szCs w:val="16"/>
              </w:rPr>
              <w:t>D</w:t>
            </w:r>
          </w:p>
        </w:tc>
        <w:tc>
          <w:tcPr>
            <w:tcW w:w="539" w:type="dxa"/>
            <w:tcBorders>
              <w:bottom w:val="single" w:sz="4" w:space="0" w:color="auto"/>
            </w:tcBorders>
            <w:shd w:val="clear" w:color="auto" w:fill="FFFFC1"/>
          </w:tcPr>
          <w:p w14:paraId="31493104" w14:textId="77777777" w:rsidR="009D3DC8" w:rsidRDefault="009D3DC8">
            <w:pPr>
              <w:pStyle w:val="TableText"/>
              <w:spacing w:before="120"/>
              <w:jc w:val="center"/>
              <w:rPr>
                <w:rFonts w:cs="Arial"/>
                <w:szCs w:val="16"/>
              </w:rPr>
            </w:pPr>
            <w:r>
              <w:rPr>
                <w:rFonts w:cs="Arial"/>
                <w:szCs w:val="16"/>
              </w:rPr>
              <w:t>D</w:t>
            </w:r>
          </w:p>
        </w:tc>
        <w:tc>
          <w:tcPr>
            <w:tcW w:w="671" w:type="dxa"/>
            <w:tcBorders>
              <w:bottom w:val="single" w:sz="4" w:space="0" w:color="auto"/>
            </w:tcBorders>
            <w:shd w:val="clear" w:color="auto" w:fill="FFFFC1"/>
          </w:tcPr>
          <w:p w14:paraId="5FEA308E" w14:textId="77777777" w:rsidR="009D3DC8" w:rsidRDefault="009D3DC8">
            <w:pPr>
              <w:pStyle w:val="TableText"/>
              <w:spacing w:before="120"/>
              <w:jc w:val="center"/>
              <w:rPr>
                <w:rFonts w:cs="Arial"/>
                <w:szCs w:val="16"/>
              </w:rPr>
            </w:pPr>
            <w:r>
              <w:rPr>
                <w:rFonts w:cs="Arial"/>
                <w:szCs w:val="16"/>
              </w:rPr>
              <w:t>B</w:t>
            </w:r>
          </w:p>
        </w:tc>
        <w:tc>
          <w:tcPr>
            <w:tcW w:w="1031" w:type="dxa"/>
            <w:tcBorders>
              <w:bottom w:val="single" w:sz="4" w:space="0" w:color="auto"/>
              <w:right w:val="single" w:sz="4" w:space="0" w:color="auto"/>
            </w:tcBorders>
            <w:shd w:val="clear" w:color="auto" w:fill="FFFFC1"/>
          </w:tcPr>
          <w:p w14:paraId="3655AA14" w14:textId="77777777" w:rsidR="009D3DC8" w:rsidRDefault="009D3DC8">
            <w:pPr>
              <w:pStyle w:val="TableText"/>
              <w:spacing w:before="120"/>
              <w:jc w:val="center"/>
              <w:rPr>
                <w:rFonts w:cs="Arial"/>
                <w:szCs w:val="16"/>
              </w:rPr>
            </w:pPr>
            <w:r>
              <w:rPr>
                <w:rFonts w:cs="Arial"/>
                <w:szCs w:val="16"/>
              </w:rPr>
              <w:t>Low</w:t>
            </w:r>
          </w:p>
        </w:tc>
        <w:tc>
          <w:tcPr>
            <w:tcW w:w="1080" w:type="dxa"/>
            <w:tcBorders>
              <w:top w:val="single" w:sz="4" w:space="0" w:color="auto"/>
              <w:left w:val="single" w:sz="4" w:space="0" w:color="auto"/>
              <w:bottom w:val="single" w:sz="4" w:space="0" w:color="auto"/>
              <w:right w:val="single" w:sz="4" w:space="0" w:color="auto"/>
            </w:tcBorders>
            <w:shd w:val="clear" w:color="auto" w:fill="CCFF66"/>
          </w:tcPr>
          <w:p w14:paraId="0F6A89B9" w14:textId="77777777" w:rsidR="009D3DC8" w:rsidRDefault="009D3DC8">
            <w:pPr>
              <w:pStyle w:val="TableText1"/>
              <w:spacing w:before="120"/>
              <w:jc w:val="center"/>
              <w:rPr>
                <w:rFonts w:ascii="Arial" w:hAnsi="Arial" w:cs="Arial"/>
                <w:b/>
                <w:szCs w:val="16"/>
              </w:rPr>
            </w:pPr>
            <w:r>
              <w:rPr>
                <w:rFonts w:ascii="Arial" w:hAnsi="Arial" w:cs="Arial"/>
                <w:b/>
                <w:szCs w:val="16"/>
              </w:rPr>
              <w:t>Negligible</w:t>
            </w:r>
          </w:p>
        </w:tc>
      </w:tr>
      <w:tr w:rsidR="009D3DC8" w14:paraId="0A87AC17" w14:textId="77777777">
        <w:tc>
          <w:tcPr>
            <w:tcW w:w="14511" w:type="dxa"/>
            <w:gridSpan w:val="18"/>
            <w:tcBorders>
              <w:top w:val="single" w:sz="4" w:space="0" w:color="auto"/>
              <w:left w:val="single" w:sz="4" w:space="0" w:color="auto"/>
              <w:bottom w:val="single" w:sz="4" w:space="0" w:color="auto"/>
              <w:right w:val="single" w:sz="4" w:space="0" w:color="auto"/>
            </w:tcBorders>
            <w:shd w:val="clear" w:color="auto" w:fill="D9D9D9"/>
          </w:tcPr>
          <w:p w14:paraId="75604D70" w14:textId="77777777" w:rsidR="009D3DC8" w:rsidRDefault="009D3DC8">
            <w:pPr>
              <w:pStyle w:val="TableText1"/>
              <w:spacing w:before="120"/>
              <w:rPr>
                <w:rFonts w:ascii="Arial" w:hAnsi="Arial" w:cs="Arial"/>
                <w:b/>
                <w:szCs w:val="16"/>
              </w:rPr>
            </w:pPr>
            <w:r>
              <w:rPr>
                <w:rFonts w:ascii="Arial" w:hAnsi="Arial" w:cs="Arial"/>
                <w:b/>
                <w:szCs w:val="16"/>
              </w:rPr>
              <w:t>Fruit flies [Diptera: Tephritidae]</w:t>
            </w:r>
          </w:p>
        </w:tc>
      </w:tr>
      <w:tr w:rsidR="009D3DC8" w14:paraId="4A06FF83" w14:textId="77777777">
        <w:tc>
          <w:tcPr>
            <w:tcW w:w="2386" w:type="dxa"/>
            <w:tcBorders>
              <w:top w:val="single" w:sz="4" w:space="0" w:color="auto"/>
              <w:left w:val="single" w:sz="4" w:space="0" w:color="auto"/>
              <w:bottom w:val="single" w:sz="4" w:space="0" w:color="auto"/>
              <w:right w:val="single" w:sz="4" w:space="0" w:color="auto"/>
            </w:tcBorders>
          </w:tcPr>
          <w:p w14:paraId="11E19F23" w14:textId="77777777" w:rsidR="009D3DC8" w:rsidRDefault="009D3DC8">
            <w:pPr>
              <w:pStyle w:val="AQISNum"/>
              <w:numPr>
                <w:ilvl w:val="0"/>
                <w:numId w:val="0"/>
              </w:numPr>
              <w:spacing w:after="60" w:line="0" w:lineRule="atLeast"/>
              <w:rPr>
                <w:rFonts w:ascii="Arial" w:hAnsi="Arial" w:cs="Arial"/>
                <w:sz w:val="16"/>
                <w:szCs w:val="16"/>
                <w:lang w:eastAsia="en-AU"/>
              </w:rPr>
            </w:pPr>
            <w:r>
              <w:rPr>
                <w:rFonts w:ascii="Arial" w:hAnsi="Arial" w:cs="Arial"/>
                <w:i/>
                <w:sz w:val="16"/>
                <w:szCs w:val="16"/>
                <w:lang w:eastAsia="en-AU"/>
              </w:rPr>
              <w:t xml:space="preserve">Bactrocera carambolae </w:t>
            </w:r>
            <w:r>
              <w:rPr>
                <w:rFonts w:ascii="Arial" w:hAnsi="Arial" w:cs="Arial"/>
                <w:b/>
                <w:sz w:val="16"/>
                <w:szCs w:val="16"/>
                <w:vertAlign w:val="superscript"/>
              </w:rPr>
              <w:t>EP</w:t>
            </w:r>
          </w:p>
        </w:tc>
        <w:tc>
          <w:tcPr>
            <w:tcW w:w="1111" w:type="dxa"/>
            <w:vMerge w:val="restart"/>
            <w:tcBorders>
              <w:left w:val="single" w:sz="4" w:space="0" w:color="auto"/>
            </w:tcBorders>
            <w:shd w:val="clear" w:color="auto" w:fill="FFE6CD"/>
          </w:tcPr>
          <w:p w14:paraId="17A2BEB6" w14:textId="77777777" w:rsidR="009D3DC8" w:rsidRDefault="009D3DC8">
            <w:pPr>
              <w:pStyle w:val="TableText"/>
              <w:spacing w:before="120"/>
              <w:jc w:val="center"/>
              <w:rPr>
                <w:rFonts w:cs="Arial"/>
                <w:szCs w:val="16"/>
              </w:rPr>
            </w:pPr>
            <w:r>
              <w:rPr>
                <w:rFonts w:cs="Arial"/>
                <w:szCs w:val="16"/>
              </w:rPr>
              <w:t>Extremely low</w:t>
            </w:r>
          </w:p>
        </w:tc>
        <w:tc>
          <w:tcPr>
            <w:tcW w:w="1061" w:type="dxa"/>
            <w:vMerge w:val="restart"/>
            <w:shd w:val="clear" w:color="auto" w:fill="FFE6CD"/>
          </w:tcPr>
          <w:p w14:paraId="597AFA0C" w14:textId="77777777" w:rsidR="009D3DC8" w:rsidRDefault="009D3DC8">
            <w:pPr>
              <w:pStyle w:val="TableText"/>
              <w:spacing w:before="120"/>
              <w:jc w:val="center"/>
              <w:rPr>
                <w:rFonts w:cs="Arial"/>
                <w:szCs w:val="16"/>
              </w:rPr>
            </w:pPr>
            <w:r>
              <w:rPr>
                <w:rFonts w:cs="Arial"/>
                <w:szCs w:val="16"/>
              </w:rPr>
              <w:t>High</w:t>
            </w:r>
          </w:p>
        </w:tc>
        <w:tc>
          <w:tcPr>
            <w:tcW w:w="980" w:type="dxa"/>
            <w:vMerge w:val="restart"/>
            <w:shd w:val="clear" w:color="auto" w:fill="FFE6CD"/>
          </w:tcPr>
          <w:p w14:paraId="5DD78576" w14:textId="77777777" w:rsidR="009D3DC8" w:rsidRDefault="009D3DC8">
            <w:pPr>
              <w:pStyle w:val="TableText"/>
              <w:spacing w:before="120"/>
              <w:jc w:val="center"/>
              <w:rPr>
                <w:rFonts w:cs="Arial"/>
                <w:szCs w:val="16"/>
              </w:rPr>
            </w:pPr>
            <w:r>
              <w:rPr>
                <w:rFonts w:cs="Arial"/>
                <w:szCs w:val="16"/>
              </w:rPr>
              <w:t>Extremely low</w:t>
            </w:r>
          </w:p>
        </w:tc>
        <w:tc>
          <w:tcPr>
            <w:tcW w:w="1451" w:type="dxa"/>
            <w:gridSpan w:val="2"/>
            <w:vMerge w:val="restart"/>
            <w:tcBorders>
              <w:top w:val="single" w:sz="4" w:space="0" w:color="C0C0C0"/>
            </w:tcBorders>
            <w:shd w:val="clear" w:color="auto" w:fill="FBE9F6"/>
          </w:tcPr>
          <w:p w14:paraId="3027D74F" w14:textId="77777777" w:rsidR="009D3DC8" w:rsidRDefault="009D3DC8">
            <w:pPr>
              <w:pStyle w:val="TableText"/>
              <w:spacing w:before="120"/>
              <w:jc w:val="center"/>
              <w:rPr>
                <w:rFonts w:cs="Arial"/>
                <w:szCs w:val="16"/>
              </w:rPr>
            </w:pPr>
            <w:r>
              <w:rPr>
                <w:rFonts w:cs="Arial"/>
                <w:szCs w:val="16"/>
              </w:rPr>
              <w:t>High</w:t>
            </w:r>
          </w:p>
        </w:tc>
        <w:tc>
          <w:tcPr>
            <w:tcW w:w="931" w:type="dxa"/>
            <w:vMerge w:val="restart"/>
            <w:shd w:val="clear" w:color="auto" w:fill="D9F1FF"/>
          </w:tcPr>
          <w:p w14:paraId="037BCA91" w14:textId="77777777" w:rsidR="009D3DC8" w:rsidRDefault="009D3DC8">
            <w:pPr>
              <w:pStyle w:val="TableText"/>
              <w:spacing w:before="120"/>
              <w:jc w:val="center"/>
              <w:rPr>
                <w:rFonts w:cs="Arial"/>
                <w:szCs w:val="16"/>
              </w:rPr>
            </w:pPr>
            <w:r>
              <w:rPr>
                <w:rFonts w:cs="Arial"/>
                <w:szCs w:val="16"/>
              </w:rPr>
              <w:t>High</w:t>
            </w:r>
          </w:p>
        </w:tc>
        <w:tc>
          <w:tcPr>
            <w:tcW w:w="947" w:type="dxa"/>
            <w:vMerge w:val="restart"/>
            <w:shd w:val="clear" w:color="auto" w:fill="E1FFE1"/>
          </w:tcPr>
          <w:p w14:paraId="3F16E07C" w14:textId="77777777" w:rsidR="009D3DC8" w:rsidRDefault="009D3DC8">
            <w:pPr>
              <w:pStyle w:val="TableText"/>
              <w:spacing w:before="120"/>
              <w:jc w:val="center"/>
              <w:rPr>
                <w:rFonts w:cs="Arial"/>
                <w:szCs w:val="16"/>
              </w:rPr>
            </w:pPr>
            <w:r>
              <w:rPr>
                <w:rFonts w:cs="Arial"/>
                <w:szCs w:val="16"/>
              </w:rPr>
              <w:t>Extremely low</w:t>
            </w:r>
          </w:p>
        </w:tc>
        <w:tc>
          <w:tcPr>
            <w:tcW w:w="704" w:type="dxa"/>
            <w:vMerge w:val="restart"/>
            <w:shd w:val="clear" w:color="auto" w:fill="FFFFC1"/>
          </w:tcPr>
          <w:p w14:paraId="6BAEDDA5" w14:textId="77777777" w:rsidR="009D3DC8" w:rsidRDefault="009D3DC8">
            <w:pPr>
              <w:pStyle w:val="TableText"/>
              <w:spacing w:before="120"/>
              <w:jc w:val="center"/>
              <w:rPr>
                <w:rFonts w:cs="Arial"/>
                <w:szCs w:val="16"/>
              </w:rPr>
            </w:pPr>
            <w:r>
              <w:rPr>
                <w:rFonts w:cs="Arial"/>
                <w:szCs w:val="16"/>
              </w:rPr>
              <w:t>E</w:t>
            </w:r>
          </w:p>
        </w:tc>
        <w:tc>
          <w:tcPr>
            <w:tcW w:w="539" w:type="dxa"/>
            <w:vMerge w:val="restart"/>
            <w:shd w:val="clear" w:color="auto" w:fill="FFFFC1"/>
          </w:tcPr>
          <w:p w14:paraId="2E79F2A9" w14:textId="77777777" w:rsidR="009D3DC8" w:rsidRDefault="009D3DC8">
            <w:pPr>
              <w:pStyle w:val="TableText"/>
              <w:spacing w:before="120"/>
              <w:jc w:val="center"/>
              <w:rPr>
                <w:rFonts w:cs="Arial"/>
                <w:szCs w:val="16"/>
              </w:rPr>
            </w:pPr>
            <w:r>
              <w:rPr>
                <w:rFonts w:cs="Arial"/>
                <w:szCs w:val="16"/>
              </w:rPr>
              <w:t>C</w:t>
            </w:r>
          </w:p>
        </w:tc>
        <w:tc>
          <w:tcPr>
            <w:tcW w:w="539" w:type="dxa"/>
            <w:vMerge w:val="restart"/>
            <w:shd w:val="clear" w:color="auto" w:fill="FFFFC1"/>
          </w:tcPr>
          <w:p w14:paraId="175F10A5" w14:textId="77777777" w:rsidR="009D3DC8" w:rsidRDefault="009D3DC8">
            <w:pPr>
              <w:pStyle w:val="TableText"/>
              <w:spacing w:before="120"/>
              <w:jc w:val="center"/>
              <w:rPr>
                <w:rFonts w:cs="Arial"/>
                <w:szCs w:val="16"/>
              </w:rPr>
            </w:pPr>
            <w:r>
              <w:rPr>
                <w:rFonts w:cs="Arial"/>
                <w:szCs w:val="16"/>
              </w:rPr>
              <w:t>F</w:t>
            </w:r>
          </w:p>
        </w:tc>
        <w:tc>
          <w:tcPr>
            <w:tcW w:w="541" w:type="dxa"/>
            <w:gridSpan w:val="3"/>
            <w:vMerge w:val="restart"/>
            <w:shd w:val="clear" w:color="auto" w:fill="FFFFC1"/>
          </w:tcPr>
          <w:p w14:paraId="350E35DA" w14:textId="77777777" w:rsidR="009D3DC8" w:rsidRDefault="009D3DC8">
            <w:pPr>
              <w:pStyle w:val="TableText"/>
              <w:spacing w:before="120"/>
              <w:jc w:val="center"/>
              <w:rPr>
                <w:rFonts w:cs="Arial"/>
                <w:szCs w:val="16"/>
              </w:rPr>
            </w:pPr>
            <w:r>
              <w:rPr>
                <w:rFonts w:cs="Arial"/>
                <w:szCs w:val="16"/>
              </w:rPr>
              <w:t>E</w:t>
            </w:r>
          </w:p>
        </w:tc>
        <w:tc>
          <w:tcPr>
            <w:tcW w:w="539" w:type="dxa"/>
            <w:vMerge w:val="restart"/>
            <w:shd w:val="clear" w:color="auto" w:fill="FFFFC1"/>
          </w:tcPr>
          <w:p w14:paraId="7D34B09A" w14:textId="77777777" w:rsidR="009D3DC8" w:rsidRDefault="009D3DC8">
            <w:pPr>
              <w:pStyle w:val="TableText"/>
              <w:spacing w:before="120"/>
              <w:jc w:val="center"/>
              <w:rPr>
                <w:rFonts w:cs="Arial"/>
                <w:szCs w:val="16"/>
              </w:rPr>
            </w:pPr>
            <w:r>
              <w:rPr>
                <w:rFonts w:cs="Arial"/>
                <w:szCs w:val="16"/>
              </w:rPr>
              <w:t>E</w:t>
            </w:r>
          </w:p>
        </w:tc>
        <w:tc>
          <w:tcPr>
            <w:tcW w:w="671" w:type="dxa"/>
            <w:vMerge w:val="restart"/>
            <w:shd w:val="clear" w:color="auto" w:fill="FFFFC1"/>
          </w:tcPr>
          <w:p w14:paraId="6967FDED" w14:textId="77777777" w:rsidR="009D3DC8" w:rsidRDefault="009D3DC8">
            <w:pPr>
              <w:pStyle w:val="TableText"/>
              <w:spacing w:before="120"/>
              <w:jc w:val="center"/>
              <w:rPr>
                <w:rFonts w:cs="Arial"/>
                <w:szCs w:val="16"/>
              </w:rPr>
            </w:pPr>
            <w:r>
              <w:rPr>
                <w:rFonts w:cs="Arial"/>
                <w:szCs w:val="16"/>
              </w:rPr>
              <w:t>D</w:t>
            </w:r>
          </w:p>
        </w:tc>
        <w:tc>
          <w:tcPr>
            <w:tcW w:w="1031" w:type="dxa"/>
            <w:vMerge w:val="restart"/>
            <w:tcBorders>
              <w:right w:val="single" w:sz="4" w:space="0" w:color="auto"/>
            </w:tcBorders>
            <w:shd w:val="clear" w:color="auto" w:fill="FFFFC1"/>
          </w:tcPr>
          <w:p w14:paraId="55856236" w14:textId="77777777" w:rsidR="009D3DC8" w:rsidRDefault="009D3DC8">
            <w:pPr>
              <w:pStyle w:val="TableText"/>
              <w:spacing w:before="120"/>
              <w:jc w:val="center"/>
              <w:rPr>
                <w:rFonts w:cs="Arial"/>
                <w:szCs w:val="16"/>
              </w:rPr>
            </w:pPr>
            <w:r>
              <w:rPr>
                <w:rFonts w:cs="Arial"/>
                <w:szCs w:val="16"/>
              </w:rPr>
              <w:t>High</w:t>
            </w:r>
          </w:p>
        </w:tc>
        <w:tc>
          <w:tcPr>
            <w:tcW w:w="1080" w:type="dxa"/>
            <w:vMerge w:val="restart"/>
            <w:tcBorders>
              <w:top w:val="single" w:sz="4" w:space="0" w:color="auto"/>
              <w:left w:val="single" w:sz="4" w:space="0" w:color="auto"/>
              <w:right w:val="single" w:sz="4" w:space="0" w:color="auto"/>
            </w:tcBorders>
            <w:shd w:val="clear" w:color="auto" w:fill="CCFF66"/>
          </w:tcPr>
          <w:p w14:paraId="791587C8" w14:textId="77777777" w:rsidR="009D3DC8" w:rsidRDefault="009D3DC8">
            <w:pPr>
              <w:pStyle w:val="TableText1"/>
              <w:spacing w:before="120"/>
              <w:jc w:val="center"/>
              <w:rPr>
                <w:rFonts w:ascii="Arial" w:hAnsi="Arial" w:cs="Arial"/>
                <w:b/>
                <w:szCs w:val="16"/>
              </w:rPr>
            </w:pPr>
            <w:r>
              <w:rPr>
                <w:rFonts w:ascii="Arial" w:hAnsi="Arial" w:cs="Arial"/>
                <w:b/>
                <w:szCs w:val="16"/>
              </w:rPr>
              <w:t>Very low</w:t>
            </w:r>
          </w:p>
        </w:tc>
      </w:tr>
      <w:tr w:rsidR="009D3DC8" w14:paraId="041797C6" w14:textId="77777777">
        <w:tc>
          <w:tcPr>
            <w:tcW w:w="2386" w:type="dxa"/>
            <w:tcBorders>
              <w:top w:val="single" w:sz="4" w:space="0" w:color="auto"/>
              <w:left w:val="single" w:sz="4" w:space="0" w:color="auto"/>
              <w:bottom w:val="single" w:sz="4" w:space="0" w:color="auto"/>
              <w:right w:val="single" w:sz="4" w:space="0" w:color="auto"/>
            </w:tcBorders>
          </w:tcPr>
          <w:p w14:paraId="0985282C" w14:textId="77777777" w:rsidR="009D3DC8" w:rsidRDefault="009D3DC8">
            <w:pPr>
              <w:pStyle w:val="TableText"/>
              <w:rPr>
                <w:rFonts w:cs="Arial"/>
                <w:szCs w:val="16"/>
                <w:highlight w:val="yellow"/>
              </w:rPr>
            </w:pPr>
            <w:r>
              <w:rPr>
                <w:rFonts w:cs="Arial"/>
                <w:i/>
                <w:szCs w:val="16"/>
                <w:lang w:eastAsia="en-AU"/>
              </w:rPr>
              <w:t xml:space="preserve">Bactrocera papayae </w:t>
            </w:r>
            <w:r>
              <w:rPr>
                <w:rFonts w:cs="Arial"/>
                <w:b/>
                <w:szCs w:val="16"/>
                <w:vertAlign w:val="superscript"/>
              </w:rPr>
              <w:t>EP</w:t>
            </w:r>
          </w:p>
        </w:tc>
        <w:tc>
          <w:tcPr>
            <w:tcW w:w="1111" w:type="dxa"/>
            <w:vMerge/>
            <w:tcBorders>
              <w:left w:val="single" w:sz="4" w:space="0" w:color="auto"/>
            </w:tcBorders>
            <w:shd w:val="clear" w:color="auto" w:fill="FFE6CD"/>
            <w:vAlign w:val="center"/>
          </w:tcPr>
          <w:p w14:paraId="5462E2D2" w14:textId="77777777" w:rsidR="009D3DC8" w:rsidRDefault="009D3DC8">
            <w:pPr>
              <w:pStyle w:val="TableText"/>
              <w:jc w:val="center"/>
              <w:rPr>
                <w:rFonts w:cs="Arial"/>
                <w:szCs w:val="16"/>
              </w:rPr>
            </w:pPr>
          </w:p>
        </w:tc>
        <w:tc>
          <w:tcPr>
            <w:tcW w:w="1061" w:type="dxa"/>
            <w:vMerge/>
            <w:shd w:val="clear" w:color="auto" w:fill="FFE6CD"/>
            <w:vAlign w:val="center"/>
          </w:tcPr>
          <w:p w14:paraId="70A46D06" w14:textId="77777777" w:rsidR="009D3DC8" w:rsidRDefault="009D3DC8">
            <w:pPr>
              <w:pStyle w:val="TableText"/>
              <w:jc w:val="center"/>
              <w:rPr>
                <w:rFonts w:cs="Arial"/>
                <w:szCs w:val="16"/>
              </w:rPr>
            </w:pPr>
          </w:p>
        </w:tc>
        <w:tc>
          <w:tcPr>
            <w:tcW w:w="980" w:type="dxa"/>
            <w:vMerge/>
            <w:shd w:val="clear" w:color="auto" w:fill="FFE6CD"/>
            <w:vAlign w:val="center"/>
          </w:tcPr>
          <w:p w14:paraId="6EF77E1B" w14:textId="77777777" w:rsidR="009D3DC8" w:rsidRDefault="009D3DC8">
            <w:pPr>
              <w:pStyle w:val="TableText1"/>
              <w:spacing w:before="120"/>
              <w:jc w:val="center"/>
              <w:rPr>
                <w:rFonts w:ascii="Arial" w:hAnsi="Arial" w:cs="Arial"/>
                <w:szCs w:val="16"/>
              </w:rPr>
            </w:pPr>
          </w:p>
        </w:tc>
        <w:tc>
          <w:tcPr>
            <w:tcW w:w="1451" w:type="dxa"/>
            <w:gridSpan w:val="2"/>
            <w:vMerge/>
            <w:tcBorders>
              <w:bottom w:val="single" w:sz="4" w:space="0" w:color="C0C0C0"/>
            </w:tcBorders>
            <w:shd w:val="clear" w:color="auto" w:fill="FBE9F6"/>
            <w:vAlign w:val="center"/>
          </w:tcPr>
          <w:p w14:paraId="27ADC6A0" w14:textId="77777777" w:rsidR="009D3DC8" w:rsidRDefault="009D3DC8">
            <w:pPr>
              <w:pStyle w:val="TableText1"/>
              <w:spacing w:before="120"/>
              <w:jc w:val="center"/>
              <w:rPr>
                <w:rFonts w:ascii="Arial" w:hAnsi="Arial" w:cs="Arial"/>
                <w:szCs w:val="16"/>
              </w:rPr>
            </w:pPr>
          </w:p>
        </w:tc>
        <w:tc>
          <w:tcPr>
            <w:tcW w:w="931" w:type="dxa"/>
            <w:vMerge/>
            <w:shd w:val="clear" w:color="auto" w:fill="D9F1FF"/>
            <w:vAlign w:val="center"/>
          </w:tcPr>
          <w:p w14:paraId="50A9A27E" w14:textId="77777777" w:rsidR="009D3DC8" w:rsidRDefault="009D3DC8">
            <w:pPr>
              <w:pStyle w:val="TableText1"/>
              <w:spacing w:before="120"/>
              <w:jc w:val="center"/>
              <w:rPr>
                <w:rFonts w:ascii="Arial" w:hAnsi="Arial" w:cs="Arial"/>
                <w:szCs w:val="16"/>
              </w:rPr>
            </w:pPr>
          </w:p>
        </w:tc>
        <w:tc>
          <w:tcPr>
            <w:tcW w:w="947" w:type="dxa"/>
            <w:vMerge/>
            <w:shd w:val="clear" w:color="auto" w:fill="E1FFE1"/>
            <w:vAlign w:val="center"/>
          </w:tcPr>
          <w:p w14:paraId="16CBA8B9" w14:textId="77777777" w:rsidR="009D3DC8" w:rsidRDefault="009D3DC8">
            <w:pPr>
              <w:pStyle w:val="TableText1"/>
              <w:spacing w:before="120"/>
              <w:jc w:val="center"/>
              <w:rPr>
                <w:rFonts w:ascii="Arial" w:hAnsi="Arial" w:cs="Arial"/>
                <w:szCs w:val="16"/>
              </w:rPr>
            </w:pPr>
          </w:p>
        </w:tc>
        <w:tc>
          <w:tcPr>
            <w:tcW w:w="704" w:type="dxa"/>
            <w:vMerge/>
            <w:shd w:val="clear" w:color="auto" w:fill="FFFFC1"/>
            <w:vAlign w:val="center"/>
          </w:tcPr>
          <w:p w14:paraId="1E1478BB" w14:textId="77777777" w:rsidR="009D3DC8" w:rsidRDefault="009D3DC8">
            <w:pPr>
              <w:pStyle w:val="TableText1"/>
              <w:spacing w:before="120"/>
              <w:jc w:val="center"/>
              <w:rPr>
                <w:rFonts w:ascii="Arial" w:hAnsi="Arial" w:cs="Arial"/>
                <w:szCs w:val="16"/>
              </w:rPr>
            </w:pPr>
          </w:p>
        </w:tc>
        <w:tc>
          <w:tcPr>
            <w:tcW w:w="539" w:type="dxa"/>
            <w:vMerge/>
            <w:shd w:val="clear" w:color="auto" w:fill="FFFFC1"/>
            <w:vAlign w:val="center"/>
          </w:tcPr>
          <w:p w14:paraId="12686844" w14:textId="77777777" w:rsidR="009D3DC8" w:rsidRDefault="009D3DC8">
            <w:pPr>
              <w:pStyle w:val="TableText1"/>
              <w:spacing w:before="120"/>
              <w:jc w:val="center"/>
              <w:rPr>
                <w:rFonts w:ascii="Arial" w:hAnsi="Arial" w:cs="Arial"/>
                <w:szCs w:val="16"/>
              </w:rPr>
            </w:pPr>
          </w:p>
        </w:tc>
        <w:tc>
          <w:tcPr>
            <w:tcW w:w="539" w:type="dxa"/>
            <w:vMerge/>
            <w:shd w:val="clear" w:color="auto" w:fill="FFFFC1"/>
            <w:vAlign w:val="center"/>
          </w:tcPr>
          <w:p w14:paraId="4A74B35F" w14:textId="77777777" w:rsidR="009D3DC8" w:rsidRDefault="009D3DC8">
            <w:pPr>
              <w:pStyle w:val="TableText1"/>
              <w:spacing w:before="120"/>
              <w:jc w:val="center"/>
              <w:rPr>
                <w:rFonts w:ascii="Arial" w:hAnsi="Arial" w:cs="Arial"/>
                <w:szCs w:val="16"/>
              </w:rPr>
            </w:pPr>
          </w:p>
        </w:tc>
        <w:tc>
          <w:tcPr>
            <w:tcW w:w="541" w:type="dxa"/>
            <w:gridSpan w:val="3"/>
            <w:vMerge/>
            <w:shd w:val="clear" w:color="auto" w:fill="FFFFC1"/>
            <w:vAlign w:val="center"/>
          </w:tcPr>
          <w:p w14:paraId="7A1225F7" w14:textId="77777777" w:rsidR="009D3DC8" w:rsidRDefault="009D3DC8">
            <w:pPr>
              <w:pStyle w:val="TableText1"/>
              <w:spacing w:before="120"/>
              <w:jc w:val="center"/>
              <w:rPr>
                <w:rFonts w:ascii="Arial" w:hAnsi="Arial" w:cs="Arial"/>
                <w:szCs w:val="16"/>
              </w:rPr>
            </w:pPr>
          </w:p>
        </w:tc>
        <w:tc>
          <w:tcPr>
            <w:tcW w:w="539" w:type="dxa"/>
            <w:vMerge/>
            <w:shd w:val="clear" w:color="auto" w:fill="FFFFC1"/>
            <w:vAlign w:val="center"/>
          </w:tcPr>
          <w:p w14:paraId="2547687F" w14:textId="77777777" w:rsidR="009D3DC8" w:rsidRDefault="009D3DC8">
            <w:pPr>
              <w:pStyle w:val="TableText1"/>
              <w:spacing w:before="120"/>
              <w:jc w:val="center"/>
              <w:rPr>
                <w:rFonts w:ascii="Arial" w:hAnsi="Arial" w:cs="Arial"/>
                <w:szCs w:val="16"/>
              </w:rPr>
            </w:pPr>
          </w:p>
        </w:tc>
        <w:tc>
          <w:tcPr>
            <w:tcW w:w="671" w:type="dxa"/>
            <w:vMerge/>
            <w:shd w:val="clear" w:color="auto" w:fill="FFFFC1"/>
            <w:vAlign w:val="center"/>
          </w:tcPr>
          <w:p w14:paraId="3F809C0A"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vAlign w:val="center"/>
          </w:tcPr>
          <w:p w14:paraId="43EF058C"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vAlign w:val="center"/>
          </w:tcPr>
          <w:p w14:paraId="43B4A480" w14:textId="77777777" w:rsidR="009D3DC8" w:rsidRDefault="009D3DC8">
            <w:pPr>
              <w:pStyle w:val="TableText1"/>
              <w:spacing w:before="120"/>
              <w:jc w:val="center"/>
              <w:rPr>
                <w:rFonts w:ascii="Arial" w:hAnsi="Arial" w:cs="Arial"/>
                <w:b/>
                <w:szCs w:val="16"/>
              </w:rPr>
            </w:pPr>
          </w:p>
        </w:tc>
      </w:tr>
      <w:tr w:rsidR="009D3DC8" w14:paraId="0BEC4CDB" w14:textId="77777777">
        <w:tc>
          <w:tcPr>
            <w:tcW w:w="14511" w:type="dxa"/>
            <w:gridSpan w:val="18"/>
            <w:tcBorders>
              <w:top w:val="single" w:sz="4" w:space="0" w:color="auto"/>
              <w:left w:val="single" w:sz="4" w:space="0" w:color="auto"/>
              <w:bottom w:val="single" w:sz="4" w:space="0" w:color="auto"/>
              <w:right w:val="single" w:sz="4" w:space="0" w:color="auto"/>
            </w:tcBorders>
            <w:shd w:val="clear" w:color="auto" w:fill="D9D9D9"/>
          </w:tcPr>
          <w:p w14:paraId="18262F2B" w14:textId="77777777" w:rsidR="009D3DC8" w:rsidRDefault="009D3DC8">
            <w:pPr>
              <w:pStyle w:val="TableText1"/>
              <w:spacing w:before="120"/>
              <w:rPr>
                <w:rFonts w:ascii="Arial" w:hAnsi="Arial" w:cs="Arial"/>
                <w:b/>
                <w:szCs w:val="16"/>
              </w:rPr>
            </w:pPr>
            <w:r>
              <w:rPr>
                <w:rFonts w:ascii="Arial" w:hAnsi="Arial" w:cs="Arial"/>
                <w:b/>
                <w:szCs w:val="16"/>
              </w:rPr>
              <w:t>Soft scale [Hemiptera: Coccidae]</w:t>
            </w:r>
          </w:p>
        </w:tc>
      </w:tr>
      <w:tr w:rsidR="009D3DC8" w14:paraId="221A4697" w14:textId="77777777">
        <w:tc>
          <w:tcPr>
            <w:tcW w:w="2386" w:type="dxa"/>
            <w:tcBorders>
              <w:top w:val="single" w:sz="4" w:space="0" w:color="auto"/>
              <w:left w:val="single" w:sz="4" w:space="0" w:color="auto"/>
              <w:bottom w:val="single" w:sz="4" w:space="0" w:color="auto"/>
              <w:right w:val="single" w:sz="4" w:space="0" w:color="auto"/>
            </w:tcBorders>
          </w:tcPr>
          <w:p w14:paraId="034D24EF" w14:textId="77777777" w:rsidR="009D3DC8" w:rsidRDefault="009D3DC8">
            <w:pPr>
              <w:pStyle w:val="TableText"/>
              <w:rPr>
                <w:rFonts w:cs="Arial"/>
                <w:i/>
                <w:szCs w:val="16"/>
              </w:rPr>
            </w:pPr>
            <w:r>
              <w:rPr>
                <w:rFonts w:cs="Arial"/>
                <w:i/>
                <w:iCs/>
                <w:szCs w:val="16"/>
              </w:rPr>
              <w:t xml:space="preserve">Drepanococcus chiton </w:t>
            </w:r>
            <w:r>
              <w:rPr>
                <w:rFonts w:cs="Arial"/>
                <w:b/>
                <w:iCs/>
                <w:szCs w:val="16"/>
                <w:vertAlign w:val="superscript"/>
              </w:rPr>
              <w:t>EP</w:t>
            </w:r>
          </w:p>
        </w:tc>
        <w:tc>
          <w:tcPr>
            <w:tcW w:w="1111" w:type="dxa"/>
            <w:tcBorders>
              <w:left w:val="single" w:sz="4" w:space="0" w:color="auto"/>
            </w:tcBorders>
            <w:shd w:val="clear" w:color="auto" w:fill="FFE6CD"/>
          </w:tcPr>
          <w:p w14:paraId="418EA137" w14:textId="77777777" w:rsidR="009D3DC8" w:rsidRDefault="009D3DC8">
            <w:pPr>
              <w:pStyle w:val="TableText"/>
              <w:spacing w:before="120"/>
              <w:jc w:val="center"/>
              <w:rPr>
                <w:rFonts w:cs="Arial"/>
                <w:szCs w:val="16"/>
              </w:rPr>
            </w:pPr>
            <w:r>
              <w:rPr>
                <w:rFonts w:cs="Arial"/>
                <w:szCs w:val="16"/>
              </w:rPr>
              <w:t>High</w:t>
            </w:r>
          </w:p>
        </w:tc>
        <w:tc>
          <w:tcPr>
            <w:tcW w:w="1061" w:type="dxa"/>
            <w:shd w:val="clear" w:color="auto" w:fill="FFE6CD"/>
          </w:tcPr>
          <w:p w14:paraId="17CBA443" w14:textId="77777777" w:rsidR="009D3DC8" w:rsidRDefault="009D3DC8">
            <w:pPr>
              <w:pStyle w:val="TableText"/>
              <w:spacing w:before="120"/>
              <w:jc w:val="center"/>
              <w:rPr>
                <w:rFonts w:cs="Arial"/>
                <w:szCs w:val="16"/>
              </w:rPr>
            </w:pPr>
            <w:r>
              <w:rPr>
                <w:rFonts w:cs="Arial"/>
                <w:szCs w:val="16"/>
              </w:rPr>
              <w:t>Low</w:t>
            </w:r>
          </w:p>
        </w:tc>
        <w:tc>
          <w:tcPr>
            <w:tcW w:w="980" w:type="dxa"/>
            <w:shd w:val="clear" w:color="auto" w:fill="FFE6CD"/>
          </w:tcPr>
          <w:p w14:paraId="7A694A52" w14:textId="77777777" w:rsidR="009D3DC8" w:rsidRDefault="009D3DC8">
            <w:pPr>
              <w:pStyle w:val="TableText"/>
              <w:spacing w:before="120"/>
              <w:jc w:val="center"/>
              <w:rPr>
                <w:rFonts w:cs="Arial"/>
                <w:szCs w:val="16"/>
              </w:rPr>
            </w:pPr>
            <w:r>
              <w:rPr>
                <w:rFonts w:cs="Arial"/>
                <w:szCs w:val="16"/>
              </w:rPr>
              <w:t>Low</w:t>
            </w:r>
          </w:p>
        </w:tc>
        <w:tc>
          <w:tcPr>
            <w:tcW w:w="1451" w:type="dxa"/>
            <w:gridSpan w:val="2"/>
            <w:tcBorders>
              <w:top w:val="single" w:sz="4" w:space="0" w:color="C0C0C0"/>
              <w:bottom w:val="single" w:sz="4" w:space="0" w:color="C0C0C0"/>
            </w:tcBorders>
            <w:shd w:val="clear" w:color="auto" w:fill="FBE9F6"/>
          </w:tcPr>
          <w:p w14:paraId="34551D88" w14:textId="77777777" w:rsidR="009D3DC8" w:rsidRDefault="009D3DC8">
            <w:pPr>
              <w:pStyle w:val="TableText"/>
              <w:spacing w:before="120"/>
              <w:jc w:val="center"/>
              <w:rPr>
                <w:rFonts w:cs="Arial"/>
                <w:szCs w:val="16"/>
              </w:rPr>
            </w:pPr>
            <w:r>
              <w:rPr>
                <w:rFonts w:cs="Arial"/>
                <w:szCs w:val="16"/>
              </w:rPr>
              <w:t>High</w:t>
            </w:r>
          </w:p>
        </w:tc>
        <w:tc>
          <w:tcPr>
            <w:tcW w:w="931" w:type="dxa"/>
            <w:shd w:val="clear" w:color="auto" w:fill="D9F1FF"/>
          </w:tcPr>
          <w:p w14:paraId="405ABA0E" w14:textId="77777777" w:rsidR="009D3DC8" w:rsidRDefault="009D3DC8">
            <w:pPr>
              <w:pStyle w:val="TableText"/>
              <w:spacing w:before="120"/>
              <w:jc w:val="center"/>
              <w:rPr>
                <w:rFonts w:cs="Arial"/>
                <w:szCs w:val="16"/>
              </w:rPr>
            </w:pPr>
            <w:r>
              <w:rPr>
                <w:rFonts w:cs="Arial"/>
                <w:szCs w:val="16"/>
              </w:rPr>
              <w:t>High</w:t>
            </w:r>
          </w:p>
        </w:tc>
        <w:tc>
          <w:tcPr>
            <w:tcW w:w="947" w:type="dxa"/>
            <w:shd w:val="clear" w:color="auto" w:fill="E1FFE1"/>
          </w:tcPr>
          <w:p w14:paraId="73A08825" w14:textId="77777777" w:rsidR="009D3DC8" w:rsidRDefault="009D3DC8">
            <w:pPr>
              <w:pStyle w:val="TableText"/>
              <w:spacing w:before="120"/>
              <w:jc w:val="center"/>
              <w:rPr>
                <w:rFonts w:cs="Arial"/>
                <w:szCs w:val="16"/>
              </w:rPr>
            </w:pPr>
            <w:r>
              <w:rPr>
                <w:rFonts w:cs="Arial"/>
                <w:szCs w:val="16"/>
              </w:rPr>
              <w:t>Low</w:t>
            </w:r>
          </w:p>
        </w:tc>
        <w:tc>
          <w:tcPr>
            <w:tcW w:w="704" w:type="dxa"/>
            <w:shd w:val="clear" w:color="auto" w:fill="FFFFC1"/>
          </w:tcPr>
          <w:p w14:paraId="7093E435" w14:textId="77777777" w:rsidR="009D3DC8" w:rsidRDefault="009D3DC8">
            <w:pPr>
              <w:pStyle w:val="TableText"/>
              <w:spacing w:before="120"/>
              <w:jc w:val="center"/>
              <w:rPr>
                <w:rFonts w:cs="Arial"/>
                <w:szCs w:val="16"/>
              </w:rPr>
            </w:pPr>
            <w:r>
              <w:rPr>
                <w:rFonts w:cs="Arial"/>
                <w:szCs w:val="16"/>
              </w:rPr>
              <w:t>D</w:t>
            </w:r>
          </w:p>
        </w:tc>
        <w:tc>
          <w:tcPr>
            <w:tcW w:w="539" w:type="dxa"/>
            <w:shd w:val="clear" w:color="auto" w:fill="FFFFC1"/>
          </w:tcPr>
          <w:p w14:paraId="74A6AD54" w14:textId="77777777" w:rsidR="009D3DC8" w:rsidRDefault="009D3DC8">
            <w:pPr>
              <w:pStyle w:val="TableText"/>
              <w:spacing w:before="120"/>
              <w:jc w:val="center"/>
              <w:rPr>
                <w:rFonts w:cs="Arial"/>
                <w:szCs w:val="16"/>
              </w:rPr>
            </w:pPr>
            <w:r>
              <w:rPr>
                <w:rFonts w:cs="Arial"/>
                <w:szCs w:val="16"/>
              </w:rPr>
              <w:t>B</w:t>
            </w:r>
          </w:p>
        </w:tc>
        <w:tc>
          <w:tcPr>
            <w:tcW w:w="539" w:type="dxa"/>
            <w:shd w:val="clear" w:color="auto" w:fill="FFFFC1"/>
          </w:tcPr>
          <w:p w14:paraId="395454E5" w14:textId="77777777" w:rsidR="009D3DC8" w:rsidRDefault="009D3DC8">
            <w:pPr>
              <w:pStyle w:val="TableText"/>
              <w:spacing w:before="120"/>
              <w:jc w:val="center"/>
              <w:rPr>
                <w:rFonts w:cs="Arial"/>
                <w:szCs w:val="16"/>
              </w:rPr>
            </w:pPr>
            <w:r>
              <w:rPr>
                <w:rFonts w:cs="Arial"/>
                <w:szCs w:val="16"/>
              </w:rPr>
              <w:t>C</w:t>
            </w:r>
          </w:p>
        </w:tc>
        <w:tc>
          <w:tcPr>
            <w:tcW w:w="541" w:type="dxa"/>
            <w:gridSpan w:val="3"/>
            <w:shd w:val="clear" w:color="auto" w:fill="FFFFC1"/>
          </w:tcPr>
          <w:p w14:paraId="7349A5E3" w14:textId="77777777" w:rsidR="009D3DC8" w:rsidRDefault="009D3DC8">
            <w:pPr>
              <w:pStyle w:val="TableText"/>
              <w:spacing w:before="120"/>
              <w:jc w:val="center"/>
              <w:rPr>
                <w:rFonts w:cs="Arial"/>
                <w:szCs w:val="16"/>
              </w:rPr>
            </w:pPr>
            <w:r>
              <w:rPr>
                <w:rFonts w:cs="Arial"/>
                <w:szCs w:val="16"/>
              </w:rPr>
              <w:t>C</w:t>
            </w:r>
          </w:p>
        </w:tc>
        <w:tc>
          <w:tcPr>
            <w:tcW w:w="539" w:type="dxa"/>
            <w:shd w:val="clear" w:color="auto" w:fill="FFFFC1"/>
          </w:tcPr>
          <w:p w14:paraId="6B6DE75B" w14:textId="77777777" w:rsidR="009D3DC8" w:rsidRDefault="009D3DC8">
            <w:pPr>
              <w:pStyle w:val="TableText"/>
              <w:spacing w:before="120"/>
              <w:jc w:val="center"/>
              <w:rPr>
                <w:rFonts w:cs="Arial"/>
                <w:szCs w:val="16"/>
              </w:rPr>
            </w:pPr>
            <w:r>
              <w:rPr>
                <w:rFonts w:cs="Arial"/>
                <w:szCs w:val="16"/>
              </w:rPr>
              <w:t>D</w:t>
            </w:r>
          </w:p>
        </w:tc>
        <w:tc>
          <w:tcPr>
            <w:tcW w:w="671" w:type="dxa"/>
            <w:shd w:val="clear" w:color="auto" w:fill="FFFFC1"/>
          </w:tcPr>
          <w:p w14:paraId="72516B7E" w14:textId="77777777" w:rsidR="009D3DC8" w:rsidRDefault="009D3DC8">
            <w:pPr>
              <w:pStyle w:val="TableText"/>
              <w:spacing w:before="120"/>
              <w:jc w:val="center"/>
              <w:rPr>
                <w:rFonts w:cs="Arial"/>
                <w:szCs w:val="16"/>
              </w:rPr>
            </w:pPr>
            <w:r>
              <w:rPr>
                <w:rFonts w:cs="Arial"/>
                <w:szCs w:val="16"/>
              </w:rPr>
              <w:t>B</w:t>
            </w:r>
          </w:p>
        </w:tc>
        <w:tc>
          <w:tcPr>
            <w:tcW w:w="1031" w:type="dxa"/>
            <w:tcBorders>
              <w:right w:val="single" w:sz="4" w:space="0" w:color="auto"/>
            </w:tcBorders>
            <w:shd w:val="clear" w:color="auto" w:fill="FFFFC1"/>
          </w:tcPr>
          <w:p w14:paraId="3895AE18" w14:textId="77777777" w:rsidR="009D3DC8" w:rsidRDefault="009D3DC8">
            <w:pPr>
              <w:pStyle w:val="TableText"/>
              <w:spacing w:before="120"/>
              <w:jc w:val="center"/>
              <w:rPr>
                <w:rFonts w:cs="Arial"/>
                <w:szCs w:val="16"/>
              </w:rPr>
            </w:pPr>
            <w:r>
              <w:rPr>
                <w:rFonts w:cs="Arial"/>
                <w:szCs w:val="16"/>
              </w:rPr>
              <w:t>Low</w:t>
            </w:r>
          </w:p>
        </w:tc>
        <w:tc>
          <w:tcPr>
            <w:tcW w:w="1080" w:type="dxa"/>
            <w:tcBorders>
              <w:top w:val="single" w:sz="4" w:space="0" w:color="auto"/>
              <w:left w:val="single" w:sz="4" w:space="0" w:color="auto"/>
              <w:right w:val="single" w:sz="4" w:space="0" w:color="auto"/>
            </w:tcBorders>
            <w:shd w:val="clear" w:color="auto" w:fill="CCFF66"/>
          </w:tcPr>
          <w:p w14:paraId="6144A928" w14:textId="77777777" w:rsidR="009D3DC8" w:rsidRDefault="009D3DC8">
            <w:pPr>
              <w:pStyle w:val="TableText1"/>
              <w:spacing w:before="120"/>
              <w:jc w:val="center"/>
              <w:rPr>
                <w:rFonts w:ascii="Arial" w:hAnsi="Arial" w:cs="Arial"/>
                <w:b/>
                <w:szCs w:val="16"/>
              </w:rPr>
            </w:pPr>
            <w:r>
              <w:rPr>
                <w:rFonts w:ascii="Arial" w:hAnsi="Arial" w:cs="Arial"/>
                <w:b/>
                <w:szCs w:val="16"/>
              </w:rPr>
              <w:t>Very low</w:t>
            </w:r>
          </w:p>
        </w:tc>
      </w:tr>
      <w:tr w:rsidR="009D3DC8" w14:paraId="1C73C005" w14:textId="77777777">
        <w:tc>
          <w:tcPr>
            <w:tcW w:w="14511" w:type="dxa"/>
            <w:gridSpan w:val="18"/>
            <w:tcBorders>
              <w:top w:val="single" w:sz="4" w:space="0" w:color="auto"/>
              <w:left w:val="single" w:sz="4" w:space="0" w:color="auto"/>
              <w:bottom w:val="single" w:sz="4" w:space="0" w:color="auto"/>
              <w:right w:val="single" w:sz="4" w:space="0" w:color="auto"/>
            </w:tcBorders>
            <w:shd w:val="clear" w:color="auto" w:fill="E0E0E0"/>
          </w:tcPr>
          <w:p w14:paraId="6512C746" w14:textId="77777777" w:rsidR="009D3DC8" w:rsidRDefault="009D3DC8">
            <w:pPr>
              <w:pStyle w:val="TableText1"/>
              <w:rPr>
                <w:rFonts w:ascii="Arial" w:hAnsi="Arial" w:cs="Arial"/>
                <w:b/>
                <w:color w:val="auto"/>
                <w:szCs w:val="16"/>
              </w:rPr>
            </w:pPr>
            <w:r>
              <w:rPr>
                <w:rFonts w:ascii="Arial" w:hAnsi="Arial" w:cs="Arial"/>
                <w:b/>
                <w:szCs w:val="16"/>
              </w:rPr>
              <w:t>Armoured scales [Hemiptera: Diaspididae]</w:t>
            </w:r>
          </w:p>
        </w:tc>
      </w:tr>
      <w:tr w:rsidR="009D3DC8" w14:paraId="1F25ECB2" w14:textId="77777777">
        <w:trPr>
          <w:trHeight w:val="365"/>
        </w:trPr>
        <w:tc>
          <w:tcPr>
            <w:tcW w:w="2386" w:type="dxa"/>
            <w:tcBorders>
              <w:top w:val="single" w:sz="4" w:space="0" w:color="auto"/>
              <w:left w:val="single" w:sz="4" w:space="0" w:color="auto"/>
              <w:bottom w:val="single" w:sz="4" w:space="0" w:color="auto"/>
              <w:right w:val="single" w:sz="4" w:space="0" w:color="auto"/>
            </w:tcBorders>
          </w:tcPr>
          <w:p w14:paraId="1F9A2F66" w14:textId="77777777" w:rsidR="009D3DC8" w:rsidRDefault="009D3DC8">
            <w:pPr>
              <w:spacing w:before="120" w:after="60"/>
              <w:rPr>
                <w:rFonts w:ascii="Arial" w:hAnsi="Arial" w:cs="Arial"/>
                <w:b/>
                <w:sz w:val="16"/>
                <w:szCs w:val="16"/>
              </w:rPr>
            </w:pPr>
            <w:r>
              <w:rPr>
                <w:rFonts w:ascii="Arial" w:hAnsi="Arial" w:cs="Arial"/>
                <w:i/>
                <w:iCs/>
                <w:sz w:val="16"/>
                <w:szCs w:val="16"/>
              </w:rPr>
              <w:t xml:space="preserve">Diaspis boisduvalii </w:t>
            </w:r>
            <w:r>
              <w:rPr>
                <w:rFonts w:ascii="Arial" w:hAnsi="Arial" w:cs="Arial"/>
                <w:b/>
                <w:iCs/>
                <w:sz w:val="16"/>
                <w:szCs w:val="16"/>
                <w:vertAlign w:val="superscript"/>
              </w:rPr>
              <w:t>WA</w:t>
            </w:r>
          </w:p>
        </w:tc>
        <w:tc>
          <w:tcPr>
            <w:tcW w:w="1111" w:type="dxa"/>
            <w:vMerge w:val="restart"/>
            <w:tcBorders>
              <w:left w:val="single" w:sz="4" w:space="0" w:color="auto"/>
            </w:tcBorders>
            <w:shd w:val="clear" w:color="auto" w:fill="FFE6CD"/>
          </w:tcPr>
          <w:p w14:paraId="79191CA4" w14:textId="77777777" w:rsidR="009D3DC8" w:rsidRDefault="009D3DC8">
            <w:pPr>
              <w:pStyle w:val="TableText"/>
              <w:spacing w:before="120"/>
              <w:jc w:val="center"/>
              <w:rPr>
                <w:rFonts w:cs="Arial"/>
                <w:szCs w:val="16"/>
              </w:rPr>
            </w:pPr>
            <w:r>
              <w:rPr>
                <w:rFonts w:cs="Arial"/>
                <w:szCs w:val="16"/>
              </w:rPr>
              <w:t>High</w:t>
            </w:r>
          </w:p>
        </w:tc>
        <w:tc>
          <w:tcPr>
            <w:tcW w:w="1061" w:type="dxa"/>
            <w:vMerge w:val="restart"/>
            <w:shd w:val="clear" w:color="auto" w:fill="FFE6CD"/>
          </w:tcPr>
          <w:p w14:paraId="536CAF72" w14:textId="77777777" w:rsidR="009D3DC8" w:rsidRDefault="009D3DC8">
            <w:pPr>
              <w:pStyle w:val="TableText"/>
              <w:spacing w:before="120"/>
              <w:jc w:val="center"/>
              <w:rPr>
                <w:rFonts w:cs="Arial"/>
                <w:szCs w:val="16"/>
              </w:rPr>
            </w:pPr>
            <w:r>
              <w:rPr>
                <w:rFonts w:cs="Arial"/>
                <w:szCs w:val="16"/>
              </w:rPr>
              <w:t>Low</w:t>
            </w:r>
          </w:p>
        </w:tc>
        <w:tc>
          <w:tcPr>
            <w:tcW w:w="980" w:type="dxa"/>
            <w:vMerge w:val="restart"/>
            <w:shd w:val="clear" w:color="auto" w:fill="FFE6CD"/>
          </w:tcPr>
          <w:p w14:paraId="0B938999" w14:textId="77777777" w:rsidR="009D3DC8" w:rsidRDefault="009D3DC8">
            <w:pPr>
              <w:pStyle w:val="TableText"/>
              <w:spacing w:before="120"/>
              <w:jc w:val="center"/>
              <w:rPr>
                <w:rFonts w:cs="Arial"/>
                <w:szCs w:val="16"/>
              </w:rPr>
            </w:pPr>
            <w:r>
              <w:rPr>
                <w:rFonts w:cs="Arial"/>
                <w:szCs w:val="16"/>
              </w:rPr>
              <w:t>Low</w:t>
            </w:r>
          </w:p>
        </w:tc>
        <w:tc>
          <w:tcPr>
            <w:tcW w:w="1451" w:type="dxa"/>
            <w:gridSpan w:val="2"/>
            <w:vMerge w:val="restart"/>
            <w:tcBorders>
              <w:top w:val="single" w:sz="4" w:space="0" w:color="C0C0C0"/>
              <w:bottom w:val="single" w:sz="4" w:space="0" w:color="C0C0C0"/>
            </w:tcBorders>
            <w:shd w:val="clear" w:color="auto" w:fill="FBE9F6"/>
          </w:tcPr>
          <w:p w14:paraId="36127C9D" w14:textId="77777777" w:rsidR="009D3DC8" w:rsidRDefault="009D3DC8">
            <w:pPr>
              <w:pStyle w:val="TableText"/>
              <w:spacing w:before="120"/>
              <w:jc w:val="center"/>
              <w:rPr>
                <w:rFonts w:cs="Arial"/>
                <w:szCs w:val="16"/>
              </w:rPr>
            </w:pPr>
            <w:r>
              <w:rPr>
                <w:rFonts w:cs="Arial"/>
                <w:szCs w:val="16"/>
              </w:rPr>
              <w:t>High</w:t>
            </w:r>
          </w:p>
        </w:tc>
        <w:tc>
          <w:tcPr>
            <w:tcW w:w="931" w:type="dxa"/>
            <w:vMerge w:val="restart"/>
            <w:shd w:val="clear" w:color="auto" w:fill="D9F1FF"/>
          </w:tcPr>
          <w:p w14:paraId="7E435831" w14:textId="77777777" w:rsidR="009D3DC8" w:rsidRDefault="009D3DC8">
            <w:pPr>
              <w:pStyle w:val="TableText"/>
              <w:spacing w:before="120"/>
              <w:jc w:val="center"/>
              <w:rPr>
                <w:rFonts w:cs="Arial"/>
                <w:szCs w:val="16"/>
              </w:rPr>
            </w:pPr>
            <w:r>
              <w:rPr>
                <w:rFonts w:cs="Arial"/>
                <w:szCs w:val="16"/>
              </w:rPr>
              <w:t>Moderate</w:t>
            </w:r>
          </w:p>
        </w:tc>
        <w:tc>
          <w:tcPr>
            <w:tcW w:w="947" w:type="dxa"/>
            <w:vMerge w:val="restart"/>
            <w:shd w:val="clear" w:color="auto" w:fill="E1FFE1"/>
          </w:tcPr>
          <w:p w14:paraId="789B42BD" w14:textId="77777777" w:rsidR="009D3DC8" w:rsidRDefault="009D3DC8">
            <w:pPr>
              <w:pStyle w:val="TableText"/>
              <w:spacing w:before="120"/>
              <w:jc w:val="center"/>
              <w:rPr>
                <w:rFonts w:cs="Arial"/>
                <w:szCs w:val="16"/>
              </w:rPr>
            </w:pPr>
            <w:r>
              <w:rPr>
                <w:rFonts w:cs="Arial"/>
                <w:szCs w:val="16"/>
              </w:rPr>
              <w:t>Low</w:t>
            </w:r>
          </w:p>
        </w:tc>
        <w:tc>
          <w:tcPr>
            <w:tcW w:w="704" w:type="dxa"/>
            <w:vMerge w:val="restart"/>
            <w:shd w:val="clear" w:color="auto" w:fill="FFFFC1"/>
          </w:tcPr>
          <w:p w14:paraId="775C3F13" w14:textId="77777777" w:rsidR="009D3DC8" w:rsidRDefault="009D3DC8">
            <w:pPr>
              <w:pStyle w:val="TableText"/>
              <w:spacing w:before="120"/>
              <w:jc w:val="center"/>
              <w:rPr>
                <w:rFonts w:cs="Arial"/>
                <w:szCs w:val="16"/>
              </w:rPr>
            </w:pPr>
            <w:r>
              <w:rPr>
                <w:rFonts w:cs="Arial"/>
                <w:szCs w:val="16"/>
              </w:rPr>
              <w:t>D</w:t>
            </w:r>
          </w:p>
        </w:tc>
        <w:tc>
          <w:tcPr>
            <w:tcW w:w="539" w:type="dxa"/>
            <w:vMerge w:val="restart"/>
            <w:shd w:val="clear" w:color="auto" w:fill="FFFFC1"/>
          </w:tcPr>
          <w:p w14:paraId="28ECA3D4" w14:textId="77777777" w:rsidR="009D3DC8" w:rsidRDefault="009D3DC8">
            <w:pPr>
              <w:pStyle w:val="TableText"/>
              <w:spacing w:before="120"/>
              <w:jc w:val="center"/>
              <w:rPr>
                <w:rFonts w:cs="Arial"/>
                <w:szCs w:val="16"/>
              </w:rPr>
            </w:pPr>
            <w:r>
              <w:rPr>
                <w:rFonts w:cs="Arial"/>
                <w:szCs w:val="16"/>
              </w:rPr>
              <w:t>B</w:t>
            </w:r>
          </w:p>
        </w:tc>
        <w:tc>
          <w:tcPr>
            <w:tcW w:w="539" w:type="dxa"/>
            <w:vMerge w:val="restart"/>
            <w:shd w:val="clear" w:color="auto" w:fill="FFFFC1"/>
          </w:tcPr>
          <w:p w14:paraId="1955D376" w14:textId="77777777" w:rsidR="009D3DC8" w:rsidRDefault="009D3DC8">
            <w:pPr>
              <w:pStyle w:val="TableText"/>
              <w:spacing w:before="120"/>
              <w:jc w:val="center"/>
              <w:rPr>
                <w:rFonts w:cs="Arial"/>
                <w:szCs w:val="16"/>
              </w:rPr>
            </w:pPr>
            <w:r>
              <w:rPr>
                <w:rFonts w:cs="Arial"/>
                <w:szCs w:val="16"/>
              </w:rPr>
              <w:t>D</w:t>
            </w:r>
          </w:p>
        </w:tc>
        <w:tc>
          <w:tcPr>
            <w:tcW w:w="502" w:type="dxa"/>
            <w:vMerge w:val="restart"/>
            <w:shd w:val="clear" w:color="auto" w:fill="FFFFC1"/>
          </w:tcPr>
          <w:p w14:paraId="0C9E085F" w14:textId="77777777" w:rsidR="009D3DC8" w:rsidRDefault="009D3DC8">
            <w:pPr>
              <w:pStyle w:val="TableText"/>
              <w:spacing w:before="120"/>
              <w:jc w:val="center"/>
              <w:rPr>
                <w:rFonts w:cs="Arial"/>
                <w:szCs w:val="16"/>
              </w:rPr>
            </w:pPr>
            <w:r>
              <w:rPr>
                <w:rFonts w:cs="Arial"/>
                <w:szCs w:val="16"/>
              </w:rPr>
              <w:t>C</w:t>
            </w:r>
          </w:p>
        </w:tc>
        <w:tc>
          <w:tcPr>
            <w:tcW w:w="578" w:type="dxa"/>
            <w:gridSpan w:val="3"/>
            <w:vMerge w:val="restart"/>
            <w:shd w:val="clear" w:color="auto" w:fill="FFFFC1"/>
          </w:tcPr>
          <w:p w14:paraId="25B3E853" w14:textId="77777777" w:rsidR="009D3DC8" w:rsidRDefault="009D3DC8">
            <w:pPr>
              <w:pStyle w:val="TableText"/>
              <w:spacing w:before="120"/>
              <w:jc w:val="center"/>
              <w:rPr>
                <w:rFonts w:cs="Arial"/>
                <w:szCs w:val="16"/>
              </w:rPr>
            </w:pPr>
            <w:r>
              <w:rPr>
                <w:rFonts w:cs="Arial"/>
                <w:szCs w:val="16"/>
              </w:rPr>
              <w:t>C</w:t>
            </w:r>
          </w:p>
        </w:tc>
        <w:tc>
          <w:tcPr>
            <w:tcW w:w="671" w:type="dxa"/>
            <w:vMerge w:val="restart"/>
            <w:shd w:val="clear" w:color="auto" w:fill="FFFFC1"/>
          </w:tcPr>
          <w:p w14:paraId="01E47A65" w14:textId="77777777" w:rsidR="009D3DC8" w:rsidRDefault="009D3DC8">
            <w:pPr>
              <w:pStyle w:val="TableText"/>
              <w:spacing w:before="120"/>
              <w:jc w:val="center"/>
              <w:rPr>
                <w:rFonts w:cs="Arial"/>
                <w:szCs w:val="16"/>
              </w:rPr>
            </w:pPr>
            <w:r>
              <w:rPr>
                <w:rFonts w:cs="Arial"/>
                <w:szCs w:val="16"/>
              </w:rPr>
              <w:t>B</w:t>
            </w:r>
          </w:p>
        </w:tc>
        <w:tc>
          <w:tcPr>
            <w:tcW w:w="1031" w:type="dxa"/>
            <w:vMerge w:val="restart"/>
            <w:tcBorders>
              <w:right w:val="single" w:sz="4" w:space="0" w:color="auto"/>
            </w:tcBorders>
            <w:shd w:val="clear" w:color="auto" w:fill="FFFFC1"/>
          </w:tcPr>
          <w:p w14:paraId="353817AF" w14:textId="77777777" w:rsidR="009D3DC8" w:rsidRDefault="009D3DC8">
            <w:pPr>
              <w:pStyle w:val="TableText"/>
              <w:spacing w:before="120"/>
              <w:jc w:val="center"/>
              <w:rPr>
                <w:rFonts w:cs="Arial"/>
                <w:szCs w:val="16"/>
              </w:rPr>
            </w:pPr>
            <w:r>
              <w:rPr>
                <w:rFonts w:cs="Arial"/>
                <w:szCs w:val="16"/>
              </w:rPr>
              <w:t>Low</w:t>
            </w:r>
          </w:p>
        </w:tc>
        <w:tc>
          <w:tcPr>
            <w:tcW w:w="1080" w:type="dxa"/>
            <w:vMerge w:val="restart"/>
            <w:tcBorders>
              <w:top w:val="single" w:sz="4" w:space="0" w:color="auto"/>
              <w:left w:val="single" w:sz="4" w:space="0" w:color="auto"/>
              <w:right w:val="single" w:sz="4" w:space="0" w:color="auto"/>
            </w:tcBorders>
            <w:shd w:val="clear" w:color="auto" w:fill="CCFF66"/>
          </w:tcPr>
          <w:p w14:paraId="43F167BF" w14:textId="77777777" w:rsidR="009D3DC8" w:rsidRDefault="009D3DC8">
            <w:pPr>
              <w:pStyle w:val="TableText"/>
              <w:spacing w:before="120"/>
              <w:jc w:val="center"/>
              <w:rPr>
                <w:rFonts w:cs="Arial"/>
                <w:b/>
                <w:szCs w:val="16"/>
              </w:rPr>
            </w:pPr>
            <w:r>
              <w:rPr>
                <w:rFonts w:cs="Arial"/>
                <w:b/>
                <w:szCs w:val="16"/>
              </w:rPr>
              <w:t>Very low</w:t>
            </w:r>
          </w:p>
        </w:tc>
      </w:tr>
      <w:tr w:rsidR="009D3DC8" w14:paraId="3C06A9DA" w14:textId="77777777">
        <w:tc>
          <w:tcPr>
            <w:tcW w:w="2386" w:type="dxa"/>
            <w:tcBorders>
              <w:top w:val="single" w:sz="4" w:space="0" w:color="auto"/>
              <w:left w:val="single" w:sz="4" w:space="0" w:color="auto"/>
              <w:bottom w:val="single" w:sz="4" w:space="0" w:color="auto"/>
              <w:right w:val="single" w:sz="4" w:space="0" w:color="auto"/>
            </w:tcBorders>
          </w:tcPr>
          <w:p w14:paraId="0CF62822" w14:textId="77777777" w:rsidR="009D3DC8" w:rsidRDefault="009D3DC8">
            <w:pPr>
              <w:spacing w:before="120" w:after="60"/>
              <w:rPr>
                <w:rFonts w:ascii="Arial" w:hAnsi="Arial" w:cs="Arial"/>
                <w:b/>
                <w:sz w:val="16"/>
                <w:szCs w:val="16"/>
              </w:rPr>
            </w:pPr>
            <w:r>
              <w:rPr>
                <w:rFonts w:ascii="Arial" w:hAnsi="Arial" w:cs="Arial"/>
                <w:i/>
                <w:iCs/>
                <w:sz w:val="16"/>
                <w:szCs w:val="16"/>
              </w:rPr>
              <w:t>Ischnaspis longirostris</w:t>
            </w:r>
            <w:r>
              <w:rPr>
                <w:rFonts w:ascii="Arial" w:hAnsi="Arial" w:cs="Arial"/>
                <w:iCs/>
                <w:sz w:val="16"/>
                <w:szCs w:val="16"/>
                <w:vertAlign w:val="superscript"/>
              </w:rPr>
              <w:t xml:space="preserve"> </w:t>
            </w:r>
            <w:r>
              <w:rPr>
                <w:rFonts w:ascii="Arial" w:hAnsi="Arial" w:cs="Arial"/>
                <w:b/>
                <w:iCs/>
                <w:sz w:val="16"/>
                <w:szCs w:val="16"/>
                <w:vertAlign w:val="superscript"/>
              </w:rPr>
              <w:t>EP, WA</w:t>
            </w:r>
          </w:p>
        </w:tc>
        <w:tc>
          <w:tcPr>
            <w:tcW w:w="1111" w:type="dxa"/>
            <w:vMerge/>
            <w:tcBorders>
              <w:left w:val="single" w:sz="4" w:space="0" w:color="auto"/>
            </w:tcBorders>
            <w:shd w:val="clear" w:color="auto" w:fill="FFE6CD"/>
          </w:tcPr>
          <w:p w14:paraId="5A6E4E0E" w14:textId="77777777" w:rsidR="009D3DC8" w:rsidRDefault="009D3DC8">
            <w:pPr>
              <w:spacing w:before="120"/>
              <w:jc w:val="center"/>
              <w:rPr>
                <w:rFonts w:ascii="Arial" w:hAnsi="Arial" w:cs="Arial"/>
                <w:sz w:val="16"/>
                <w:szCs w:val="16"/>
              </w:rPr>
            </w:pPr>
          </w:p>
        </w:tc>
        <w:tc>
          <w:tcPr>
            <w:tcW w:w="1061" w:type="dxa"/>
            <w:vMerge/>
            <w:shd w:val="clear" w:color="auto" w:fill="FFE6CD"/>
          </w:tcPr>
          <w:p w14:paraId="54B567A5" w14:textId="77777777" w:rsidR="009D3DC8" w:rsidRDefault="009D3DC8">
            <w:pPr>
              <w:spacing w:before="120"/>
              <w:jc w:val="center"/>
              <w:rPr>
                <w:rFonts w:ascii="Arial" w:hAnsi="Arial" w:cs="Arial"/>
                <w:sz w:val="16"/>
                <w:szCs w:val="16"/>
              </w:rPr>
            </w:pPr>
          </w:p>
        </w:tc>
        <w:tc>
          <w:tcPr>
            <w:tcW w:w="980" w:type="dxa"/>
            <w:vMerge/>
            <w:shd w:val="clear" w:color="auto" w:fill="FFE6CD"/>
          </w:tcPr>
          <w:p w14:paraId="4E5608BF" w14:textId="77777777" w:rsidR="009D3DC8" w:rsidRDefault="009D3DC8">
            <w:pPr>
              <w:spacing w:before="120"/>
              <w:jc w:val="center"/>
              <w:rPr>
                <w:rFonts w:ascii="Arial" w:hAnsi="Arial" w:cs="Arial"/>
                <w:b/>
                <w:sz w:val="16"/>
                <w:szCs w:val="16"/>
              </w:rPr>
            </w:pPr>
          </w:p>
        </w:tc>
        <w:tc>
          <w:tcPr>
            <w:tcW w:w="1451" w:type="dxa"/>
            <w:gridSpan w:val="2"/>
            <w:vMerge/>
            <w:tcBorders>
              <w:top w:val="single" w:sz="4" w:space="0" w:color="C0C0C0"/>
              <w:bottom w:val="single" w:sz="4" w:space="0" w:color="C0C0C0"/>
            </w:tcBorders>
            <w:shd w:val="clear" w:color="auto" w:fill="FBE9F6"/>
          </w:tcPr>
          <w:p w14:paraId="559A5F20" w14:textId="77777777" w:rsidR="009D3DC8" w:rsidRDefault="009D3DC8">
            <w:pPr>
              <w:spacing w:before="120"/>
              <w:jc w:val="center"/>
              <w:rPr>
                <w:rFonts w:ascii="Arial" w:hAnsi="Arial" w:cs="Arial"/>
                <w:b/>
                <w:sz w:val="16"/>
                <w:szCs w:val="16"/>
              </w:rPr>
            </w:pPr>
          </w:p>
        </w:tc>
        <w:tc>
          <w:tcPr>
            <w:tcW w:w="931" w:type="dxa"/>
            <w:vMerge/>
            <w:shd w:val="clear" w:color="auto" w:fill="D9F1FF"/>
          </w:tcPr>
          <w:p w14:paraId="1E40435E" w14:textId="77777777" w:rsidR="009D3DC8" w:rsidRDefault="009D3DC8">
            <w:pPr>
              <w:spacing w:before="120"/>
              <w:jc w:val="center"/>
              <w:rPr>
                <w:rFonts w:ascii="Arial" w:hAnsi="Arial" w:cs="Arial"/>
                <w:b/>
                <w:sz w:val="16"/>
                <w:szCs w:val="16"/>
              </w:rPr>
            </w:pPr>
          </w:p>
        </w:tc>
        <w:tc>
          <w:tcPr>
            <w:tcW w:w="947" w:type="dxa"/>
            <w:vMerge/>
            <w:shd w:val="clear" w:color="auto" w:fill="E1FFE1"/>
          </w:tcPr>
          <w:p w14:paraId="2265207A" w14:textId="77777777" w:rsidR="009D3DC8" w:rsidRDefault="009D3DC8">
            <w:pPr>
              <w:spacing w:before="120"/>
              <w:jc w:val="center"/>
              <w:rPr>
                <w:rFonts w:ascii="Arial" w:hAnsi="Arial" w:cs="Arial"/>
                <w:b/>
                <w:sz w:val="16"/>
                <w:szCs w:val="16"/>
              </w:rPr>
            </w:pPr>
          </w:p>
        </w:tc>
        <w:tc>
          <w:tcPr>
            <w:tcW w:w="704" w:type="dxa"/>
            <w:vMerge/>
            <w:shd w:val="clear" w:color="auto" w:fill="FFFFC1"/>
          </w:tcPr>
          <w:p w14:paraId="1C9BAC0F" w14:textId="77777777" w:rsidR="009D3DC8" w:rsidRDefault="009D3DC8">
            <w:pPr>
              <w:spacing w:before="120"/>
              <w:jc w:val="center"/>
              <w:rPr>
                <w:rFonts w:ascii="Arial" w:hAnsi="Arial" w:cs="Arial"/>
                <w:sz w:val="16"/>
                <w:szCs w:val="16"/>
              </w:rPr>
            </w:pPr>
          </w:p>
        </w:tc>
        <w:tc>
          <w:tcPr>
            <w:tcW w:w="539" w:type="dxa"/>
            <w:vMerge/>
            <w:shd w:val="clear" w:color="auto" w:fill="FFFFC1"/>
          </w:tcPr>
          <w:p w14:paraId="1B2476B8" w14:textId="77777777" w:rsidR="009D3DC8" w:rsidRDefault="009D3DC8">
            <w:pPr>
              <w:spacing w:before="120"/>
              <w:jc w:val="center"/>
              <w:rPr>
                <w:rFonts w:ascii="Arial" w:hAnsi="Arial" w:cs="Arial"/>
                <w:sz w:val="16"/>
                <w:szCs w:val="16"/>
              </w:rPr>
            </w:pPr>
          </w:p>
        </w:tc>
        <w:tc>
          <w:tcPr>
            <w:tcW w:w="539" w:type="dxa"/>
            <w:vMerge/>
            <w:shd w:val="clear" w:color="auto" w:fill="FFFFC1"/>
          </w:tcPr>
          <w:p w14:paraId="60EB3E51" w14:textId="77777777" w:rsidR="009D3DC8" w:rsidRDefault="009D3DC8">
            <w:pPr>
              <w:spacing w:before="120"/>
              <w:jc w:val="center"/>
              <w:rPr>
                <w:rFonts w:ascii="Arial" w:hAnsi="Arial" w:cs="Arial"/>
                <w:sz w:val="16"/>
                <w:szCs w:val="16"/>
              </w:rPr>
            </w:pPr>
          </w:p>
        </w:tc>
        <w:tc>
          <w:tcPr>
            <w:tcW w:w="502" w:type="dxa"/>
            <w:vMerge/>
            <w:shd w:val="clear" w:color="auto" w:fill="FFFFC1"/>
          </w:tcPr>
          <w:p w14:paraId="3BC2A296" w14:textId="77777777" w:rsidR="009D3DC8" w:rsidRDefault="009D3DC8">
            <w:pPr>
              <w:spacing w:before="120"/>
              <w:jc w:val="center"/>
              <w:rPr>
                <w:rFonts w:ascii="Arial" w:hAnsi="Arial" w:cs="Arial"/>
                <w:sz w:val="16"/>
                <w:szCs w:val="16"/>
              </w:rPr>
            </w:pPr>
          </w:p>
        </w:tc>
        <w:tc>
          <w:tcPr>
            <w:tcW w:w="578" w:type="dxa"/>
            <w:gridSpan w:val="3"/>
            <w:vMerge/>
            <w:shd w:val="clear" w:color="auto" w:fill="FFFFC1"/>
          </w:tcPr>
          <w:p w14:paraId="34E42351" w14:textId="77777777" w:rsidR="009D3DC8" w:rsidRDefault="009D3DC8">
            <w:pPr>
              <w:spacing w:before="120"/>
              <w:jc w:val="center"/>
              <w:rPr>
                <w:rFonts w:ascii="Arial" w:hAnsi="Arial" w:cs="Arial"/>
                <w:sz w:val="16"/>
                <w:szCs w:val="16"/>
              </w:rPr>
            </w:pPr>
          </w:p>
        </w:tc>
        <w:tc>
          <w:tcPr>
            <w:tcW w:w="671" w:type="dxa"/>
            <w:vMerge/>
            <w:shd w:val="clear" w:color="auto" w:fill="FFFFC1"/>
          </w:tcPr>
          <w:p w14:paraId="2F2BB790" w14:textId="77777777" w:rsidR="009D3DC8" w:rsidRDefault="009D3DC8">
            <w:pPr>
              <w:spacing w:before="120"/>
              <w:jc w:val="center"/>
              <w:rPr>
                <w:rFonts w:ascii="Arial" w:hAnsi="Arial" w:cs="Arial"/>
                <w:sz w:val="16"/>
                <w:szCs w:val="16"/>
              </w:rPr>
            </w:pPr>
          </w:p>
        </w:tc>
        <w:tc>
          <w:tcPr>
            <w:tcW w:w="1031" w:type="dxa"/>
            <w:vMerge/>
            <w:tcBorders>
              <w:right w:val="single" w:sz="4" w:space="0" w:color="auto"/>
            </w:tcBorders>
            <w:shd w:val="clear" w:color="auto" w:fill="FFFFC1"/>
          </w:tcPr>
          <w:p w14:paraId="3B2DE0AF" w14:textId="77777777" w:rsidR="009D3DC8" w:rsidRDefault="009D3DC8">
            <w:pPr>
              <w:spacing w:before="120"/>
              <w:jc w:val="center"/>
              <w:rPr>
                <w:rFonts w:ascii="Arial" w:hAnsi="Arial" w:cs="Arial"/>
                <w:b/>
                <w:sz w:val="16"/>
                <w:szCs w:val="16"/>
              </w:rPr>
            </w:pPr>
          </w:p>
        </w:tc>
        <w:tc>
          <w:tcPr>
            <w:tcW w:w="1080" w:type="dxa"/>
            <w:vMerge/>
            <w:tcBorders>
              <w:left w:val="single" w:sz="4" w:space="0" w:color="auto"/>
              <w:right w:val="single" w:sz="4" w:space="0" w:color="auto"/>
            </w:tcBorders>
            <w:shd w:val="clear" w:color="auto" w:fill="CCFF66"/>
          </w:tcPr>
          <w:p w14:paraId="6A117D74" w14:textId="77777777" w:rsidR="009D3DC8" w:rsidRDefault="009D3DC8">
            <w:pPr>
              <w:spacing w:before="120"/>
              <w:jc w:val="center"/>
              <w:rPr>
                <w:rFonts w:ascii="Arial" w:hAnsi="Arial" w:cs="Arial"/>
                <w:b/>
                <w:sz w:val="16"/>
                <w:szCs w:val="16"/>
              </w:rPr>
            </w:pPr>
          </w:p>
        </w:tc>
      </w:tr>
      <w:tr w:rsidR="009D3DC8" w14:paraId="3CE58EFC" w14:textId="77777777">
        <w:tc>
          <w:tcPr>
            <w:tcW w:w="2386" w:type="dxa"/>
            <w:tcBorders>
              <w:top w:val="single" w:sz="4" w:space="0" w:color="auto"/>
              <w:left w:val="single" w:sz="4" w:space="0" w:color="auto"/>
              <w:bottom w:val="single" w:sz="4" w:space="0" w:color="auto"/>
              <w:right w:val="single" w:sz="4" w:space="0" w:color="auto"/>
            </w:tcBorders>
          </w:tcPr>
          <w:p w14:paraId="66AEDA72" w14:textId="77777777" w:rsidR="009D3DC8" w:rsidRDefault="009D3DC8">
            <w:pPr>
              <w:spacing w:before="120" w:after="60"/>
              <w:rPr>
                <w:rFonts w:ascii="Arial" w:hAnsi="Arial" w:cs="Arial"/>
                <w:i/>
                <w:iCs/>
                <w:sz w:val="16"/>
                <w:szCs w:val="16"/>
              </w:rPr>
            </w:pPr>
            <w:r>
              <w:rPr>
                <w:rFonts w:ascii="Arial" w:hAnsi="Arial" w:cs="Arial"/>
                <w:i/>
                <w:iCs/>
                <w:sz w:val="16"/>
                <w:szCs w:val="16"/>
              </w:rPr>
              <w:t xml:space="preserve">Pseudaonidia trilobitiformis </w:t>
            </w:r>
            <w:r>
              <w:rPr>
                <w:rFonts w:ascii="Arial" w:hAnsi="Arial" w:cs="Arial"/>
                <w:b/>
                <w:iCs/>
                <w:sz w:val="16"/>
                <w:szCs w:val="16"/>
                <w:vertAlign w:val="superscript"/>
              </w:rPr>
              <w:t>EP</w:t>
            </w:r>
            <w:r>
              <w:rPr>
                <w:rFonts w:ascii="Arial" w:hAnsi="Arial" w:cs="Arial"/>
                <w:b/>
                <w:iCs/>
                <w:color w:val="76923C"/>
                <w:sz w:val="16"/>
                <w:szCs w:val="16"/>
                <w:vertAlign w:val="superscript"/>
              </w:rPr>
              <w:t xml:space="preserve">, </w:t>
            </w:r>
            <w:r>
              <w:rPr>
                <w:rFonts w:ascii="Arial" w:hAnsi="Arial" w:cs="Arial"/>
                <w:b/>
                <w:iCs/>
                <w:sz w:val="16"/>
                <w:szCs w:val="16"/>
                <w:vertAlign w:val="superscript"/>
              </w:rPr>
              <w:t>WA</w:t>
            </w:r>
          </w:p>
        </w:tc>
        <w:tc>
          <w:tcPr>
            <w:tcW w:w="1111" w:type="dxa"/>
            <w:vMerge/>
            <w:tcBorders>
              <w:left w:val="single" w:sz="4" w:space="0" w:color="auto"/>
            </w:tcBorders>
            <w:shd w:val="clear" w:color="auto" w:fill="FFE6CD"/>
          </w:tcPr>
          <w:p w14:paraId="5CFF47D7" w14:textId="77777777" w:rsidR="009D3DC8" w:rsidRDefault="009D3DC8">
            <w:pPr>
              <w:spacing w:before="120"/>
              <w:jc w:val="center"/>
              <w:rPr>
                <w:rFonts w:ascii="Arial" w:hAnsi="Arial" w:cs="Arial"/>
                <w:sz w:val="16"/>
                <w:szCs w:val="16"/>
              </w:rPr>
            </w:pPr>
          </w:p>
        </w:tc>
        <w:tc>
          <w:tcPr>
            <w:tcW w:w="1061" w:type="dxa"/>
            <w:vMerge/>
            <w:shd w:val="clear" w:color="auto" w:fill="FFE6CD"/>
          </w:tcPr>
          <w:p w14:paraId="4873E9AF" w14:textId="77777777" w:rsidR="009D3DC8" w:rsidRDefault="009D3DC8">
            <w:pPr>
              <w:spacing w:before="120"/>
              <w:jc w:val="center"/>
              <w:rPr>
                <w:rFonts w:ascii="Arial" w:hAnsi="Arial" w:cs="Arial"/>
                <w:sz w:val="16"/>
                <w:szCs w:val="16"/>
              </w:rPr>
            </w:pPr>
          </w:p>
        </w:tc>
        <w:tc>
          <w:tcPr>
            <w:tcW w:w="980" w:type="dxa"/>
            <w:vMerge/>
            <w:shd w:val="clear" w:color="auto" w:fill="FFE6CD"/>
          </w:tcPr>
          <w:p w14:paraId="21D8AB9A" w14:textId="77777777" w:rsidR="009D3DC8" w:rsidRDefault="009D3DC8">
            <w:pPr>
              <w:spacing w:before="120"/>
              <w:jc w:val="center"/>
              <w:rPr>
                <w:rFonts w:ascii="Arial" w:hAnsi="Arial" w:cs="Arial"/>
                <w:b/>
                <w:sz w:val="16"/>
                <w:szCs w:val="16"/>
              </w:rPr>
            </w:pPr>
          </w:p>
        </w:tc>
        <w:tc>
          <w:tcPr>
            <w:tcW w:w="1451" w:type="dxa"/>
            <w:gridSpan w:val="2"/>
            <w:vMerge/>
            <w:tcBorders>
              <w:top w:val="single" w:sz="4" w:space="0" w:color="C0C0C0"/>
              <w:bottom w:val="single" w:sz="4" w:space="0" w:color="C0C0C0"/>
            </w:tcBorders>
            <w:shd w:val="clear" w:color="auto" w:fill="FBE9F6"/>
          </w:tcPr>
          <w:p w14:paraId="103C024C" w14:textId="77777777" w:rsidR="009D3DC8" w:rsidRDefault="009D3DC8">
            <w:pPr>
              <w:spacing w:before="120"/>
              <w:jc w:val="center"/>
              <w:rPr>
                <w:rFonts w:ascii="Arial" w:hAnsi="Arial" w:cs="Arial"/>
                <w:b/>
                <w:sz w:val="16"/>
                <w:szCs w:val="16"/>
              </w:rPr>
            </w:pPr>
          </w:p>
        </w:tc>
        <w:tc>
          <w:tcPr>
            <w:tcW w:w="931" w:type="dxa"/>
            <w:vMerge/>
            <w:shd w:val="clear" w:color="auto" w:fill="D9F1FF"/>
          </w:tcPr>
          <w:p w14:paraId="6930DECB" w14:textId="77777777" w:rsidR="009D3DC8" w:rsidRDefault="009D3DC8">
            <w:pPr>
              <w:spacing w:before="120"/>
              <w:jc w:val="center"/>
              <w:rPr>
                <w:rFonts w:ascii="Arial" w:hAnsi="Arial" w:cs="Arial"/>
                <w:b/>
                <w:sz w:val="16"/>
                <w:szCs w:val="16"/>
              </w:rPr>
            </w:pPr>
          </w:p>
        </w:tc>
        <w:tc>
          <w:tcPr>
            <w:tcW w:w="947" w:type="dxa"/>
            <w:vMerge/>
            <w:shd w:val="clear" w:color="auto" w:fill="E1FFE1"/>
          </w:tcPr>
          <w:p w14:paraId="12E01300" w14:textId="77777777" w:rsidR="009D3DC8" w:rsidRDefault="009D3DC8">
            <w:pPr>
              <w:spacing w:before="120"/>
              <w:jc w:val="center"/>
              <w:rPr>
                <w:rFonts w:ascii="Arial" w:hAnsi="Arial" w:cs="Arial"/>
                <w:b/>
                <w:sz w:val="16"/>
                <w:szCs w:val="16"/>
              </w:rPr>
            </w:pPr>
          </w:p>
        </w:tc>
        <w:tc>
          <w:tcPr>
            <w:tcW w:w="704" w:type="dxa"/>
            <w:vMerge/>
            <w:shd w:val="clear" w:color="auto" w:fill="FFFFC1"/>
          </w:tcPr>
          <w:p w14:paraId="3945A724" w14:textId="77777777" w:rsidR="009D3DC8" w:rsidRDefault="009D3DC8">
            <w:pPr>
              <w:spacing w:before="120"/>
              <w:jc w:val="center"/>
              <w:rPr>
                <w:rFonts w:ascii="Arial" w:hAnsi="Arial" w:cs="Arial"/>
                <w:sz w:val="16"/>
                <w:szCs w:val="16"/>
              </w:rPr>
            </w:pPr>
          </w:p>
        </w:tc>
        <w:tc>
          <w:tcPr>
            <w:tcW w:w="539" w:type="dxa"/>
            <w:vMerge/>
            <w:shd w:val="clear" w:color="auto" w:fill="FFFFC1"/>
          </w:tcPr>
          <w:p w14:paraId="4029D623" w14:textId="77777777" w:rsidR="009D3DC8" w:rsidRDefault="009D3DC8">
            <w:pPr>
              <w:spacing w:before="120"/>
              <w:jc w:val="center"/>
              <w:rPr>
                <w:rFonts w:ascii="Arial" w:hAnsi="Arial" w:cs="Arial"/>
                <w:sz w:val="16"/>
                <w:szCs w:val="16"/>
              </w:rPr>
            </w:pPr>
          </w:p>
        </w:tc>
        <w:tc>
          <w:tcPr>
            <w:tcW w:w="539" w:type="dxa"/>
            <w:vMerge/>
            <w:shd w:val="clear" w:color="auto" w:fill="FFFFC1"/>
          </w:tcPr>
          <w:p w14:paraId="2008D030" w14:textId="77777777" w:rsidR="009D3DC8" w:rsidRDefault="009D3DC8">
            <w:pPr>
              <w:spacing w:before="120"/>
              <w:jc w:val="center"/>
              <w:rPr>
                <w:rFonts w:ascii="Arial" w:hAnsi="Arial" w:cs="Arial"/>
                <w:sz w:val="16"/>
                <w:szCs w:val="16"/>
              </w:rPr>
            </w:pPr>
          </w:p>
        </w:tc>
        <w:tc>
          <w:tcPr>
            <w:tcW w:w="502" w:type="dxa"/>
            <w:vMerge/>
            <w:shd w:val="clear" w:color="auto" w:fill="FFFFC1"/>
          </w:tcPr>
          <w:p w14:paraId="0D278241" w14:textId="77777777" w:rsidR="009D3DC8" w:rsidRDefault="009D3DC8">
            <w:pPr>
              <w:spacing w:before="120"/>
              <w:jc w:val="center"/>
              <w:rPr>
                <w:rFonts w:ascii="Arial" w:hAnsi="Arial" w:cs="Arial"/>
                <w:sz w:val="16"/>
                <w:szCs w:val="16"/>
              </w:rPr>
            </w:pPr>
          </w:p>
        </w:tc>
        <w:tc>
          <w:tcPr>
            <w:tcW w:w="578" w:type="dxa"/>
            <w:gridSpan w:val="3"/>
            <w:vMerge/>
            <w:shd w:val="clear" w:color="auto" w:fill="FFFFC1"/>
          </w:tcPr>
          <w:p w14:paraId="3FBCAFA9" w14:textId="77777777" w:rsidR="009D3DC8" w:rsidRDefault="009D3DC8">
            <w:pPr>
              <w:spacing w:before="120"/>
              <w:jc w:val="center"/>
              <w:rPr>
                <w:rFonts w:ascii="Arial" w:hAnsi="Arial" w:cs="Arial"/>
                <w:sz w:val="16"/>
                <w:szCs w:val="16"/>
              </w:rPr>
            </w:pPr>
          </w:p>
        </w:tc>
        <w:tc>
          <w:tcPr>
            <w:tcW w:w="671" w:type="dxa"/>
            <w:vMerge/>
            <w:shd w:val="clear" w:color="auto" w:fill="FFFFC1"/>
          </w:tcPr>
          <w:p w14:paraId="44ABBB23" w14:textId="77777777" w:rsidR="009D3DC8" w:rsidRDefault="009D3DC8">
            <w:pPr>
              <w:spacing w:before="120"/>
              <w:jc w:val="center"/>
              <w:rPr>
                <w:rFonts w:ascii="Arial" w:hAnsi="Arial" w:cs="Arial"/>
                <w:sz w:val="16"/>
                <w:szCs w:val="16"/>
              </w:rPr>
            </w:pPr>
          </w:p>
        </w:tc>
        <w:tc>
          <w:tcPr>
            <w:tcW w:w="1031" w:type="dxa"/>
            <w:vMerge/>
            <w:tcBorders>
              <w:right w:val="single" w:sz="4" w:space="0" w:color="auto"/>
            </w:tcBorders>
            <w:shd w:val="clear" w:color="auto" w:fill="FFFFC1"/>
          </w:tcPr>
          <w:p w14:paraId="0B371844" w14:textId="77777777" w:rsidR="009D3DC8" w:rsidRDefault="009D3DC8">
            <w:pPr>
              <w:spacing w:before="120"/>
              <w:jc w:val="center"/>
              <w:rPr>
                <w:rFonts w:ascii="Arial" w:hAnsi="Arial" w:cs="Arial"/>
                <w:b/>
                <w:sz w:val="16"/>
                <w:szCs w:val="16"/>
              </w:rPr>
            </w:pPr>
          </w:p>
        </w:tc>
        <w:tc>
          <w:tcPr>
            <w:tcW w:w="1080" w:type="dxa"/>
            <w:vMerge/>
            <w:tcBorders>
              <w:left w:val="single" w:sz="4" w:space="0" w:color="auto"/>
              <w:right w:val="single" w:sz="4" w:space="0" w:color="auto"/>
            </w:tcBorders>
            <w:shd w:val="clear" w:color="auto" w:fill="CCFF66"/>
          </w:tcPr>
          <w:p w14:paraId="5BAAA76B" w14:textId="77777777" w:rsidR="009D3DC8" w:rsidRDefault="009D3DC8">
            <w:pPr>
              <w:spacing w:before="120"/>
              <w:jc w:val="center"/>
              <w:rPr>
                <w:rFonts w:ascii="Arial" w:hAnsi="Arial" w:cs="Arial"/>
                <w:b/>
                <w:sz w:val="16"/>
                <w:szCs w:val="16"/>
              </w:rPr>
            </w:pPr>
          </w:p>
        </w:tc>
      </w:tr>
      <w:tr w:rsidR="009D3DC8" w14:paraId="3B2736EA" w14:textId="77777777">
        <w:tc>
          <w:tcPr>
            <w:tcW w:w="14511" w:type="dxa"/>
            <w:gridSpan w:val="18"/>
            <w:tcBorders>
              <w:top w:val="single" w:sz="4" w:space="0" w:color="auto"/>
              <w:left w:val="single" w:sz="4" w:space="0" w:color="auto"/>
              <w:bottom w:val="single" w:sz="4" w:space="0" w:color="auto"/>
              <w:right w:val="single" w:sz="4" w:space="0" w:color="auto"/>
            </w:tcBorders>
            <w:shd w:val="clear" w:color="auto" w:fill="E6E6E6"/>
          </w:tcPr>
          <w:p w14:paraId="4DAB2E97" w14:textId="77777777" w:rsidR="009D3DC8" w:rsidRDefault="009D3DC8">
            <w:pPr>
              <w:pStyle w:val="TableText1"/>
              <w:spacing w:before="120"/>
              <w:rPr>
                <w:rFonts w:ascii="Arial" w:hAnsi="Arial" w:cs="Arial"/>
                <w:b/>
                <w:color w:val="auto"/>
                <w:szCs w:val="16"/>
              </w:rPr>
            </w:pPr>
            <w:r>
              <w:rPr>
                <w:rFonts w:ascii="Arial" w:hAnsi="Arial" w:cs="Arial"/>
                <w:b/>
                <w:szCs w:val="16"/>
              </w:rPr>
              <w:t>Mealybugs [Hemiptera: Pseudococcidae]</w:t>
            </w:r>
          </w:p>
        </w:tc>
      </w:tr>
      <w:tr w:rsidR="009D3DC8" w14:paraId="2D4895C4" w14:textId="77777777">
        <w:tc>
          <w:tcPr>
            <w:tcW w:w="2386" w:type="dxa"/>
            <w:tcBorders>
              <w:top w:val="single" w:sz="4" w:space="0" w:color="auto"/>
              <w:left w:val="single" w:sz="4" w:space="0" w:color="auto"/>
              <w:bottom w:val="single" w:sz="4" w:space="0" w:color="auto"/>
              <w:right w:val="single" w:sz="4" w:space="0" w:color="auto"/>
            </w:tcBorders>
          </w:tcPr>
          <w:p w14:paraId="6A728399" w14:textId="77777777" w:rsidR="009D3DC8" w:rsidRDefault="009D3DC8">
            <w:pPr>
              <w:pStyle w:val="TableText"/>
              <w:rPr>
                <w:rFonts w:cs="Arial"/>
                <w:szCs w:val="16"/>
              </w:rPr>
            </w:pPr>
            <w:r>
              <w:rPr>
                <w:rFonts w:cs="Arial"/>
                <w:i/>
                <w:szCs w:val="16"/>
              </w:rPr>
              <w:t>Dysmicoccus lepelleyi</w:t>
            </w:r>
          </w:p>
        </w:tc>
        <w:tc>
          <w:tcPr>
            <w:tcW w:w="1111" w:type="dxa"/>
            <w:vMerge w:val="restart"/>
            <w:tcBorders>
              <w:top w:val="single" w:sz="4" w:space="0" w:color="C0C0C0"/>
              <w:left w:val="single" w:sz="4" w:space="0" w:color="auto"/>
            </w:tcBorders>
            <w:shd w:val="clear" w:color="auto" w:fill="FFE6CD"/>
          </w:tcPr>
          <w:p w14:paraId="462F878E" w14:textId="77777777" w:rsidR="009D3DC8" w:rsidRDefault="009D3DC8">
            <w:pPr>
              <w:pStyle w:val="TableText"/>
              <w:spacing w:before="120"/>
              <w:jc w:val="center"/>
              <w:rPr>
                <w:rFonts w:cs="Arial"/>
                <w:szCs w:val="16"/>
              </w:rPr>
            </w:pPr>
            <w:r>
              <w:rPr>
                <w:rFonts w:cs="Arial"/>
                <w:szCs w:val="16"/>
              </w:rPr>
              <w:t>High</w:t>
            </w:r>
          </w:p>
        </w:tc>
        <w:tc>
          <w:tcPr>
            <w:tcW w:w="1061" w:type="dxa"/>
            <w:vMerge w:val="restart"/>
            <w:tcBorders>
              <w:top w:val="single" w:sz="4" w:space="0" w:color="C0C0C0"/>
            </w:tcBorders>
            <w:shd w:val="clear" w:color="auto" w:fill="FFE6CD"/>
          </w:tcPr>
          <w:p w14:paraId="28703FE8" w14:textId="77777777" w:rsidR="009D3DC8" w:rsidRDefault="009D3DC8">
            <w:pPr>
              <w:pStyle w:val="TableText"/>
              <w:spacing w:before="120"/>
              <w:jc w:val="center"/>
              <w:rPr>
                <w:rFonts w:cs="Arial"/>
                <w:szCs w:val="16"/>
              </w:rPr>
            </w:pPr>
            <w:r>
              <w:rPr>
                <w:rFonts w:cs="Arial"/>
                <w:szCs w:val="16"/>
              </w:rPr>
              <w:t>Moderate</w:t>
            </w:r>
          </w:p>
        </w:tc>
        <w:tc>
          <w:tcPr>
            <w:tcW w:w="980" w:type="dxa"/>
            <w:vMerge w:val="restart"/>
            <w:tcBorders>
              <w:top w:val="single" w:sz="4" w:space="0" w:color="C0C0C0"/>
            </w:tcBorders>
            <w:shd w:val="clear" w:color="auto" w:fill="FFE6CD"/>
          </w:tcPr>
          <w:p w14:paraId="755081A4" w14:textId="77777777" w:rsidR="009D3DC8" w:rsidRDefault="009D3DC8">
            <w:pPr>
              <w:pStyle w:val="TableText"/>
              <w:spacing w:before="120"/>
              <w:jc w:val="center"/>
              <w:rPr>
                <w:rFonts w:cs="Arial"/>
                <w:szCs w:val="16"/>
              </w:rPr>
            </w:pPr>
            <w:r>
              <w:rPr>
                <w:rFonts w:cs="Arial"/>
                <w:szCs w:val="16"/>
              </w:rPr>
              <w:t>Moderate</w:t>
            </w:r>
          </w:p>
        </w:tc>
        <w:tc>
          <w:tcPr>
            <w:tcW w:w="1451" w:type="dxa"/>
            <w:gridSpan w:val="2"/>
            <w:vMerge w:val="restart"/>
            <w:tcBorders>
              <w:top w:val="single" w:sz="4" w:space="0" w:color="C0C0C0"/>
            </w:tcBorders>
            <w:shd w:val="clear" w:color="auto" w:fill="FFE7E7"/>
          </w:tcPr>
          <w:p w14:paraId="2C8A7308" w14:textId="77777777" w:rsidR="009D3DC8" w:rsidRDefault="009D3DC8">
            <w:pPr>
              <w:pStyle w:val="TableText"/>
              <w:spacing w:before="120"/>
              <w:jc w:val="center"/>
              <w:rPr>
                <w:rFonts w:cs="Arial"/>
                <w:szCs w:val="16"/>
              </w:rPr>
            </w:pPr>
            <w:r>
              <w:rPr>
                <w:rFonts w:cs="Arial"/>
                <w:szCs w:val="16"/>
              </w:rPr>
              <w:t>High</w:t>
            </w:r>
          </w:p>
        </w:tc>
        <w:tc>
          <w:tcPr>
            <w:tcW w:w="931" w:type="dxa"/>
            <w:vMerge w:val="restart"/>
            <w:tcBorders>
              <w:top w:val="single" w:sz="4" w:space="0" w:color="C0C0C0"/>
            </w:tcBorders>
            <w:shd w:val="clear" w:color="auto" w:fill="D9F1FF"/>
          </w:tcPr>
          <w:p w14:paraId="566BB686" w14:textId="77777777" w:rsidR="009D3DC8" w:rsidRDefault="009D3DC8">
            <w:pPr>
              <w:pStyle w:val="TableText"/>
              <w:spacing w:before="120"/>
              <w:jc w:val="center"/>
              <w:rPr>
                <w:rFonts w:cs="Arial"/>
                <w:szCs w:val="16"/>
              </w:rPr>
            </w:pPr>
            <w:r>
              <w:rPr>
                <w:rFonts w:cs="Arial"/>
                <w:szCs w:val="16"/>
              </w:rPr>
              <w:t>High</w:t>
            </w:r>
          </w:p>
        </w:tc>
        <w:tc>
          <w:tcPr>
            <w:tcW w:w="947" w:type="dxa"/>
            <w:vMerge w:val="restart"/>
            <w:tcBorders>
              <w:top w:val="single" w:sz="4" w:space="0" w:color="C0C0C0"/>
            </w:tcBorders>
            <w:shd w:val="clear" w:color="auto" w:fill="E1FFE1"/>
          </w:tcPr>
          <w:p w14:paraId="7D460A7E" w14:textId="77777777" w:rsidR="009D3DC8" w:rsidRDefault="009D3DC8">
            <w:pPr>
              <w:pStyle w:val="TableText"/>
              <w:spacing w:before="120"/>
              <w:jc w:val="center"/>
              <w:rPr>
                <w:rFonts w:cs="Arial"/>
                <w:szCs w:val="16"/>
              </w:rPr>
            </w:pPr>
            <w:r>
              <w:rPr>
                <w:rFonts w:cs="Arial"/>
                <w:szCs w:val="16"/>
              </w:rPr>
              <w:t>Moderate</w:t>
            </w:r>
          </w:p>
        </w:tc>
        <w:tc>
          <w:tcPr>
            <w:tcW w:w="704" w:type="dxa"/>
            <w:vMerge w:val="restart"/>
            <w:tcBorders>
              <w:top w:val="single" w:sz="4" w:space="0" w:color="C0C0C0"/>
            </w:tcBorders>
            <w:shd w:val="clear" w:color="auto" w:fill="FFFFC1"/>
          </w:tcPr>
          <w:p w14:paraId="030D7F7C" w14:textId="77777777" w:rsidR="009D3DC8" w:rsidRDefault="009D3DC8">
            <w:pPr>
              <w:pStyle w:val="TableText"/>
              <w:spacing w:before="120"/>
              <w:jc w:val="center"/>
              <w:rPr>
                <w:rFonts w:cs="Arial"/>
                <w:szCs w:val="16"/>
              </w:rPr>
            </w:pPr>
            <w:r>
              <w:rPr>
                <w:rFonts w:cs="Arial"/>
                <w:szCs w:val="16"/>
              </w:rPr>
              <w:t>D</w:t>
            </w:r>
          </w:p>
        </w:tc>
        <w:tc>
          <w:tcPr>
            <w:tcW w:w="539" w:type="dxa"/>
            <w:vMerge w:val="restart"/>
            <w:tcBorders>
              <w:top w:val="single" w:sz="4" w:space="0" w:color="C0C0C0"/>
            </w:tcBorders>
            <w:shd w:val="clear" w:color="auto" w:fill="FFFFC1"/>
          </w:tcPr>
          <w:p w14:paraId="37E06754" w14:textId="77777777" w:rsidR="009D3DC8" w:rsidRDefault="009D3DC8">
            <w:pPr>
              <w:pStyle w:val="TableText"/>
              <w:spacing w:before="120"/>
              <w:jc w:val="center"/>
              <w:rPr>
                <w:rFonts w:cs="Arial"/>
                <w:szCs w:val="16"/>
              </w:rPr>
            </w:pPr>
            <w:r>
              <w:rPr>
                <w:rFonts w:cs="Arial"/>
                <w:szCs w:val="16"/>
              </w:rPr>
              <w:t>B</w:t>
            </w:r>
          </w:p>
        </w:tc>
        <w:tc>
          <w:tcPr>
            <w:tcW w:w="539" w:type="dxa"/>
            <w:vMerge w:val="restart"/>
            <w:tcBorders>
              <w:top w:val="single" w:sz="4" w:space="0" w:color="C0C0C0"/>
            </w:tcBorders>
            <w:shd w:val="clear" w:color="auto" w:fill="FFFFC1"/>
          </w:tcPr>
          <w:p w14:paraId="36E8CC99" w14:textId="77777777" w:rsidR="009D3DC8" w:rsidRDefault="009D3DC8">
            <w:pPr>
              <w:pStyle w:val="TableText"/>
              <w:spacing w:before="120"/>
              <w:jc w:val="center"/>
              <w:rPr>
                <w:rFonts w:cs="Arial"/>
                <w:szCs w:val="16"/>
              </w:rPr>
            </w:pPr>
            <w:r>
              <w:rPr>
                <w:rFonts w:cs="Arial"/>
                <w:szCs w:val="16"/>
              </w:rPr>
              <w:t>D</w:t>
            </w:r>
          </w:p>
        </w:tc>
        <w:tc>
          <w:tcPr>
            <w:tcW w:w="517" w:type="dxa"/>
            <w:gridSpan w:val="2"/>
            <w:vMerge w:val="restart"/>
            <w:tcBorders>
              <w:top w:val="single" w:sz="4" w:space="0" w:color="C0C0C0"/>
            </w:tcBorders>
            <w:shd w:val="clear" w:color="auto" w:fill="FFFFC1"/>
          </w:tcPr>
          <w:p w14:paraId="1BFDD437" w14:textId="77777777" w:rsidR="009D3DC8" w:rsidRDefault="009D3DC8">
            <w:pPr>
              <w:pStyle w:val="TableText"/>
              <w:spacing w:before="120"/>
              <w:jc w:val="center"/>
              <w:rPr>
                <w:rFonts w:cs="Arial"/>
                <w:szCs w:val="16"/>
              </w:rPr>
            </w:pPr>
            <w:r>
              <w:rPr>
                <w:rFonts w:cs="Arial"/>
                <w:szCs w:val="16"/>
              </w:rPr>
              <w:t>C</w:t>
            </w:r>
          </w:p>
        </w:tc>
        <w:tc>
          <w:tcPr>
            <w:tcW w:w="563" w:type="dxa"/>
            <w:gridSpan w:val="2"/>
            <w:vMerge w:val="restart"/>
            <w:tcBorders>
              <w:top w:val="single" w:sz="4" w:space="0" w:color="C0C0C0"/>
            </w:tcBorders>
            <w:shd w:val="clear" w:color="auto" w:fill="FFFFC1"/>
          </w:tcPr>
          <w:p w14:paraId="73C2F228" w14:textId="77777777" w:rsidR="009D3DC8" w:rsidRDefault="009D3DC8">
            <w:pPr>
              <w:pStyle w:val="TableText"/>
              <w:spacing w:before="120"/>
              <w:jc w:val="center"/>
              <w:rPr>
                <w:rFonts w:cs="Arial"/>
                <w:szCs w:val="16"/>
              </w:rPr>
            </w:pPr>
            <w:r>
              <w:rPr>
                <w:rFonts w:cs="Arial"/>
                <w:szCs w:val="16"/>
              </w:rPr>
              <w:t>D</w:t>
            </w:r>
          </w:p>
        </w:tc>
        <w:tc>
          <w:tcPr>
            <w:tcW w:w="671" w:type="dxa"/>
            <w:vMerge w:val="restart"/>
            <w:tcBorders>
              <w:top w:val="single" w:sz="4" w:space="0" w:color="C0C0C0"/>
            </w:tcBorders>
            <w:shd w:val="clear" w:color="auto" w:fill="FFFFC1"/>
          </w:tcPr>
          <w:p w14:paraId="18D0E0DE" w14:textId="77777777" w:rsidR="009D3DC8" w:rsidRDefault="009D3DC8">
            <w:pPr>
              <w:pStyle w:val="TableText"/>
              <w:spacing w:before="120"/>
              <w:jc w:val="center"/>
              <w:rPr>
                <w:rFonts w:cs="Arial"/>
                <w:szCs w:val="16"/>
              </w:rPr>
            </w:pPr>
            <w:r>
              <w:rPr>
                <w:rFonts w:cs="Arial"/>
                <w:szCs w:val="16"/>
              </w:rPr>
              <w:t>B</w:t>
            </w:r>
          </w:p>
        </w:tc>
        <w:tc>
          <w:tcPr>
            <w:tcW w:w="1031" w:type="dxa"/>
            <w:vMerge w:val="restart"/>
            <w:tcBorders>
              <w:top w:val="single" w:sz="4" w:space="0" w:color="C0C0C0"/>
              <w:right w:val="single" w:sz="4" w:space="0" w:color="auto"/>
            </w:tcBorders>
            <w:shd w:val="clear" w:color="auto" w:fill="FFFFC1"/>
          </w:tcPr>
          <w:p w14:paraId="204F73B3" w14:textId="77777777" w:rsidR="009D3DC8" w:rsidRDefault="009D3DC8">
            <w:pPr>
              <w:pStyle w:val="TableText"/>
              <w:spacing w:before="120"/>
              <w:jc w:val="center"/>
              <w:rPr>
                <w:rFonts w:cs="Arial"/>
                <w:szCs w:val="16"/>
              </w:rPr>
            </w:pPr>
            <w:r>
              <w:rPr>
                <w:rFonts w:cs="Arial"/>
                <w:szCs w:val="16"/>
              </w:rPr>
              <w:t>Low</w:t>
            </w:r>
          </w:p>
        </w:tc>
        <w:tc>
          <w:tcPr>
            <w:tcW w:w="1080" w:type="dxa"/>
            <w:vMerge w:val="restart"/>
            <w:tcBorders>
              <w:top w:val="single" w:sz="4" w:space="0" w:color="C0C0C0"/>
              <w:left w:val="single" w:sz="4" w:space="0" w:color="auto"/>
              <w:right w:val="single" w:sz="4" w:space="0" w:color="auto"/>
            </w:tcBorders>
            <w:shd w:val="clear" w:color="auto" w:fill="CCFF66"/>
          </w:tcPr>
          <w:p w14:paraId="231665B5" w14:textId="77777777" w:rsidR="009D3DC8" w:rsidRDefault="009D3DC8">
            <w:pPr>
              <w:pStyle w:val="TableText"/>
              <w:spacing w:before="120"/>
              <w:jc w:val="center"/>
              <w:rPr>
                <w:rFonts w:cs="Arial"/>
                <w:b/>
                <w:szCs w:val="16"/>
              </w:rPr>
            </w:pPr>
            <w:r>
              <w:rPr>
                <w:rFonts w:cs="Arial"/>
                <w:b/>
                <w:szCs w:val="16"/>
              </w:rPr>
              <w:t>Low</w:t>
            </w:r>
          </w:p>
        </w:tc>
      </w:tr>
      <w:tr w:rsidR="009D3DC8" w14:paraId="3F7EDE66" w14:textId="77777777">
        <w:tc>
          <w:tcPr>
            <w:tcW w:w="2386" w:type="dxa"/>
            <w:tcBorders>
              <w:top w:val="single" w:sz="4" w:space="0" w:color="auto"/>
              <w:left w:val="single" w:sz="4" w:space="0" w:color="auto"/>
              <w:bottom w:val="single" w:sz="4" w:space="0" w:color="auto"/>
              <w:right w:val="single" w:sz="4" w:space="0" w:color="auto"/>
            </w:tcBorders>
          </w:tcPr>
          <w:p w14:paraId="54A63ED8" w14:textId="77777777" w:rsidR="009D3DC8" w:rsidRDefault="009D3DC8">
            <w:pPr>
              <w:pStyle w:val="TableText"/>
              <w:rPr>
                <w:rFonts w:cs="Arial"/>
                <w:szCs w:val="16"/>
              </w:rPr>
            </w:pPr>
            <w:r>
              <w:rPr>
                <w:rFonts w:cs="Arial"/>
                <w:i/>
                <w:szCs w:val="16"/>
              </w:rPr>
              <w:t>Exallomochlus hispidus</w:t>
            </w:r>
          </w:p>
        </w:tc>
        <w:tc>
          <w:tcPr>
            <w:tcW w:w="1111" w:type="dxa"/>
            <w:vMerge/>
            <w:tcBorders>
              <w:left w:val="single" w:sz="4" w:space="0" w:color="auto"/>
            </w:tcBorders>
            <w:shd w:val="clear" w:color="auto" w:fill="FFE6CD"/>
          </w:tcPr>
          <w:p w14:paraId="08C5B89E" w14:textId="77777777" w:rsidR="009D3DC8" w:rsidRDefault="009D3DC8">
            <w:pPr>
              <w:pStyle w:val="TableText1"/>
              <w:spacing w:before="120"/>
              <w:jc w:val="center"/>
              <w:rPr>
                <w:rFonts w:ascii="Arial" w:hAnsi="Arial" w:cs="Arial"/>
                <w:szCs w:val="16"/>
              </w:rPr>
            </w:pPr>
          </w:p>
        </w:tc>
        <w:tc>
          <w:tcPr>
            <w:tcW w:w="1061" w:type="dxa"/>
            <w:vMerge/>
            <w:shd w:val="clear" w:color="auto" w:fill="FFE6CD"/>
          </w:tcPr>
          <w:p w14:paraId="24483834" w14:textId="77777777" w:rsidR="009D3DC8" w:rsidRDefault="009D3DC8">
            <w:pPr>
              <w:pStyle w:val="TableText1"/>
              <w:spacing w:before="120"/>
              <w:jc w:val="center"/>
              <w:rPr>
                <w:rFonts w:ascii="Arial" w:hAnsi="Arial" w:cs="Arial"/>
                <w:szCs w:val="16"/>
              </w:rPr>
            </w:pPr>
          </w:p>
        </w:tc>
        <w:tc>
          <w:tcPr>
            <w:tcW w:w="980" w:type="dxa"/>
            <w:vMerge/>
            <w:shd w:val="clear" w:color="auto" w:fill="FFE6CD"/>
          </w:tcPr>
          <w:p w14:paraId="01A0DC37" w14:textId="77777777" w:rsidR="009D3DC8" w:rsidRDefault="009D3DC8">
            <w:pPr>
              <w:pStyle w:val="TableText1"/>
              <w:spacing w:before="120"/>
              <w:jc w:val="center"/>
              <w:rPr>
                <w:rFonts w:ascii="Arial" w:hAnsi="Arial" w:cs="Arial"/>
                <w:szCs w:val="16"/>
              </w:rPr>
            </w:pPr>
          </w:p>
        </w:tc>
        <w:tc>
          <w:tcPr>
            <w:tcW w:w="1451" w:type="dxa"/>
            <w:gridSpan w:val="2"/>
            <w:vMerge/>
            <w:shd w:val="clear" w:color="auto" w:fill="FFE7E7"/>
          </w:tcPr>
          <w:p w14:paraId="132CDBBC" w14:textId="77777777" w:rsidR="009D3DC8" w:rsidRDefault="009D3DC8">
            <w:pPr>
              <w:pStyle w:val="TableText1"/>
              <w:spacing w:before="120"/>
              <w:jc w:val="center"/>
              <w:rPr>
                <w:rFonts w:ascii="Arial" w:hAnsi="Arial" w:cs="Arial"/>
                <w:szCs w:val="16"/>
              </w:rPr>
            </w:pPr>
          </w:p>
        </w:tc>
        <w:tc>
          <w:tcPr>
            <w:tcW w:w="931" w:type="dxa"/>
            <w:vMerge/>
            <w:shd w:val="clear" w:color="auto" w:fill="D9F1FF"/>
          </w:tcPr>
          <w:p w14:paraId="3AF68627" w14:textId="77777777" w:rsidR="009D3DC8" w:rsidRDefault="009D3DC8">
            <w:pPr>
              <w:pStyle w:val="TableText1"/>
              <w:spacing w:before="120"/>
              <w:jc w:val="center"/>
              <w:rPr>
                <w:rFonts w:ascii="Arial" w:hAnsi="Arial" w:cs="Arial"/>
                <w:szCs w:val="16"/>
              </w:rPr>
            </w:pPr>
          </w:p>
        </w:tc>
        <w:tc>
          <w:tcPr>
            <w:tcW w:w="947" w:type="dxa"/>
            <w:vMerge/>
            <w:shd w:val="clear" w:color="auto" w:fill="E1FFE1"/>
          </w:tcPr>
          <w:p w14:paraId="1E8556C1" w14:textId="77777777" w:rsidR="009D3DC8" w:rsidRDefault="009D3DC8">
            <w:pPr>
              <w:pStyle w:val="TableText1"/>
              <w:spacing w:before="120"/>
              <w:jc w:val="center"/>
              <w:rPr>
                <w:rFonts w:ascii="Arial" w:hAnsi="Arial" w:cs="Arial"/>
                <w:szCs w:val="16"/>
              </w:rPr>
            </w:pPr>
          </w:p>
        </w:tc>
        <w:tc>
          <w:tcPr>
            <w:tcW w:w="704" w:type="dxa"/>
            <w:vMerge/>
            <w:shd w:val="clear" w:color="auto" w:fill="FFFFC1"/>
          </w:tcPr>
          <w:p w14:paraId="7C5DFE54"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3CF2E303"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4CFBC5BA" w14:textId="77777777" w:rsidR="009D3DC8" w:rsidRDefault="009D3DC8">
            <w:pPr>
              <w:pStyle w:val="TableText1"/>
              <w:spacing w:before="120"/>
              <w:jc w:val="center"/>
              <w:rPr>
                <w:rFonts w:ascii="Arial" w:hAnsi="Arial" w:cs="Arial"/>
                <w:szCs w:val="16"/>
              </w:rPr>
            </w:pPr>
          </w:p>
        </w:tc>
        <w:tc>
          <w:tcPr>
            <w:tcW w:w="517" w:type="dxa"/>
            <w:gridSpan w:val="2"/>
            <w:vMerge/>
            <w:shd w:val="clear" w:color="auto" w:fill="FFFFC1"/>
          </w:tcPr>
          <w:p w14:paraId="71DD5007" w14:textId="77777777" w:rsidR="009D3DC8" w:rsidRDefault="009D3DC8">
            <w:pPr>
              <w:pStyle w:val="TableText1"/>
              <w:spacing w:before="120"/>
              <w:jc w:val="center"/>
              <w:rPr>
                <w:rFonts w:ascii="Arial" w:hAnsi="Arial" w:cs="Arial"/>
                <w:szCs w:val="16"/>
              </w:rPr>
            </w:pPr>
          </w:p>
        </w:tc>
        <w:tc>
          <w:tcPr>
            <w:tcW w:w="563" w:type="dxa"/>
            <w:gridSpan w:val="2"/>
            <w:vMerge/>
            <w:shd w:val="clear" w:color="auto" w:fill="FFFFC1"/>
          </w:tcPr>
          <w:p w14:paraId="5254061E" w14:textId="77777777" w:rsidR="009D3DC8" w:rsidRDefault="009D3DC8">
            <w:pPr>
              <w:pStyle w:val="TableText1"/>
              <w:spacing w:before="120"/>
              <w:jc w:val="center"/>
              <w:rPr>
                <w:rFonts w:ascii="Arial" w:hAnsi="Arial" w:cs="Arial"/>
                <w:szCs w:val="16"/>
              </w:rPr>
            </w:pPr>
          </w:p>
        </w:tc>
        <w:tc>
          <w:tcPr>
            <w:tcW w:w="671" w:type="dxa"/>
            <w:vMerge/>
            <w:shd w:val="clear" w:color="auto" w:fill="FFFFC1"/>
          </w:tcPr>
          <w:p w14:paraId="7C7B8430"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tcPr>
          <w:p w14:paraId="298B16BB"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tcPr>
          <w:p w14:paraId="57F3CFFC" w14:textId="77777777" w:rsidR="009D3DC8" w:rsidRDefault="009D3DC8">
            <w:pPr>
              <w:pStyle w:val="TableText1"/>
              <w:spacing w:before="120"/>
              <w:jc w:val="center"/>
              <w:rPr>
                <w:rFonts w:ascii="Arial" w:hAnsi="Arial" w:cs="Arial"/>
                <w:b/>
                <w:szCs w:val="16"/>
              </w:rPr>
            </w:pPr>
          </w:p>
        </w:tc>
      </w:tr>
      <w:tr w:rsidR="009D3DC8" w14:paraId="57ACDC72" w14:textId="77777777">
        <w:tc>
          <w:tcPr>
            <w:tcW w:w="2386" w:type="dxa"/>
            <w:tcBorders>
              <w:top w:val="single" w:sz="4" w:space="0" w:color="auto"/>
              <w:left w:val="single" w:sz="4" w:space="0" w:color="auto"/>
              <w:bottom w:val="single" w:sz="4" w:space="0" w:color="auto"/>
              <w:right w:val="single" w:sz="4" w:space="0" w:color="auto"/>
            </w:tcBorders>
          </w:tcPr>
          <w:p w14:paraId="0126BF75" w14:textId="77777777" w:rsidR="009D3DC8" w:rsidRDefault="009D3DC8">
            <w:pPr>
              <w:pStyle w:val="TableText"/>
              <w:rPr>
                <w:rFonts w:cs="Arial"/>
                <w:szCs w:val="16"/>
              </w:rPr>
            </w:pPr>
            <w:r>
              <w:rPr>
                <w:rFonts w:cs="Arial"/>
                <w:i/>
                <w:szCs w:val="16"/>
              </w:rPr>
              <w:t>Hordeolicoccus heterotrichus</w:t>
            </w:r>
          </w:p>
        </w:tc>
        <w:tc>
          <w:tcPr>
            <w:tcW w:w="1111" w:type="dxa"/>
            <w:vMerge/>
            <w:tcBorders>
              <w:left w:val="single" w:sz="4" w:space="0" w:color="auto"/>
            </w:tcBorders>
            <w:shd w:val="clear" w:color="auto" w:fill="FFE6CD"/>
          </w:tcPr>
          <w:p w14:paraId="468B9B29" w14:textId="77777777" w:rsidR="009D3DC8" w:rsidRDefault="009D3DC8">
            <w:pPr>
              <w:pStyle w:val="TableText1"/>
              <w:spacing w:before="120"/>
              <w:jc w:val="center"/>
              <w:rPr>
                <w:rFonts w:ascii="Arial" w:hAnsi="Arial" w:cs="Arial"/>
                <w:szCs w:val="16"/>
              </w:rPr>
            </w:pPr>
          </w:p>
        </w:tc>
        <w:tc>
          <w:tcPr>
            <w:tcW w:w="1061" w:type="dxa"/>
            <w:vMerge/>
            <w:shd w:val="clear" w:color="auto" w:fill="FFE6CD"/>
          </w:tcPr>
          <w:p w14:paraId="74CC3B73" w14:textId="77777777" w:rsidR="009D3DC8" w:rsidRDefault="009D3DC8">
            <w:pPr>
              <w:pStyle w:val="TableText1"/>
              <w:spacing w:before="120"/>
              <w:jc w:val="center"/>
              <w:rPr>
                <w:rFonts w:ascii="Arial" w:hAnsi="Arial" w:cs="Arial"/>
                <w:szCs w:val="16"/>
              </w:rPr>
            </w:pPr>
          </w:p>
        </w:tc>
        <w:tc>
          <w:tcPr>
            <w:tcW w:w="980" w:type="dxa"/>
            <w:vMerge/>
            <w:shd w:val="clear" w:color="auto" w:fill="FFE6CD"/>
          </w:tcPr>
          <w:p w14:paraId="5A11A1FD" w14:textId="77777777" w:rsidR="009D3DC8" w:rsidRDefault="009D3DC8">
            <w:pPr>
              <w:pStyle w:val="TableText1"/>
              <w:spacing w:before="120"/>
              <w:jc w:val="center"/>
              <w:rPr>
                <w:rFonts w:ascii="Arial" w:hAnsi="Arial" w:cs="Arial"/>
                <w:szCs w:val="16"/>
              </w:rPr>
            </w:pPr>
          </w:p>
        </w:tc>
        <w:tc>
          <w:tcPr>
            <w:tcW w:w="1451" w:type="dxa"/>
            <w:gridSpan w:val="2"/>
            <w:vMerge/>
            <w:shd w:val="clear" w:color="auto" w:fill="FFE7E7"/>
          </w:tcPr>
          <w:p w14:paraId="71804072" w14:textId="77777777" w:rsidR="009D3DC8" w:rsidRDefault="009D3DC8">
            <w:pPr>
              <w:pStyle w:val="TableText1"/>
              <w:spacing w:before="120"/>
              <w:jc w:val="center"/>
              <w:rPr>
                <w:rFonts w:ascii="Arial" w:hAnsi="Arial" w:cs="Arial"/>
                <w:szCs w:val="16"/>
              </w:rPr>
            </w:pPr>
          </w:p>
        </w:tc>
        <w:tc>
          <w:tcPr>
            <w:tcW w:w="931" w:type="dxa"/>
            <w:vMerge/>
            <w:shd w:val="clear" w:color="auto" w:fill="D9F1FF"/>
          </w:tcPr>
          <w:p w14:paraId="603557F0" w14:textId="77777777" w:rsidR="009D3DC8" w:rsidRDefault="009D3DC8">
            <w:pPr>
              <w:pStyle w:val="TableText1"/>
              <w:spacing w:before="120"/>
              <w:jc w:val="center"/>
              <w:rPr>
                <w:rFonts w:ascii="Arial" w:hAnsi="Arial" w:cs="Arial"/>
                <w:szCs w:val="16"/>
              </w:rPr>
            </w:pPr>
          </w:p>
        </w:tc>
        <w:tc>
          <w:tcPr>
            <w:tcW w:w="947" w:type="dxa"/>
            <w:vMerge/>
            <w:shd w:val="clear" w:color="auto" w:fill="E1FFE1"/>
          </w:tcPr>
          <w:p w14:paraId="797B7C35" w14:textId="77777777" w:rsidR="009D3DC8" w:rsidRDefault="009D3DC8">
            <w:pPr>
              <w:pStyle w:val="TableText1"/>
              <w:spacing w:before="120"/>
              <w:jc w:val="center"/>
              <w:rPr>
                <w:rFonts w:ascii="Arial" w:hAnsi="Arial" w:cs="Arial"/>
                <w:szCs w:val="16"/>
              </w:rPr>
            </w:pPr>
          </w:p>
        </w:tc>
        <w:tc>
          <w:tcPr>
            <w:tcW w:w="704" w:type="dxa"/>
            <w:vMerge/>
            <w:shd w:val="clear" w:color="auto" w:fill="FFFFC1"/>
          </w:tcPr>
          <w:p w14:paraId="1158FE49"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1E1FE1E8"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482A3B47" w14:textId="77777777" w:rsidR="009D3DC8" w:rsidRDefault="009D3DC8">
            <w:pPr>
              <w:pStyle w:val="TableText1"/>
              <w:spacing w:before="120"/>
              <w:jc w:val="center"/>
              <w:rPr>
                <w:rFonts w:ascii="Arial" w:hAnsi="Arial" w:cs="Arial"/>
                <w:szCs w:val="16"/>
              </w:rPr>
            </w:pPr>
          </w:p>
        </w:tc>
        <w:tc>
          <w:tcPr>
            <w:tcW w:w="517" w:type="dxa"/>
            <w:gridSpan w:val="2"/>
            <w:vMerge/>
            <w:shd w:val="clear" w:color="auto" w:fill="FFFFC1"/>
          </w:tcPr>
          <w:p w14:paraId="1730DCE6" w14:textId="77777777" w:rsidR="009D3DC8" w:rsidRDefault="009D3DC8">
            <w:pPr>
              <w:pStyle w:val="TableText1"/>
              <w:spacing w:before="120"/>
              <w:jc w:val="center"/>
              <w:rPr>
                <w:rFonts w:ascii="Arial" w:hAnsi="Arial" w:cs="Arial"/>
                <w:szCs w:val="16"/>
              </w:rPr>
            </w:pPr>
          </w:p>
        </w:tc>
        <w:tc>
          <w:tcPr>
            <w:tcW w:w="563" w:type="dxa"/>
            <w:gridSpan w:val="2"/>
            <w:vMerge/>
            <w:shd w:val="clear" w:color="auto" w:fill="FFFFC1"/>
          </w:tcPr>
          <w:p w14:paraId="48972FAE" w14:textId="77777777" w:rsidR="009D3DC8" w:rsidRDefault="009D3DC8">
            <w:pPr>
              <w:pStyle w:val="TableText1"/>
              <w:spacing w:before="120"/>
              <w:jc w:val="center"/>
              <w:rPr>
                <w:rFonts w:ascii="Arial" w:hAnsi="Arial" w:cs="Arial"/>
                <w:szCs w:val="16"/>
              </w:rPr>
            </w:pPr>
          </w:p>
        </w:tc>
        <w:tc>
          <w:tcPr>
            <w:tcW w:w="671" w:type="dxa"/>
            <w:vMerge/>
            <w:shd w:val="clear" w:color="auto" w:fill="FFFFC1"/>
          </w:tcPr>
          <w:p w14:paraId="6B0D1507"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tcPr>
          <w:p w14:paraId="6FECA02E"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tcPr>
          <w:p w14:paraId="63CA019D" w14:textId="77777777" w:rsidR="009D3DC8" w:rsidRDefault="009D3DC8">
            <w:pPr>
              <w:pStyle w:val="TableText1"/>
              <w:spacing w:before="120"/>
              <w:jc w:val="center"/>
              <w:rPr>
                <w:rFonts w:ascii="Arial" w:hAnsi="Arial" w:cs="Arial"/>
                <w:b/>
                <w:szCs w:val="16"/>
              </w:rPr>
            </w:pPr>
          </w:p>
        </w:tc>
      </w:tr>
      <w:tr w:rsidR="009D3DC8" w14:paraId="14251307" w14:textId="77777777">
        <w:tc>
          <w:tcPr>
            <w:tcW w:w="2386" w:type="dxa"/>
            <w:tcBorders>
              <w:top w:val="single" w:sz="4" w:space="0" w:color="auto"/>
              <w:left w:val="single" w:sz="4" w:space="0" w:color="auto"/>
              <w:bottom w:val="single" w:sz="4" w:space="0" w:color="auto"/>
              <w:right w:val="single" w:sz="4" w:space="0" w:color="auto"/>
            </w:tcBorders>
          </w:tcPr>
          <w:p w14:paraId="1D91D749" w14:textId="77777777" w:rsidR="009D3DC8" w:rsidRDefault="009D3DC8">
            <w:pPr>
              <w:pStyle w:val="TableText"/>
              <w:rPr>
                <w:rFonts w:cs="Arial"/>
                <w:szCs w:val="16"/>
              </w:rPr>
            </w:pPr>
            <w:r>
              <w:rPr>
                <w:rFonts w:cs="Arial"/>
                <w:i/>
                <w:szCs w:val="16"/>
              </w:rPr>
              <w:t>Paracoccus interceptus</w:t>
            </w:r>
          </w:p>
        </w:tc>
        <w:tc>
          <w:tcPr>
            <w:tcW w:w="1111" w:type="dxa"/>
            <w:vMerge/>
            <w:tcBorders>
              <w:left w:val="single" w:sz="4" w:space="0" w:color="auto"/>
            </w:tcBorders>
            <w:shd w:val="clear" w:color="auto" w:fill="FFE6CD"/>
          </w:tcPr>
          <w:p w14:paraId="7EFCC523" w14:textId="77777777" w:rsidR="009D3DC8" w:rsidRDefault="009D3DC8">
            <w:pPr>
              <w:pStyle w:val="TableText1"/>
              <w:spacing w:before="120"/>
              <w:jc w:val="center"/>
              <w:rPr>
                <w:rFonts w:ascii="Arial" w:hAnsi="Arial" w:cs="Arial"/>
                <w:szCs w:val="16"/>
              </w:rPr>
            </w:pPr>
          </w:p>
        </w:tc>
        <w:tc>
          <w:tcPr>
            <w:tcW w:w="1061" w:type="dxa"/>
            <w:vMerge/>
            <w:shd w:val="clear" w:color="auto" w:fill="FFE6CD"/>
          </w:tcPr>
          <w:p w14:paraId="4223C3B4" w14:textId="77777777" w:rsidR="009D3DC8" w:rsidRDefault="009D3DC8">
            <w:pPr>
              <w:pStyle w:val="TableText1"/>
              <w:spacing w:before="120"/>
              <w:jc w:val="center"/>
              <w:rPr>
                <w:rFonts w:ascii="Arial" w:hAnsi="Arial" w:cs="Arial"/>
                <w:szCs w:val="16"/>
              </w:rPr>
            </w:pPr>
          </w:p>
        </w:tc>
        <w:tc>
          <w:tcPr>
            <w:tcW w:w="980" w:type="dxa"/>
            <w:vMerge/>
            <w:shd w:val="clear" w:color="auto" w:fill="FFE6CD"/>
          </w:tcPr>
          <w:p w14:paraId="7117B11F" w14:textId="77777777" w:rsidR="009D3DC8" w:rsidRDefault="009D3DC8">
            <w:pPr>
              <w:pStyle w:val="TableText1"/>
              <w:spacing w:before="120"/>
              <w:jc w:val="center"/>
              <w:rPr>
                <w:rFonts w:ascii="Arial" w:hAnsi="Arial" w:cs="Arial"/>
                <w:szCs w:val="16"/>
              </w:rPr>
            </w:pPr>
          </w:p>
        </w:tc>
        <w:tc>
          <w:tcPr>
            <w:tcW w:w="1451" w:type="dxa"/>
            <w:gridSpan w:val="2"/>
            <w:vMerge/>
            <w:shd w:val="clear" w:color="auto" w:fill="FFE7E7"/>
          </w:tcPr>
          <w:p w14:paraId="34F2DF35" w14:textId="77777777" w:rsidR="009D3DC8" w:rsidRDefault="009D3DC8">
            <w:pPr>
              <w:pStyle w:val="TableText1"/>
              <w:spacing w:before="120"/>
              <w:jc w:val="center"/>
              <w:rPr>
                <w:rFonts w:ascii="Arial" w:hAnsi="Arial" w:cs="Arial"/>
                <w:szCs w:val="16"/>
              </w:rPr>
            </w:pPr>
          </w:p>
        </w:tc>
        <w:tc>
          <w:tcPr>
            <w:tcW w:w="931" w:type="dxa"/>
            <w:vMerge/>
            <w:shd w:val="clear" w:color="auto" w:fill="D9F1FF"/>
          </w:tcPr>
          <w:p w14:paraId="6469D249" w14:textId="77777777" w:rsidR="009D3DC8" w:rsidRDefault="009D3DC8">
            <w:pPr>
              <w:pStyle w:val="TableText1"/>
              <w:spacing w:before="120"/>
              <w:jc w:val="center"/>
              <w:rPr>
                <w:rFonts w:ascii="Arial" w:hAnsi="Arial" w:cs="Arial"/>
                <w:szCs w:val="16"/>
              </w:rPr>
            </w:pPr>
          </w:p>
        </w:tc>
        <w:tc>
          <w:tcPr>
            <w:tcW w:w="947" w:type="dxa"/>
            <w:vMerge/>
            <w:shd w:val="clear" w:color="auto" w:fill="E1FFE1"/>
          </w:tcPr>
          <w:p w14:paraId="4AB53926" w14:textId="77777777" w:rsidR="009D3DC8" w:rsidRDefault="009D3DC8">
            <w:pPr>
              <w:pStyle w:val="TableText1"/>
              <w:spacing w:before="120"/>
              <w:jc w:val="center"/>
              <w:rPr>
                <w:rFonts w:ascii="Arial" w:hAnsi="Arial" w:cs="Arial"/>
                <w:szCs w:val="16"/>
              </w:rPr>
            </w:pPr>
          </w:p>
        </w:tc>
        <w:tc>
          <w:tcPr>
            <w:tcW w:w="704" w:type="dxa"/>
            <w:vMerge/>
            <w:shd w:val="clear" w:color="auto" w:fill="FFFFC1"/>
          </w:tcPr>
          <w:p w14:paraId="255E3F99"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2BBA8D6D"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2ED054F5" w14:textId="77777777" w:rsidR="009D3DC8" w:rsidRDefault="009D3DC8">
            <w:pPr>
              <w:pStyle w:val="TableText1"/>
              <w:spacing w:before="120"/>
              <w:jc w:val="center"/>
              <w:rPr>
                <w:rFonts w:ascii="Arial" w:hAnsi="Arial" w:cs="Arial"/>
                <w:szCs w:val="16"/>
              </w:rPr>
            </w:pPr>
          </w:p>
        </w:tc>
        <w:tc>
          <w:tcPr>
            <w:tcW w:w="517" w:type="dxa"/>
            <w:gridSpan w:val="2"/>
            <w:vMerge/>
            <w:shd w:val="clear" w:color="auto" w:fill="FFFFC1"/>
          </w:tcPr>
          <w:p w14:paraId="095803FD" w14:textId="77777777" w:rsidR="009D3DC8" w:rsidRDefault="009D3DC8">
            <w:pPr>
              <w:pStyle w:val="TableText1"/>
              <w:spacing w:before="120"/>
              <w:jc w:val="center"/>
              <w:rPr>
                <w:rFonts w:ascii="Arial" w:hAnsi="Arial" w:cs="Arial"/>
                <w:szCs w:val="16"/>
              </w:rPr>
            </w:pPr>
          </w:p>
        </w:tc>
        <w:tc>
          <w:tcPr>
            <w:tcW w:w="563" w:type="dxa"/>
            <w:gridSpan w:val="2"/>
            <w:vMerge/>
            <w:shd w:val="clear" w:color="auto" w:fill="FFFFC1"/>
          </w:tcPr>
          <w:p w14:paraId="109DB13E" w14:textId="77777777" w:rsidR="009D3DC8" w:rsidRDefault="009D3DC8">
            <w:pPr>
              <w:pStyle w:val="TableText1"/>
              <w:spacing w:before="120"/>
              <w:jc w:val="center"/>
              <w:rPr>
                <w:rFonts w:ascii="Arial" w:hAnsi="Arial" w:cs="Arial"/>
                <w:szCs w:val="16"/>
              </w:rPr>
            </w:pPr>
          </w:p>
        </w:tc>
        <w:tc>
          <w:tcPr>
            <w:tcW w:w="671" w:type="dxa"/>
            <w:vMerge/>
            <w:shd w:val="clear" w:color="auto" w:fill="FFFFC1"/>
          </w:tcPr>
          <w:p w14:paraId="0CA55112"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tcPr>
          <w:p w14:paraId="3D23E632"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tcPr>
          <w:p w14:paraId="2542F105" w14:textId="77777777" w:rsidR="009D3DC8" w:rsidRDefault="009D3DC8">
            <w:pPr>
              <w:pStyle w:val="TableText1"/>
              <w:spacing w:before="120"/>
              <w:jc w:val="center"/>
              <w:rPr>
                <w:rFonts w:ascii="Arial" w:hAnsi="Arial" w:cs="Arial"/>
                <w:b/>
                <w:szCs w:val="16"/>
              </w:rPr>
            </w:pPr>
          </w:p>
        </w:tc>
      </w:tr>
      <w:tr w:rsidR="009D3DC8" w14:paraId="3B7EF7F8" w14:textId="77777777">
        <w:tc>
          <w:tcPr>
            <w:tcW w:w="2386" w:type="dxa"/>
            <w:tcBorders>
              <w:top w:val="single" w:sz="4" w:space="0" w:color="auto"/>
              <w:left w:val="single" w:sz="4" w:space="0" w:color="auto"/>
              <w:bottom w:val="single" w:sz="4" w:space="0" w:color="auto"/>
              <w:right w:val="single" w:sz="4" w:space="0" w:color="auto"/>
            </w:tcBorders>
          </w:tcPr>
          <w:p w14:paraId="6D57AE96" w14:textId="77777777" w:rsidR="009D3DC8" w:rsidRDefault="009D3DC8">
            <w:pPr>
              <w:pStyle w:val="TableText"/>
              <w:rPr>
                <w:rFonts w:cs="Arial"/>
                <w:szCs w:val="16"/>
              </w:rPr>
            </w:pPr>
            <w:r>
              <w:rPr>
                <w:rFonts w:cs="Arial"/>
                <w:i/>
                <w:szCs w:val="16"/>
              </w:rPr>
              <w:t>Paraputo odontomachi</w:t>
            </w:r>
          </w:p>
        </w:tc>
        <w:tc>
          <w:tcPr>
            <w:tcW w:w="1111" w:type="dxa"/>
            <w:vMerge/>
            <w:tcBorders>
              <w:left w:val="single" w:sz="4" w:space="0" w:color="auto"/>
            </w:tcBorders>
            <w:shd w:val="clear" w:color="auto" w:fill="FFE6CD"/>
          </w:tcPr>
          <w:p w14:paraId="57D18F6D" w14:textId="77777777" w:rsidR="009D3DC8" w:rsidRDefault="009D3DC8">
            <w:pPr>
              <w:pStyle w:val="TableText1"/>
              <w:spacing w:before="120"/>
              <w:jc w:val="center"/>
              <w:rPr>
                <w:rFonts w:ascii="Arial" w:hAnsi="Arial" w:cs="Arial"/>
                <w:szCs w:val="16"/>
              </w:rPr>
            </w:pPr>
          </w:p>
        </w:tc>
        <w:tc>
          <w:tcPr>
            <w:tcW w:w="1061" w:type="dxa"/>
            <w:vMerge/>
            <w:shd w:val="clear" w:color="auto" w:fill="FFE6CD"/>
          </w:tcPr>
          <w:p w14:paraId="1D7827D5" w14:textId="77777777" w:rsidR="009D3DC8" w:rsidRDefault="009D3DC8">
            <w:pPr>
              <w:pStyle w:val="TableText1"/>
              <w:spacing w:before="120"/>
              <w:jc w:val="center"/>
              <w:rPr>
                <w:rFonts w:ascii="Arial" w:hAnsi="Arial" w:cs="Arial"/>
                <w:szCs w:val="16"/>
              </w:rPr>
            </w:pPr>
          </w:p>
        </w:tc>
        <w:tc>
          <w:tcPr>
            <w:tcW w:w="980" w:type="dxa"/>
            <w:vMerge/>
            <w:shd w:val="clear" w:color="auto" w:fill="FFE6CD"/>
          </w:tcPr>
          <w:p w14:paraId="259CEB0D" w14:textId="77777777" w:rsidR="009D3DC8" w:rsidRDefault="009D3DC8">
            <w:pPr>
              <w:pStyle w:val="TableText1"/>
              <w:spacing w:before="120"/>
              <w:jc w:val="center"/>
              <w:rPr>
                <w:rFonts w:ascii="Arial" w:hAnsi="Arial" w:cs="Arial"/>
                <w:szCs w:val="16"/>
              </w:rPr>
            </w:pPr>
          </w:p>
        </w:tc>
        <w:tc>
          <w:tcPr>
            <w:tcW w:w="1451" w:type="dxa"/>
            <w:gridSpan w:val="2"/>
            <w:vMerge/>
            <w:shd w:val="clear" w:color="auto" w:fill="FFE7E7"/>
          </w:tcPr>
          <w:p w14:paraId="0FF20EF1" w14:textId="77777777" w:rsidR="009D3DC8" w:rsidRDefault="009D3DC8">
            <w:pPr>
              <w:pStyle w:val="TableText1"/>
              <w:spacing w:before="120"/>
              <w:jc w:val="center"/>
              <w:rPr>
                <w:rFonts w:ascii="Arial" w:hAnsi="Arial" w:cs="Arial"/>
                <w:szCs w:val="16"/>
              </w:rPr>
            </w:pPr>
          </w:p>
        </w:tc>
        <w:tc>
          <w:tcPr>
            <w:tcW w:w="931" w:type="dxa"/>
            <w:vMerge/>
            <w:shd w:val="clear" w:color="auto" w:fill="D9F1FF"/>
          </w:tcPr>
          <w:p w14:paraId="5433F663" w14:textId="77777777" w:rsidR="009D3DC8" w:rsidRDefault="009D3DC8">
            <w:pPr>
              <w:pStyle w:val="TableText1"/>
              <w:spacing w:before="120"/>
              <w:jc w:val="center"/>
              <w:rPr>
                <w:rFonts w:ascii="Arial" w:hAnsi="Arial" w:cs="Arial"/>
                <w:szCs w:val="16"/>
              </w:rPr>
            </w:pPr>
          </w:p>
        </w:tc>
        <w:tc>
          <w:tcPr>
            <w:tcW w:w="947" w:type="dxa"/>
            <w:vMerge/>
            <w:shd w:val="clear" w:color="auto" w:fill="E1FFE1"/>
          </w:tcPr>
          <w:p w14:paraId="68800EB3" w14:textId="77777777" w:rsidR="009D3DC8" w:rsidRDefault="009D3DC8">
            <w:pPr>
              <w:pStyle w:val="TableText1"/>
              <w:spacing w:before="120"/>
              <w:jc w:val="center"/>
              <w:rPr>
                <w:rFonts w:ascii="Arial" w:hAnsi="Arial" w:cs="Arial"/>
                <w:szCs w:val="16"/>
              </w:rPr>
            </w:pPr>
          </w:p>
        </w:tc>
        <w:tc>
          <w:tcPr>
            <w:tcW w:w="704" w:type="dxa"/>
            <w:vMerge/>
            <w:shd w:val="clear" w:color="auto" w:fill="FFFFC1"/>
          </w:tcPr>
          <w:p w14:paraId="13C0E7F5"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6A8F704D"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1BD4330F" w14:textId="77777777" w:rsidR="009D3DC8" w:rsidRDefault="009D3DC8">
            <w:pPr>
              <w:pStyle w:val="TableText1"/>
              <w:spacing w:before="120"/>
              <w:jc w:val="center"/>
              <w:rPr>
                <w:rFonts w:ascii="Arial" w:hAnsi="Arial" w:cs="Arial"/>
                <w:szCs w:val="16"/>
              </w:rPr>
            </w:pPr>
          </w:p>
        </w:tc>
        <w:tc>
          <w:tcPr>
            <w:tcW w:w="517" w:type="dxa"/>
            <w:gridSpan w:val="2"/>
            <w:vMerge/>
            <w:shd w:val="clear" w:color="auto" w:fill="FFFFC1"/>
          </w:tcPr>
          <w:p w14:paraId="36B78E4E" w14:textId="77777777" w:rsidR="009D3DC8" w:rsidRDefault="009D3DC8">
            <w:pPr>
              <w:pStyle w:val="TableText1"/>
              <w:spacing w:before="120"/>
              <w:jc w:val="center"/>
              <w:rPr>
                <w:rFonts w:ascii="Arial" w:hAnsi="Arial" w:cs="Arial"/>
                <w:szCs w:val="16"/>
              </w:rPr>
            </w:pPr>
          </w:p>
        </w:tc>
        <w:tc>
          <w:tcPr>
            <w:tcW w:w="563" w:type="dxa"/>
            <w:gridSpan w:val="2"/>
            <w:vMerge/>
            <w:shd w:val="clear" w:color="auto" w:fill="FFFFC1"/>
          </w:tcPr>
          <w:p w14:paraId="3ADB2798" w14:textId="77777777" w:rsidR="009D3DC8" w:rsidRDefault="009D3DC8">
            <w:pPr>
              <w:pStyle w:val="TableText1"/>
              <w:spacing w:before="120"/>
              <w:jc w:val="center"/>
              <w:rPr>
                <w:rFonts w:ascii="Arial" w:hAnsi="Arial" w:cs="Arial"/>
                <w:szCs w:val="16"/>
              </w:rPr>
            </w:pPr>
          </w:p>
        </w:tc>
        <w:tc>
          <w:tcPr>
            <w:tcW w:w="671" w:type="dxa"/>
            <w:vMerge/>
            <w:shd w:val="clear" w:color="auto" w:fill="FFFFC1"/>
          </w:tcPr>
          <w:p w14:paraId="048AC338"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tcPr>
          <w:p w14:paraId="5A6FFC61"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tcPr>
          <w:p w14:paraId="1532088E" w14:textId="77777777" w:rsidR="009D3DC8" w:rsidRDefault="009D3DC8">
            <w:pPr>
              <w:pStyle w:val="TableText1"/>
              <w:spacing w:before="120"/>
              <w:jc w:val="center"/>
              <w:rPr>
                <w:rFonts w:ascii="Arial" w:hAnsi="Arial" w:cs="Arial"/>
                <w:b/>
                <w:szCs w:val="16"/>
              </w:rPr>
            </w:pPr>
          </w:p>
        </w:tc>
      </w:tr>
      <w:tr w:rsidR="009D3DC8" w14:paraId="14F53BA9" w14:textId="77777777">
        <w:tc>
          <w:tcPr>
            <w:tcW w:w="2386" w:type="dxa"/>
            <w:tcBorders>
              <w:top w:val="single" w:sz="4" w:space="0" w:color="auto"/>
              <w:left w:val="single" w:sz="4" w:space="0" w:color="auto"/>
              <w:bottom w:val="single" w:sz="4" w:space="0" w:color="auto"/>
              <w:right w:val="single" w:sz="4" w:space="0" w:color="auto"/>
            </w:tcBorders>
          </w:tcPr>
          <w:p w14:paraId="10FBAA68" w14:textId="77777777" w:rsidR="009D3DC8" w:rsidRDefault="009D3DC8">
            <w:pPr>
              <w:pStyle w:val="TableText"/>
              <w:rPr>
                <w:rFonts w:cs="Arial"/>
                <w:szCs w:val="16"/>
              </w:rPr>
            </w:pPr>
            <w:r>
              <w:rPr>
                <w:rFonts w:cs="Arial"/>
                <w:i/>
                <w:szCs w:val="16"/>
              </w:rPr>
              <w:lastRenderedPageBreak/>
              <w:t xml:space="preserve">Planococcus lilacinus </w:t>
            </w:r>
            <w:r>
              <w:rPr>
                <w:rFonts w:cs="Arial"/>
                <w:b/>
                <w:szCs w:val="16"/>
                <w:vertAlign w:val="superscript"/>
              </w:rPr>
              <w:t>EP</w:t>
            </w:r>
          </w:p>
        </w:tc>
        <w:tc>
          <w:tcPr>
            <w:tcW w:w="1111" w:type="dxa"/>
            <w:vMerge/>
            <w:tcBorders>
              <w:left w:val="single" w:sz="4" w:space="0" w:color="auto"/>
              <w:bottom w:val="single" w:sz="4" w:space="0" w:color="auto"/>
            </w:tcBorders>
            <w:shd w:val="clear" w:color="auto" w:fill="FFE6CD"/>
          </w:tcPr>
          <w:p w14:paraId="21C50BEF" w14:textId="77777777" w:rsidR="009D3DC8" w:rsidRDefault="009D3DC8">
            <w:pPr>
              <w:pStyle w:val="TableText1"/>
              <w:spacing w:before="120"/>
              <w:jc w:val="center"/>
              <w:rPr>
                <w:rFonts w:ascii="Arial" w:hAnsi="Arial" w:cs="Arial"/>
                <w:szCs w:val="16"/>
              </w:rPr>
            </w:pPr>
          </w:p>
        </w:tc>
        <w:tc>
          <w:tcPr>
            <w:tcW w:w="1061" w:type="dxa"/>
            <w:vMerge/>
            <w:tcBorders>
              <w:bottom w:val="single" w:sz="4" w:space="0" w:color="auto"/>
            </w:tcBorders>
            <w:shd w:val="clear" w:color="auto" w:fill="FFE6CD"/>
          </w:tcPr>
          <w:p w14:paraId="1F67937D" w14:textId="77777777" w:rsidR="009D3DC8" w:rsidRDefault="009D3DC8">
            <w:pPr>
              <w:pStyle w:val="TableText1"/>
              <w:spacing w:before="120"/>
              <w:jc w:val="center"/>
              <w:rPr>
                <w:rFonts w:ascii="Arial" w:hAnsi="Arial" w:cs="Arial"/>
                <w:szCs w:val="16"/>
              </w:rPr>
            </w:pPr>
          </w:p>
        </w:tc>
        <w:tc>
          <w:tcPr>
            <w:tcW w:w="980" w:type="dxa"/>
            <w:vMerge/>
            <w:tcBorders>
              <w:bottom w:val="single" w:sz="4" w:space="0" w:color="auto"/>
            </w:tcBorders>
            <w:shd w:val="clear" w:color="auto" w:fill="FFE6CD"/>
          </w:tcPr>
          <w:p w14:paraId="6391D6B5" w14:textId="77777777" w:rsidR="009D3DC8" w:rsidRDefault="009D3DC8">
            <w:pPr>
              <w:pStyle w:val="TableText1"/>
              <w:spacing w:before="120"/>
              <w:jc w:val="center"/>
              <w:rPr>
                <w:rFonts w:ascii="Arial" w:hAnsi="Arial" w:cs="Arial"/>
                <w:szCs w:val="16"/>
              </w:rPr>
            </w:pPr>
          </w:p>
        </w:tc>
        <w:tc>
          <w:tcPr>
            <w:tcW w:w="1451" w:type="dxa"/>
            <w:gridSpan w:val="2"/>
            <w:vMerge/>
            <w:tcBorders>
              <w:bottom w:val="single" w:sz="4" w:space="0" w:color="auto"/>
            </w:tcBorders>
            <w:shd w:val="clear" w:color="auto" w:fill="FFE7E7"/>
          </w:tcPr>
          <w:p w14:paraId="6CE6D5B6" w14:textId="77777777" w:rsidR="009D3DC8" w:rsidRDefault="009D3DC8">
            <w:pPr>
              <w:pStyle w:val="TableText1"/>
              <w:spacing w:before="120"/>
              <w:jc w:val="center"/>
              <w:rPr>
                <w:rFonts w:ascii="Arial" w:hAnsi="Arial" w:cs="Arial"/>
                <w:szCs w:val="16"/>
              </w:rPr>
            </w:pPr>
          </w:p>
        </w:tc>
        <w:tc>
          <w:tcPr>
            <w:tcW w:w="931" w:type="dxa"/>
            <w:vMerge/>
            <w:tcBorders>
              <w:bottom w:val="single" w:sz="4" w:space="0" w:color="auto"/>
            </w:tcBorders>
            <w:shd w:val="clear" w:color="auto" w:fill="D9F1FF"/>
          </w:tcPr>
          <w:p w14:paraId="6EA19FE6" w14:textId="77777777" w:rsidR="009D3DC8" w:rsidRDefault="009D3DC8">
            <w:pPr>
              <w:pStyle w:val="TableText1"/>
              <w:spacing w:before="120"/>
              <w:jc w:val="center"/>
              <w:rPr>
                <w:rFonts w:ascii="Arial" w:hAnsi="Arial" w:cs="Arial"/>
                <w:szCs w:val="16"/>
              </w:rPr>
            </w:pPr>
          </w:p>
        </w:tc>
        <w:tc>
          <w:tcPr>
            <w:tcW w:w="947" w:type="dxa"/>
            <w:vMerge/>
            <w:tcBorders>
              <w:bottom w:val="single" w:sz="4" w:space="0" w:color="auto"/>
            </w:tcBorders>
            <w:shd w:val="clear" w:color="auto" w:fill="E1FFE1"/>
          </w:tcPr>
          <w:p w14:paraId="49803344" w14:textId="77777777" w:rsidR="009D3DC8" w:rsidRDefault="009D3DC8">
            <w:pPr>
              <w:pStyle w:val="TableText1"/>
              <w:spacing w:before="120"/>
              <w:jc w:val="center"/>
              <w:rPr>
                <w:rFonts w:ascii="Arial" w:hAnsi="Arial" w:cs="Arial"/>
                <w:szCs w:val="16"/>
              </w:rPr>
            </w:pPr>
          </w:p>
        </w:tc>
        <w:tc>
          <w:tcPr>
            <w:tcW w:w="704" w:type="dxa"/>
            <w:vMerge/>
            <w:tcBorders>
              <w:bottom w:val="single" w:sz="4" w:space="0" w:color="auto"/>
            </w:tcBorders>
            <w:shd w:val="clear" w:color="auto" w:fill="FFFFC1"/>
          </w:tcPr>
          <w:p w14:paraId="563B8328" w14:textId="77777777" w:rsidR="009D3DC8" w:rsidRDefault="009D3DC8">
            <w:pPr>
              <w:pStyle w:val="TableText1"/>
              <w:spacing w:before="120"/>
              <w:jc w:val="center"/>
              <w:rPr>
                <w:rFonts w:ascii="Arial" w:hAnsi="Arial" w:cs="Arial"/>
                <w:szCs w:val="16"/>
              </w:rPr>
            </w:pPr>
          </w:p>
        </w:tc>
        <w:tc>
          <w:tcPr>
            <w:tcW w:w="539" w:type="dxa"/>
            <w:vMerge/>
            <w:tcBorders>
              <w:bottom w:val="single" w:sz="4" w:space="0" w:color="auto"/>
            </w:tcBorders>
            <w:shd w:val="clear" w:color="auto" w:fill="FFFFC1"/>
          </w:tcPr>
          <w:p w14:paraId="44236C00" w14:textId="77777777" w:rsidR="009D3DC8" w:rsidRDefault="009D3DC8">
            <w:pPr>
              <w:pStyle w:val="TableText1"/>
              <w:spacing w:before="120"/>
              <w:jc w:val="center"/>
              <w:rPr>
                <w:rFonts w:ascii="Arial" w:hAnsi="Arial" w:cs="Arial"/>
                <w:szCs w:val="16"/>
              </w:rPr>
            </w:pPr>
          </w:p>
        </w:tc>
        <w:tc>
          <w:tcPr>
            <w:tcW w:w="539" w:type="dxa"/>
            <w:vMerge/>
            <w:tcBorders>
              <w:bottom w:val="single" w:sz="4" w:space="0" w:color="auto"/>
            </w:tcBorders>
            <w:shd w:val="clear" w:color="auto" w:fill="FFFFC1"/>
          </w:tcPr>
          <w:p w14:paraId="1DF30701" w14:textId="77777777" w:rsidR="009D3DC8" w:rsidRDefault="009D3DC8">
            <w:pPr>
              <w:pStyle w:val="TableText1"/>
              <w:spacing w:before="120"/>
              <w:jc w:val="center"/>
              <w:rPr>
                <w:rFonts w:ascii="Arial" w:hAnsi="Arial" w:cs="Arial"/>
                <w:szCs w:val="16"/>
              </w:rPr>
            </w:pPr>
          </w:p>
        </w:tc>
        <w:tc>
          <w:tcPr>
            <w:tcW w:w="517" w:type="dxa"/>
            <w:gridSpan w:val="2"/>
            <w:vMerge/>
            <w:tcBorders>
              <w:bottom w:val="single" w:sz="4" w:space="0" w:color="auto"/>
            </w:tcBorders>
            <w:shd w:val="clear" w:color="auto" w:fill="FFFFC1"/>
          </w:tcPr>
          <w:p w14:paraId="0F608463" w14:textId="77777777" w:rsidR="009D3DC8" w:rsidRDefault="009D3DC8">
            <w:pPr>
              <w:pStyle w:val="TableText1"/>
              <w:spacing w:before="120"/>
              <w:jc w:val="center"/>
              <w:rPr>
                <w:rFonts w:ascii="Arial" w:hAnsi="Arial" w:cs="Arial"/>
                <w:szCs w:val="16"/>
              </w:rPr>
            </w:pPr>
          </w:p>
        </w:tc>
        <w:tc>
          <w:tcPr>
            <w:tcW w:w="563" w:type="dxa"/>
            <w:gridSpan w:val="2"/>
            <w:vMerge/>
            <w:tcBorders>
              <w:bottom w:val="single" w:sz="4" w:space="0" w:color="auto"/>
            </w:tcBorders>
            <w:shd w:val="clear" w:color="auto" w:fill="FFFFC1"/>
          </w:tcPr>
          <w:p w14:paraId="04C38756" w14:textId="77777777" w:rsidR="009D3DC8" w:rsidRDefault="009D3DC8">
            <w:pPr>
              <w:pStyle w:val="TableText1"/>
              <w:spacing w:before="120"/>
              <w:jc w:val="center"/>
              <w:rPr>
                <w:rFonts w:ascii="Arial" w:hAnsi="Arial" w:cs="Arial"/>
                <w:szCs w:val="16"/>
              </w:rPr>
            </w:pPr>
          </w:p>
        </w:tc>
        <w:tc>
          <w:tcPr>
            <w:tcW w:w="671" w:type="dxa"/>
            <w:vMerge/>
            <w:tcBorders>
              <w:bottom w:val="single" w:sz="4" w:space="0" w:color="auto"/>
            </w:tcBorders>
            <w:shd w:val="clear" w:color="auto" w:fill="FFFFC1"/>
          </w:tcPr>
          <w:p w14:paraId="5C2B98A6" w14:textId="77777777" w:rsidR="009D3DC8" w:rsidRDefault="009D3DC8">
            <w:pPr>
              <w:pStyle w:val="TableText1"/>
              <w:spacing w:before="120"/>
              <w:jc w:val="center"/>
              <w:rPr>
                <w:rFonts w:ascii="Arial" w:hAnsi="Arial" w:cs="Arial"/>
                <w:szCs w:val="16"/>
              </w:rPr>
            </w:pPr>
          </w:p>
        </w:tc>
        <w:tc>
          <w:tcPr>
            <w:tcW w:w="1031" w:type="dxa"/>
            <w:vMerge/>
            <w:tcBorders>
              <w:bottom w:val="single" w:sz="4" w:space="0" w:color="auto"/>
              <w:right w:val="single" w:sz="4" w:space="0" w:color="auto"/>
            </w:tcBorders>
            <w:shd w:val="clear" w:color="auto" w:fill="FFFFC1"/>
          </w:tcPr>
          <w:p w14:paraId="0F8C112B"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bottom w:val="single" w:sz="4" w:space="0" w:color="auto"/>
              <w:right w:val="single" w:sz="4" w:space="0" w:color="auto"/>
            </w:tcBorders>
            <w:shd w:val="clear" w:color="auto" w:fill="CCFF66"/>
          </w:tcPr>
          <w:p w14:paraId="0B7B5193" w14:textId="77777777" w:rsidR="009D3DC8" w:rsidRDefault="009D3DC8">
            <w:pPr>
              <w:pStyle w:val="TableText1"/>
              <w:spacing w:before="120"/>
              <w:jc w:val="center"/>
              <w:rPr>
                <w:rFonts w:ascii="Arial" w:hAnsi="Arial" w:cs="Arial"/>
                <w:b/>
                <w:szCs w:val="16"/>
              </w:rPr>
            </w:pPr>
          </w:p>
        </w:tc>
      </w:tr>
      <w:tr w:rsidR="009D3DC8" w14:paraId="4EC9BDA8" w14:textId="77777777">
        <w:tc>
          <w:tcPr>
            <w:tcW w:w="2386" w:type="dxa"/>
            <w:tcBorders>
              <w:top w:val="single" w:sz="4" w:space="0" w:color="auto"/>
              <w:left w:val="single" w:sz="4" w:space="0" w:color="auto"/>
              <w:bottom w:val="single" w:sz="4" w:space="0" w:color="auto"/>
              <w:right w:val="single" w:sz="4" w:space="0" w:color="auto"/>
            </w:tcBorders>
          </w:tcPr>
          <w:p w14:paraId="1EFE9245" w14:textId="77777777" w:rsidR="009D3DC8" w:rsidRDefault="009D3DC8">
            <w:pPr>
              <w:pStyle w:val="TableText"/>
              <w:rPr>
                <w:rFonts w:cs="Arial"/>
                <w:i/>
                <w:iCs/>
                <w:szCs w:val="16"/>
              </w:rPr>
            </w:pPr>
            <w:r>
              <w:rPr>
                <w:rFonts w:cs="Arial"/>
                <w:i/>
                <w:szCs w:val="16"/>
              </w:rPr>
              <w:t xml:space="preserve">Planococcus minor </w:t>
            </w:r>
            <w:r>
              <w:rPr>
                <w:rFonts w:cs="Arial"/>
                <w:b/>
                <w:szCs w:val="16"/>
                <w:vertAlign w:val="superscript"/>
              </w:rPr>
              <w:t>EP, WA</w:t>
            </w:r>
          </w:p>
        </w:tc>
        <w:tc>
          <w:tcPr>
            <w:tcW w:w="1111" w:type="dxa"/>
            <w:vMerge w:val="restart"/>
            <w:tcBorders>
              <w:top w:val="single" w:sz="4" w:space="0" w:color="C0C0C0"/>
              <w:left w:val="single" w:sz="4" w:space="0" w:color="auto"/>
            </w:tcBorders>
            <w:shd w:val="clear" w:color="auto" w:fill="FFE6CD"/>
          </w:tcPr>
          <w:p w14:paraId="273E2CAC" w14:textId="77777777" w:rsidR="009D3DC8" w:rsidRDefault="009D3DC8">
            <w:pPr>
              <w:pStyle w:val="TableText"/>
              <w:spacing w:before="120"/>
              <w:jc w:val="center"/>
              <w:rPr>
                <w:rFonts w:cs="Arial"/>
                <w:szCs w:val="16"/>
              </w:rPr>
            </w:pPr>
            <w:r>
              <w:rPr>
                <w:rFonts w:cs="Arial"/>
                <w:szCs w:val="16"/>
              </w:rPr>
              <w:t>High</w:t>
            </w:r>
          </w:p>
        </w:tc>
        <w:tc>
          <w:tcPr>
            <w:tcW w:w="1061" w:type="dxa"/>
            <w:vMerge w:val="restart"/>
            <w:tcBorders>
              <w:top w:val="single" w:sz="4" w:space="0" w:color="C0C0C0"/>
            </w:tcBorders>
            <w:shd w:val="clear" w:color="auto" w:fill="FFE6CD"/>
          </w:tcPr>
          <w:p w14:paraId="17448087" w14:textId="77777777" w:rsidR="009D3DC8" w:rsidRDefault="009D3DC8">
            <w:pPr>
              <w:pStyle w:val="TableText"/>
              <w:spacing w:before="120"/>
              <w:jc w:val="center"/>
              <w:rPr>
                <w:rFonts w:cs="Arial"/>
                <w:szCs w:val="16"/>
              </w:rPr>
            </w:pPr>
            <w:r>
              <w:rPr>
                <w:rFonts w:cs="Arial"/>
                <w:szCs w:val="16"/>
              </w:rPr>
              <w:t>Moderate</w:t>
            </w:r>
          </w:p>
        </w:tc>
        <w:tc>
          <w:tcPr>
            <w:tcW w:w="980" w:type="dxa"/>
            <w:vMerge w:val="restart"/>
            <w:tcBorders>
              <w:top w:val="single" w:sz="4" w:space="0" w:color="C0C0C0"/>
            </w:tcBorders>
            <w:shd w:val="clear" w:color="auto" w:fill="FFE6CD"/>
          </w:tcPr>
          <w:p w14:paraId="3A037DCE" w14:textId="77777777" w:rsidR="009D3DC8" w:rsidRDefault="009D3DC8">
            <w:pPr>
              <w:pStyle w:val="TableText"/>
              <w:spacing w:before="120"/>
              <w:jc w:val="center"/>
              <w:rPr>
                <w:rFonts w:cs="Arial"/>
                <w:szCs w:val="16"/>
              </w:rPr>
            </w:pPr>
            <w:r>
              <w:rPr>
                <w:rFonts w:cs="Arial"/>
                <w:szCs w:val="16"/>
              </w:rPr>
              <w:t>Moderate</w:t>
            </w:r>
          </w:p>
        </w:tc>
        <w:tc>
          <w:tcPr>
            <w:tcW w:w="1451" w:type="dxa"/>
            <w:gridSpan w:val="2"/>
            <w:vMerge w:val="restart"/>
            <w:tcBorders>
              <w:top w:val="single" w:sz="4" w:space="0" w:color="C0C0C0"/>
            </w:tcBorders>
            <w:shd w:val="clear" w:color="auto" w:fill="FFE7E7"/>
          </w:tcPr>
          <w:p w14:paraId="32FE1B9B" w14:textId="77777777" w:rsidR="009D3DC8" w:rsidRDefault="009D3DC8">
            <w:pPr>
              <w:pStyle w:val="TableText"/>
              <w:spacing w:before="120"/>
              <w:jc w:val="center"/>
              <w:rPr>
                <w:rFonts w:cs="Arial"/>
                <w:szCs w:val="16"/>
              </w:rPr>
            </w:pPr>
            <w:r>
              <w:rPr>
                <w:rFonts w:cs="Arial"/>
                <w:szCs w:val="16"/>
              </w:rPr>
              <w:t>High</w:t>
            </w:r>
          </w:p>
        </w:tc>
        <w:tc>
          <w:tcPr>
            <w:tcW w:w="931" w:type="dxa"/>
            <w:vMerge w:val="restart"/>
            <w:tcBorders>
              <w:top w:val="single" w:sz="4" w:space="0" w:color="C0C0C0"/>
            </w:tcBorders>
            <w:shd w:val="clear" w:color="auto" w:fill="D9F1FF"/>
          </w:tcPr>
          <w:p w14:paraId="5975E5FE" w14:textId="77777777" w:rsidR="009D3DC8" w:rsidRDefault="009D3DC8">
            <w:pPr>
              <w:pStyle w:val="TableText"/>
              <w:spacing w:before="120"/>
              <w:jc w:val="center"/>
              <w:rPr>
                <w:rFonts w:cs="Arial"/>
                <w:szCs w:val="16"/>
              </w:rPr>
            </w:pPr>
            <w:r>
              <w:rPr>
                <w:rFonts w:cs="Arial"/>
                <w:szCs w:val="16"/>
              </w:rPr>
              <w:t>High</w:t>
            </w:r>
          </w:p>
        </w:tc>
        <w:tc>
          <w:tcPr>
            <w:tcW w:w="947" w:type="dxa"/>
            <w:vMerge w:val="restart"/>
            <w:tcBorders>
              <w:top w:val="single" w:sz="4" w:space="0" w:color="C0C0C0"/>
            </w:tcBorders>
            <w:shd w:val="clear" w:color="auto" w:fill="E1FFE1"/>
          </w:tcPr>
          <w:p w14:paraId="1B053591" w14:textId="77777777" w:rsidR="009D3DC8" w:rsidRDefault="009D3DC8">
            <w:pPr>
              <w:pStyle w:val="TableText"/>
              <w:spacing w:before="120"/>
              <w:jc w:val="center"/>
              <w:rPr>
                <w:rFonts w:cs="Arial"/>
                <w:szCs w:val="16"/>
              </w:rPr>
            </w:pPr>
            <w:r>
              <w:rPr>
                <w:rFonts w:cs="Arial"/>
                <w:szCs w:val="16"/>
              </w:rPr>
              <w:t>Moderate</w:t>
            </w:r>
          </w:p>
        </w:tc>
        <w:tc>
          <w:tcPr>
            <w:tcW w:w="704" w:type="dxa"/>
            <w:vMerge w:val="restart"/>
            <w:tcBorders>
              <w:top w:val="single" w:sz="4" w:space="0" w:color="C0C0C0"/>
            </w:tcBorders>
            <w:shd w:val="clear" w:color="auto" w:fill="FFFFC1"/>
          </w:tcPr>
          <w:p w14:paraId="31E4AB8E" w14:textId="77777777" w:rsidR="009D3DC8" w:rsidRDefault="009D3DC8">
            <w:pPr>
              <w:pStyle w:val="TableText"/>
              <w:spacing w:before="120"/>
              <w:jc w:val="center"/>
              <w:rPr>
                <w:rFonts w:cs="Arial"/>
                <w:szCs w:val="16"/>
              </w:rPr>
            </w:pPr>
            <w:r>
              <w:rPr>
                <w:rFonts w:cs="Arial"/>
                <w:szCs w:val="16"/>
              </w:rPr>
              <w:t>D</w:t>
            </w:r>
          </w:p>
        </w:tc>
        <w:tc>
          <w:tcPr>
            <w:tcW w:w="539" w:type="dxa"/>
            <w:vMerge w:val="restart"/>
            <w:tcBorders>
              <w:top w:val="single" w:sz="4" w:space="0" w:color="C0C0C0"/>
            </w:tcBorders>
            <w:shd w:val="clear" w:color="auto" w:fill="FFFFC1"/>
          </w:tcPr>
          <w:p w14:paraId="2C96430D" w14:textId="77777777" w:rsidR="009D3DC8" w:rsidRDefault="009D3DC8">
            <w:pPr>
              <w:pStyle w:val="TableText"/>
              <w:spacing w:before="120"/>
              <w:jc w:val="center"/>
              <w:rPr>
                <w:rFonts w:cs="Arial"/>
                <w:szCs w:val="16"/>
              </w:rPr>
            </w:pPr>
            <w:r>
              <w:rPr>
                <w:rFonts w:cs="Arial"/>
                <w:szCs w:val="16"/>
              </w:rPr>
              <w:t>B</w:t>
            </w:r>
          </w:p>
        </w:tc>
        <w:tc>
          <w:tcPr>
            <w:tcW w:w="539" w:type="dxa"/>
            <w:vMerge w:val="restart"/>
            <w:tcBorders>
              <w:top w:val="single" w:sz="4" w:space="0" w:color="C0C0C0"/>
            </w:tcBorders>
            <w:shd w:val="clear" w:color="auto" w:fill="FFFFC1"/>
          </w:tcPr>
          <w:p w14:paraId="1B9702BF" w14:textId="77777777" w:rsidR="009D3DC8" w:rsidRDefault="009D3DC8">
            <w:pPr>
              <w:pStyle w:val="TableText"/>
              <w:spacing w:before="120"/>
              <w:jc w:val="center"/>
              <w:rPr>
                <w:rFonts w:cs="Arial"/>
                <w:szCs w:val="16"/>
              </w:rPr>
            </w:pPr>
            <w:r>
              <w:rPr>
                <w:rFonts w:cs="Arial"/>
                <w:szCs w:val="16"/>
              </w:rPr>
              <w:t>D</w:t>
            </w:r>
          </w:p>
        </w:tc>
        <w:tc>
          <w:tcPr>
            <w:tcW w:w="517" w:type="dxa"/>
            <w:gridSpan w:val="2"/>
            <w:vMerge w:val="restart"/>
            <w:tcBorders>
              <w:top w:val="single" w:sz="4" w:space="0" w:color="C0C0C0"/>
            </w:tcBorders>
            <w:shd w:val="clear" w:color="auto" w:fill="FFFFC1"/>
          </w:tcPr>
          <w:p w14:paraId="0B5115A2" w14:textId="77777777" w:rsidR="009D3DC8" w:rsidRDefault="009D3DC8">
            <w:pPr>
              <w:pStyle w:val="TableText"/>
              <w:spacing w:before="120"/>
              <w:jc w:val="center"/>
              <w:rPr>
                <w:rFonts w:cs="Arial"/>
                <w:szCs w:val="16"/>
              </w:rPr>
            </w:pPr>
            <w:r>
              <w:rPr>
                <w:rFonts w:cs="Arial"/>
                <w:szCs w:val="16"/>
              </w:rPr>
              <w:t>C</w:t>
            </w:r>
          </w:p>
        </w:tc>
        <w:tc>
          <w:tcPr>
            <w:tcW w:w="563" w:type="dxa"/>
            <w:gridSpan w:val="2"/>
            <w:vMerge w:val="restart"/>
            <w:tcBorders>
              <w:top w:val="single" w:sz="4" w:space="0" w:color="C0C0C0"/>
            </w:tcBorders>
            <w:shd w:val="clear" w:color="auto" w:fill="FFFFC1"/>
          </w:tcPr>
          <w:p w14:paraId="40B79CD3" w14:textId="77777777" w:rsidR="009D3DC8" w:rsidRDefault="009D3DC8">
            <w:pPr>
              <w:pStyle w:val="TableText"/>
              <w:spacing w:before="120"/>
              <w:jc w:val="center"/>
              <w:rPr>
                <w:rFonts w:cs="Arial"/>
                <w:szCs w:val="16"/>
              </w:rPr>
            </w:pPr>
            <w:r>
              <w:rPr>
                <w:rFonts w:cs="Arial"/>
                <w:szCs w:val="16"/>
              </w:rPr>
              <w:t>D</w:t>
            </w:r>
          </w:p>
        </w:tc>
        <w:tc>
          <w:tcPr>
            <w:tcW w:w="671" w:type="dxa"/>
            <w:vMerge w:val="restart"/>
            <w:tcBorders>
              <w:top w:val="single" w:sz="4" w:space="0" w:color="C0C0C0"/>
            </w:tcBorders>
            <w:shd w:val="clear" w:color="auto" w:fill="FFFFC1"/>
          </w:tcPr>
          <w:p w14:paraId="5F083499" w14:textId="77777777" w:rsidR="009D3DC8" w:rsidRDefault="009D3DC8">
            <w:pPr>
              <w:pStyle w:val="TableText"/>
              <w:spacing w:before="120"/>
              <w:jc w:val="center"/>
              <w:rPr>
                <w:rFonts w:cs="Arial"/>
                <w:szCs w:val="16"/>
              </w:rPr>
            </w:pPr>
            <w:r>
              <w:rPr>
                <w:rFonts w:cs="Arial"/>
                <w:szCs w:val="16"/>
              </w:rPr>
              <w:t>B</w:t>
            </w:r>
          </w:p>
        </w:tc>
        <w:tc>
          <w:tcPr>
            <w:tcW w:w="1031" w:type="dxa"/>
            <w:vMerge w:val="restart"/>
            <w:tcBorders>
              <w:top w:val="single" w:sz="4" w:space="0" w:color="C0C0C0"/>
              <w:right w:val="single" w:sz="4" w:space="0" w:color="auto"/>
            </w:tcBorders>
            <w:shd w:val="clear" w:color="auto" w:fill="FFFFC1"/>
          </w:tcPr>
          <w:p w14:paraId="58D6CBA4" w14:textId="77777777" w:rsidR="009D3DC8" w:rsidRDefault="009D3DC8">
            <w:pPr>
              <w:pStyle w:val="TableText"/>
              <w:spacing w:before="120"/>
              <w:jc w:val="center"/>
              <w:rPr>
                <w:rFonts w:cs="Arial"/>
                <w:szCs w:val="16"/>
              </w:rPr>
            </w:pPr>
            <w:r>
              <w:rPr>
                <w:rFonts w:cs="Arial"/>
                <w:szCs w:val="16"/>
              </w:rPr>
              <w:t>Low</w:t>
            </w:r>
          </w:p>
        </w:tc>
        <w:tc>
          <w:tcPr>
            <w:tcW w:w="1080" w:type="dxa"/>
            <w:vMerge w:val="restart"/>
            <w:tcBorders>
              <w:top w:val="single" w:sz="4" w:space="0" w:color="C0C0C0"/>
              <w:left w:val="single" w:sz="4" w:space="0" w:color="auto"/>
              <w:right w:val="single" w:sz="4" w:space="0" w:color="auto"/>
            </w:tcBorders>
            <w:shd w:val="clear" w:color="auto" w:fill="CCFF66"/>
          </w:tcPr>
          <w:p w14:paraId="434F284C" w14:textId="77777777" w:rsidR="009D3DC8" w:rsidRDefault="009D3DC8">
            <w:pPr>
              <w:pStyle w:val="TableText"/>
              <w:spacing w:before="120"/>
              <w:jc w:val="center"/>
              <w:rPr>
                <w:rFonts w:cs="Arial"/>
                <w:b/>
                <w:szCs w:val="16"/>
              </w:rPr>
            </w:pPr>
            <w:r>
              <w:rPr>
                <w:rFonts w:cs="Arial"/>
                <w:b/>
                <w:szCs w:val="16"/>
              </w:rPr>
              <w:t>Low</w:t>
            </w:r>
          </w:p>
        </w:tc>
      </w:tr>
      <w:tr w:rsidR="009D3DC8" w14:paraId="15215017" w14:textId="77777777">
        <w:tc>
          <w:tcPr>
            <w:tcW w:w="2386" w:type="dxa"/>
            <w:tcBorders>
              <w:top w:val="single" w:sz="4" w:space="0" w:color="auto"/>
              <w:left w:val="single" w:sz="4" w:space="0" w:color="auto"/>
              <w:bottom w:val="single" w:sz="4" w:space="0" w:color="auto"/>
              <w:right w:val="single" w:sz="4" w:space="0" w:color="auto"/>
            </w:tcBorders>
          </w:tcPr>
          <w:p w14:paraId="2C7DABE7" w14:textId="77777777" w:rsidR="009D3DC8" w:rsidRDefault="009D3DC8">
            <w:pPr>
              <w:pStyle w:val="TableText"/>
              <w:rPr>
                <w:rFonts w:cs="Arial"/>
                <w:szCs w:val="16"/>
              </w:rPr>
            </w:pPr>
            <w:r>
              <w:rPr>
                <w:rFonts w:cs="Arial"/>
                <w:i/>
                <w:szCs w:val="16"/>
              </w:rPr>
              <w:t>Pseudococcus aurantiacus</w:t>
            </w:r>
          </w:p>
        </w:tc>
        <w:tc>
          <w:tcPr>
            <w:tcW w:w="1111" w:type="dxa"/>
            <w:vMerge/>
            <w:tcBorders>
              <w:left w:val="single" w:sz="4" w:space="0" w:color="auto"/>
            </w:tcBorders>
            <w:shd w:val="clear" w:color="auto" w:fill="FFE6CD"/>
          </w:tcPr>
          <w:p w14:paraId="6C387689" w14:textId="77777777" w:rsidR="009D3DC8" w:rsidRDefault="009D3DC8">
            <w:pPr>
              <w:pStyle w:val="TableText1"/>
              <w:spacing w:before="120"/>
              <w:jc w:val="center"/>
              <w:rPr>
                <w:rFonts w:ascii="Arial" w:hAnsi="Arial" w:cs="Arial"/>
                <w:szCs w:val="16"/>
              </w:rPr>
            </w:pPr>
          </w:p>
        </w:tc>
        <w:tc>
          <w:tcPr>
            <w:tcW w:w="1061" w:type="dxa"/>
            <w:vMerge/>
            <w:shd w:val="clear" w:color="auto" w:fill="FFE6CD"/>
          </w:tcPr>
          <w:p w14:paraId="4D2859C2" w14:textId="77777777" w:rsidR="009D3DC8" w:rsidRDefault="009D3DC8">
            <w:pPr>
              <w:pStyle w:val="TableText1"/>
              <w:spacing w:before="120"/>
              <w:jc w:val="center"/>
              <w:rPr>
                <w:rFonts w:ascii="Arial" w:hAnsi="Arial" w:cs="Arial"/>
                <w:szCs w:val="16"/>
              </w:rPr>
            </w:pPr>
          </w:p>
        </w:tc>
        <w:tc>
          <w:tcPr>
            <w:tcW w:w="980" w:type="dxa"/>
            <w:vMerge/>
            <w:shd w:val="clear" w:color="auto" w:fill="FFE6CD"/>
          </w:tcPr>
          <w:p w14:paraId="20084836" w14:textId="77777777" w:rsidR="009D3DC8" w:rsidRDefault="009D3DC8">
            <w:pPr>
              <w:pStyle w:val="TableText1"/>
              <w:spacing w:before="120"/>
              <w:jc w:val="center"/>
              <w:rPr>
                <w:rFonts w:ascii="Arial" w:hAnsi="Arial" w:cs="Arial"/>
                <w:szCs w:val="16"/>
              </w:rPr>
            </w:pPr>
          </w:p>
        </w:tc>
        <w:tc>
          <w:tcPr>
            <w:tcW w:w="1451" w:type="dxa"/>
            <w:gridSpan w:val="2"/>
            <w:vMerge/>
            <w:shd w:val="clear" w:color="auto" w:fill="FFE7E7"/>
          </w:tcPr>
          <w:p w14:paraId="78C70632" w14:textId="77777777" w:rsidR="009D3DC8" w:rsidRDefault="009D3DC8">
            <w:pPr>
              <w:pStyle w:val="TableText1"/>
              <w:spacing w:before="120"/>
              <w:jc w:val="center"/>
              <w:rPr>
                <w:rFonts w:ascii="Arial" w:hAnsi="Arial" w:cs="Arial"/>
                <w:szCs w:val="16"/>
              </w:rPr>
            </w:pPr>
          </w:p>
        </w:tc>
        <w:tc>
          <w:tcPr>
            <w:tcW w:w="931" w:type="dxa"/>
            <w:vMerge/>
            <w:shd w:val="clear" w:color="auto" w:fill="D9F1FF"/>
          </w:tcPr>
          <w:p w14:paraId="0645B06B" w14:textId="77777777" w:rsidR="009D3DC8" w:rsidRDefault="009D3DC8">
            <w:pPr>
              <w:pStyle w:val="TableText1"/>
              <w:spacing w:before="120"/>
              <w:jc w:val="center"/>
              <w:rPr>
                <w:rFonts w:ascii="Arial" w:hAnsi="Arial" w:cs="Arial"/>
                <w:szCs w:val="16"/>
              </w:rPr>
            </w:pPr>
          </w:p>
        </w:tc>
        <w:tc>
          <w:tcPr>
            <w:tcW w:w="947" w:type="dxa"/>
            <w:vMerge/>
            <w:shd w:val="clear" w:color="auto" w:fill="E1FFE1"/>
          </w:tcPr>
          <w:p w14:paraId="3A8D9CEA" w14:textId="77777777" w:rsidR="009D3DC8" w:rsidRDefault="009D3DC8">
            <w:pPr>
              <w:pStyle w:val="TableText1"/>
              <w:spacing w:before="120"/>
              <w:jc w:val="center"/>
              <w:rPr>
                <w:rFonts w:ascii="Arial" w:hAnsi="Arial" w:cs="Arial"/>
                <w:szCs w:val="16"/>
              </w:rPr>
            </w:pPr>
          </w:p>
        </w:tc>
        <w:tc>
          <w:tcPr>
            <w:tcW w:w="704" w:type="dxa"/>
            <w:vMerge/>
            <w:shd w:val="clear" w:color="auto" w:fill="FFFFC1"/>
          </w:tcPr>
          <w:p w14:paraId="65C97EA5"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7E0C5E46"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3B899792" w14:textId="77777777" w:rsidR="009D3DC8" w:rsidRDefault="009D3DC8">
            <w:pPr>
              <w:pStyle w:val="TableText1"/>
              <w:spacing w:before="120"/>
              <w:jc w:val="center"/>
              <w:rPr>
                <w:rFonts w:ascii="Arial" w:hAnsi="Arial" w:cs="Arial"/>
                <w:szCs w:val="16"/>
              </w:rPr>
            </w:pPr>
          </w:p>
        </w:tc>
        <w:tc>
          <w:tcPr>
            <w:tcW w:w="517" w:type="dxa"/>
            <w:gridSpan w:val="2"/>
            <w:vMerge/>
            <w:shd w:val="clear" w:color="auto" w:fill="FFFFC1"/>
          </w:tcPr>
          <w:p w14:paraId="2888847F" w14:textId="77777777" w:rsidR="009D3DC8" w:rsidRDefault="009D3DC8">
            <w:pPr>
              <w:pStyle w:val="TableText1"/>
              <w:spacing w:before="120"/>
              <w:jc w:val="center"/>
              <w:rPr>
                <w:rFonts w:ascii="Arial" w:hAnsi="Arial" w:cs="Arial"/>
                <w:szCs w:val="16"/>
              </w:rPr>
            </w:pPr>
          </w:p>
        </w:tc>
        <w:tc>
          <w:tcPr>
            <w:tcW w:w="563" w:type="dxa"/>
            <w:gridSpan w:val="2"/>
            <w:vMerge/>
            <w:shd w:val="clear" w:color="auto" w:fill="FFFFC1"/>
          </w:tcPr>
          <w:p w14:paraId="184FC86B" w14:textId="77777777" w:rsidR="009D3DC8" w:rsidRDefault="009D3DC8">
            <w:pPr>
              <w:pStyle w:val="TableText1"/>
              <w:spacing w:before="120"/>
              <w:jc w:val="center"/>
              <w:rPr>
                <w:rFonts w:ascii="Arial" w:hAnsi="Arial" w:cs="Arial"/>
                <w:szCs w:val="16"/>
              </w:rPr>
            </w:pPr>
          </w:p>
        </w:tc>
        <w:tc>
          <w:tcPr>
            <w:tcW w:w="671" w:type="dxa"/>
            <w:vMerge/>
            <w:shd w:val="clear" w:color="auto" w:fill="FFFFC1"/>
          </w:tcPr>
          <w:p w14:paraId="47C860E6"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tcPr>
          <w:p w14:paraId="6D3A41F3"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tcPr>
          <w:p w14:paraId="6F0104C8" w14:textId="77777777" w:rsidR="009D3DC8" w:rsidRDefault="009D3DC8">
            <w:pPr>
              <w:pStyle w:val="TableText1"/>
              <w:spacing w:before="120"/>
              <w:jc w:val="center"/>
              <w:rPr>
                <w:rFonts w:ascii="Arial" w:hAnsi="Arial" w:cs="Arial"/>
                <w:b/>
                <w:szCs w:val="16"/>
              </w:rPr>
            </w:pPr>
          </w:p>
        </w:tc>
      </w:tr>
      <w:tr w:rsidR="009D3DC8" w14:paraId="09C987C7" w14:textId="77777777">
        <w:tc>
          <w:tcPr>
            <w:tcW w:w="2386" w:type="dxa"/>
            <w:tcBorders>
              <w:top w:val="single" w:sz="4" w:space="0" w:color="auto"/>
              <w:left w:val="single" w:sz="4" w:space="0" w:color="auto"/>
              <w:bottom w:val="single" w:sz="4" w:space="0" w:color="auto"/>
              <w:right w:val="single" w:sz="4" w:space="0" w:color="auto"/>
            </w:tcBorders>
          </w:tcPr>
          <w:p w14:paraId="3A0A3755" w14:textId="77777777" w:rsidR="009D3DC8" w:rsidRDefault="009D3DC8">
            <w:pPr>
              <w:pStyle w:val="TableText"/>
              <w:rPr>
                <w:rFonts w:cs="Arial"/>
                <w:szCs w:val="16"/>
              </w:rPr>
            </w:pPr>
            <w:r>
              <w:rPr>
                <w:rFonts w:cs="Arial"/>
                <w:i/>
                <w:szCs w:val="16"/>
              </w:rPr>
              <w:t>Pseudococcus baliteus</w:t>
            </w:r>
          </w:p>
        </w:tc>
        <w:tc>
          <w:tcPr>
            <w:tcW w:w="1111" w:type="dxa"/>
            <w:vMerge/>
            <w:tcBorders>
              <w:left w:val="single" w:sz="4" w:space="0" w:color="auto"/>
            </w:tcBorders>
            <w:shd w:val="clear" w:color="auto" w:fill="FFE6CD"/>
          </w:tcPr>
          <w:p w14:paraId="34F97B77" w14:textId="77777777" w:rsidR="009D3DC8" w:rsidRDefault="009D3DC8">
            <w:pPr>
              <w:pStyle w:val="TableText1"/>
              <w:spacing w:before="120"/>
              <w:jc w:val="center"/>
              <w:rPr>
                <w:rFonts w:ascii="Arial" w:hAnsi="Arial" w:cs="Arial"/>
                <w:szCs w:val="16"/>
              </w:rPr>
            </w:pPr>
          </w:p>
        </w:tc>
        <w:tc>
          <w:tcPr>
            <w:tcW w:w="1061" w:type="dxa"/>
            <w:vMerge/>
            <w:shd w:val="clear" w:color="auto" w:fill="FFE6CD"/>
          </w:tcPr>
          <w:p w14:paraId="620257EC" w14:textId="77777777" w:rsidR="009D3DC8" w:rsidRDefault="009D3DC8">
            <w:pPr>
              <w:pStyle w:val="TableText1"/>
              <w:spacing w:before="120"/>
              <w:jc w:val="center"/>
              <w:rPr>
                <w:rFonts w:ascii="Arial" w:hAnsi="Arial" w:cs="Arial"/>
                <w:szCs w:val="16"/>
              </w:rPr>
            </w:pPr>
          </w:p>
        </w:tc>
        <w:tc>
          <w:tcPr>
            <w:tcW w:w="980" w:type="dxa"/>
            <w:vMerge/>
            <w:shd w:val="clear" w:color="auto" w:fill="FFE6CD"/>
          </w:tcPr>
          <w:p w14:paraId="0EF3F4D2" w14:textId="77777777" w:rsidR="009D3DC8" w:rsidRDefault="009D3DC8">
            <w:pPr>
              <w:pStyle w:val="TableText1"/>
              <w:spacing w:before="120"/>
              <w:jc w:val="center"/>
              <w:rPr>
                <w:rFonts w:ascii="Arial" w:hAnsi="Arial" w:cs="Arial"/>
                <w:szCs w:val="16"/>
              </w:rPr>
            </w:pPr>
          </w:p>
        </w:tc>
        <w:tc>
          <w:tcPr>
            <w:tcW w:w="1451" w:type="dxa"/>
            <w:gridSpan w:val="2"/>
            <w:vMerge/>
            <w:shd w:val="clear" w:color="auto" w:fill="FFE7E7"/>
          </w:tcPr>
          <w:p w14:paraId="4003C7F9" w14:textId="77777777" w:rsidR="009D3DC8" w:rsidRDefault="009D3DC8">
            <w:pPr>
              <w:pStyle w:val="TableText1"/>
              <w:spacing w:before="120"/>
              <w:jc w:val="center"/>
              <w:rPr>
                <w:rFonts w:ascii="Arial" w:hAnsi="Arial" w:cs="Arial"/>
                <w:szCs w:val="16"/>
              </w:rPr>
            </w:pPr>
          </w:p>
        </w:tc>
        <w:tc>
          <w:tcPr>
            <w:tcW w:w="931" w:type="dxa"/>
            <w:vMerge/>
            <w:shd w:val="clear" w:color="auto" w:fill="D9F1FF"/>
          </w:tcPr>
          <w:p w14:paraId="6C1B7153" w14:textId="77777777" w:rsidR="009D3DC8" w:rsidRDefault="009D3DC8">
            <w:pPr>
              <w:pStyle w:val="TableText1"/>
              <w:spacing w:before="120"/>
              <w:jc w:val="center"/>
              <w:rPr>
                <w:rFonts w:ascii="Arial" w:hAnsi="Arial" w:cs="Arial"/>
                <w:szCs w:val="16"/>
              </w:rPr>
            </w:pPr>
          </w:p>
        </w:tc>
        <w:tc>
          <w:tcPr>
            <w:tcW w:w="947" w:type="dxa"/>
            <w:vMerge/>
            <w:shd w:val="clear" w:color="auto" w:fill="E1FFE1"/>
          </w:tcPr>
          <w:p w14:paraId="73D75D22" w14:textId="77777777" w:rsidR="009D3DC8" w:rsidRDefault="009D3DC8">
            <w:pPr>
              <w:pStyle w:val="TableText1"/>
              <w:spacing w:before="120"/>
              <w:jc w:val="center"/>
              <w:rPr>
                <w:rFonts w:ascii="Arial" w:hAnsi="Arial" w:cs="Arial"/>
                <w:szCs w:val="16"/>
              </w:rPr>
            </w:pPr>
          </w:p>
        </w:tc>
        <w:tc>
          <w:tcPr>
            <w:tcW w:w="704" w:type="dxa"/>
            <w:vMerge/>
            <w:shd w:val="clear" w:color="auto" w:fill="FFFFC1"/>
          </w:tcPr>
          <w:p w14:paraId="281CD56B"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75342B48"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6D6D58F2" w14:textId="77777777" w:rsidR="009D3DC8" w:rsidRDefault="009D3DC8">
            <w:pPr>
              <w:pStyle w:val="TableText1"/>
              <w:spacing w:before="120"/>
              <w:jc w:val="center"/>
              <w:rPr>
                <w:rFonts w:ascii="Arial" w:hAnsi="Arial" w:cs="Arial"/>
                <w:szCs w:val="16"/>
              </w:rPr>
            </w:pPr>
          </w:p>
        </w:tc>
        <w:tc>
          <w:tcPr>
            <w:tcW w:w="517" w:type="dxa"/>
            <w:gridSpan w:val="2"/>
            <w:vMerge/>
            <w:shd w:val="clear" w:color="auto" w:fill="FFFFC1"/>
          </w:tcPr>
          <w:p w14:paraId="16FA3C6B" w14:textId="77777777" w:rsidR="009D3DC8" w:rsidRDefault="009D3DC8">
            <w:pPr>
              <w:pStyle w:val="TableText1"/>
              <w:spacing w:before="120"/>
              <w:jc w:val="center"/>
              <w:rPr>
                <w:rFonts w:ascii="Arial" w:hAnsi="Arial" w:cs="Arial"/>
                <w:szCs w:val="16"/>
              </w:rPr>
            </w:pPr>
          </w:p>
        </w:tc>
        <w:tc>
          <w:tcPr>
            <w:tcW w:w="563" w:type="dxa"/>
            <w:gridSpan w:val="2"/>
            <w:vMerge/>
            <w:shd w:val="clear" w:color="auto" w:fill="FFFFC1"/>
          </w:tcPr>
          <w:p w14:paraId="18EC9C21" w14:textId="77777777" w:rsidR="009D3DC8" w:rsidRDefault="009D3DC8">
            <w:pPr>
              <w:pStyle w:val="TableText1"/>
              <w:spacing w:before="120"/>
              <w:jc w:val="center"/>
              <w:rPr>
                <w:rFonts w:ascii="Arial" w:hAnsi="Arial" w:cs="Arial"/>
                <w:szCs w:val="16"/>
              </w:rPr>
            </w:pPr>
          </w:p>
        </w:tc>
        <w:tc>
          <w:tcPr>
            <w:tcW w:w="671" w:type="dxa"/>
            <w:vMerge/>
            <w:shd w:val="clear" w:color="auto" w:fill="FFFFC1"/>
          </w:tcPr>
          <w:p w14:paraId="482E6DDD"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tcPr>
          <w:p w14:paraId="383982E3"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tcPr>
          <w:p w14:paraId="115F22DF" w14:textId="77777777" w:rsidR="009D3DC8" w:rsidRDefault="009D3DC8">
            <w:pPr>
              <w:pStyle w:val="TableText1"/>
              <w:spacing w:before="120"/>
              <w:jc w:val="center"/>
              <w:rPr>
                <w:rFonts w:ascii="Arial" w:hAnsi="Arial" w:cs="Arial"/>
                <w:b/>
                <w:szCs w:val="16"/>
              </w:rPr>
            </w:pPr>
          </w:p>
        </w:tc>
      </w:tr>
      <w:tr w:rsidR="009D3DC8" w14:paraId="5BC52A64" w14:textId="77777777">
        <w:tc>
          <w:tcPr>
            <w:tcW w:w="2386" w:type="dxa"/>
            <w:tcBorders>
              <w:top w:val="single" w:sz="4" w:space="0" w:color="auto"/>
              <w:left w:val="single" w:sz="4" w:space="0" w:color="auto"/>
              <w:bottom w:val="single" w:sz="4" w:space="0" w:color="auto"/>
              <w:right w:val="single" w:sz="4" w:space="0" w:color="auto"/>
            </w:tcBorders>
          </w:tcPr>
          <w:p w14:paraId="136A8AB4" w14:textId="77777777" w:rsidR="009D3DC8" w:rsidRDefault="009D3DC8">
            <w:pPr>
              <w:pStyle w:val="TableText"/>
              <w:rPr>
                <w:rFonts w:cs="Arial"/>
                <w:szCs w:val="16"/>
              </w:rPr>
            </w:pPr>
            <w:r>
              <w:rPr>
                <w:rFonts w:cs="Arial"/>
                <w:i/>
                <w:szCs w:val="16"/>
              </w:rPr>
              <w:t xml:space="preserve">Pseudococcus cryptus </w:t>
            </w:r>
            <w:r>
              <w:rPr>
                <w:rFonts w:cs="Arial"/>
                <w:b/>
                <w:szCs w:val="16"/>
                <w:vertAlign w:val="superscript"/>
              </w:rPr>
              <w:t>EP</w:t>
            </w:r>
          </w:p>
        </w:tc>
        <w:tc>
          <w:tcPr>
            <w:tcW w:w="1111" w:type="dxa"/>
            <w:vMerge/>
            <w:tcBorders>
              <w:left w:val="single" w:sz="4" w:space="0" w:color="auto"/>
            </w:tcBorders>
            <w:shd w:val="clear" w:color="auto" w:fill="FFE6CD"/>
          </w:tcPr>
          <w:p w14:paraId="7957D1B6" w14:textId="77777777" w:rsidR="009D3DC8" w:rsidRDefault="009D3DC8">
            <w:pPr>
              <w:pStyle w:val="TableText1"/>
              <w:spacing w:before="120"/>
              <w:jc w:val="center"/>
              <w:rPr>
                <w:rFonts w:ascii="Arial" w:hAnsi="Arial" w:cs="Arial"/>
                <w:szCs w:val="16"/>
              </w:rPr>
            </w:pPr>
          </w:p>
        </w:tc>
        <w:tc>
          <w:tcPr>
            <w:tcW w:w="1061" w:type="dxa"/>
            <w:vMerge/>
            <w:shd w:val="clear" w:color="auto" w:fill="FFE6CD"/>
          </w:tcPr>
          <w:p w14:paraId="39152768" w14:textId="77777777" w:rsidR="009D3DC8" w:rsidRDefault="009D3DC8">
            <w:pPr>
              <w:pStyle w:val="TableText1"/>
              <w:spacing w:before="120"/>
              <w:jc w:val="center"/>
              <w:rPr>
                <w:rFonts w:ascii="Arial" w:hAnsi="Arial" w:cs="Arial"/>
                <w:szCs w:val="16"/>
              </w:rPr>
            </w:pPr>
          </w:p>
        </w:tc>
        <w:tc>
          <w:tcPr>
            <w:tcW w:w="980" w:type="dxa"/>
            <w:vMerge/>
            <w:shd w:val="clear" w:color="auto" w:fill="FFE6CD"/>
          </w:tcPr>
          <w:p w14:paraId="7B959705" w14:textId="77777777" w:rsidR="009D3DC8" w:rsidRDefault="009D3DC8">
            <w:pPr>
              <w:pStyle w:val="TableText1"/>
              <w:spacing w:before="120"/>
              <w:jc w:val="center"/>
              <w:rPr>
                <w:rFonts w:ascii="Arial" w:hAnsi="Arial" w:cs="Arial"/>
                <w:szCs w:val="16"/>
              </w:rPr>
            </w:pPr>
          </w:p>
        </w:tc>
        <w:tc>
          <w:tcPr>
            <w:tcW w:w="1451" w:type="dxa"/>
            <w:gridSpan w:val="2"/>
            <w:vMerge/>
            <w:shd w:val="clear" w:color="auto" w:fill="FFE7E7"/>
          </w:tcPr>
          <w:p w14:paraId="34CF9DA4" w14:textId="77777777" w:rsidR="009D3DC8" w:rsidRDefault="009D3DC8">
            <w:pPr>
              <w:pStyle w:val="TableText1"/>
              <w:spacing w:before="120"/>
              <w:jc w:val="center"/>
              <w:rPr>
                <w:rFonts w:ascii="Arial" w:hAnsi="Arial" w:cs="Arial"/>
                <w:szCs w:val="16"/>
              </w:rPr>
            </w:pPr>
          </w:p>
        </w:tc>
        <w:tc>
          <w:tcPr>
            <w:tcW w:w="931" w:type="dxa"/>
            <w:vMerge/>
            <w:shd w:val="clear" w:color="auto" w:fill="D9F1FF"/>
          </w:tcPr>
          <w:p w14:paraId="1BDF7C1D" w14:textId="77777777" w:rsidR="009D3DC8" w:rsidRDefault="009D3DC8">
            <w:pPr>
              <w:pStyle w:val="TableText1"/>
              <w:spacing w:before="120"/>
              <w:jc w:val="center"/>
              <w:rPr>
                <w:rFonts w:ascii="Arial" w:hAnsi="Arial" w:cs="Arial"/>
                <w:szCs w:val="16"/>
              </w:rPr>
            </w:pPr>
          </w:p>
        </w:tc>
        <w:tc>
          <w:tcPr>
            <w:tcW w:w="947" w:type="dxa"/>
            <w:vMerge/>
            <w:shd w:val="clear" w:color="auto" w:fill="E1FFE1"/>
          </w:tcPr>
          <w:p w14:paraId="67A92EB6" w14:textId="77777777" w:rsidR="009D3DC8" w:rsidRDefault="009D3DC8">
            <w:pPr>
              <w:pStyle w:val="TableText1"/>
              <w:spacing w:before="120"/>
              <w:jc w:val="center"/>
              <w:rPr>
                <w:rFonts w:ascii="Arial" w:hAnsi="Arial" w:cs="Arial"/>
                <w:szCs w:val="16"/>
              </w:rPr>
            </w:pPr>
          </w:p>
        </w:tc>
        <w:tc>
          <w:tcPr>
            <w:tcW w:w="704" w:type="dxa"/>
            <w:vMerge/>
            <w:shd w:val="clear" w:color="auto" w:fill="FFFFC1"/>
          </w:tcPr>
          <w:p w14:paraId="6071F593"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0EE6F31B" w14:textId="77777777" w:rsidR="009D3DC8" w:rsidRDefault="009D3DC8">
            <w:pPr>
              <w:pStyle w:val="TableText1"/>
              <w:spacing w:before="120"/>
              <w:jc w:val="center"/>
              <w:rPr>
                <w:rFonts w:ascii="Arial" w:hAnsi="Arial" w:cs="Arial"/>
                <w:szCs w:val="16"/>
              </w:rPr>
            </w:pPr>
          </w:p>
        </w:tc>
        <w:tc>
          <w:tcPr>
            <w:tcW w:w="539" w:type="dxa"/>
            <w:vMerge/>
            <w:shd w:val="clear" w:color="auto" w:fill="FFFFC1"/>
          </w:tcPr>
          <w:p w14:paraId="4D08F919" w14:textId="77777777" w:rsidR="009D3DC8" w:rsidRDefault="009D3DC8">
            <w:pPr>
              <w:pStyle w:val="TableText1"/>
              <w:spacing w:before="120"/>
              <w:jc w:val="center"/>
              <w:rPr>
                <w:rFonts w:ascii="Arial" w:hAnsi="Arial" w:cs="Arial"/>
                <w:szCs w:val="16"/>
              </w:rPr>
            </w:pPr>
          </w:p>
        </w:tc>
        <w:tc>
          <w:tcPr>
            <w:tcW w:w="517" w:type="dxa"/>
            <w:gridSpan w:val="2"/>
            <w:vMerge/>
            <w:shd w:val="clear" w:color="auto" w:fill="FFFFC1"/>
          </w:tcPr>
          <w:p w14:paraId="6C4906F3" w14:textId="77777777" w:rsidR="009D3DC8" w:rsidRDefault="009D3DC8">
            <w:pPr>
              <w:pStyle w:val="TableText1"/>
              <w:spacing w:before="120"/>
              <w:jc w:val="center"/>
              <w:rPr>
                <w:rFonts w:ascii="Arial" w:hAnsi="Arial" w:cs="Arial"/>
                <w:szCs w:val="16"/>
              </w:rPr>
            </w:pPr>
          </w:p>
        </w:tc>
        <w:tc>
          <w:tcPr>
            <w:tcW w:w="563" w:type="dxa"/>
            <w:gridSpan w:val="2"/>
            <w:vMerge/>
            <w:shd w:val="clear" w:color="auto" w:fill="FFFFC1"/>
          </w:tcPr>
          <w:p w14:paraId="489C946F" w14:textId="77777777" w:rsidR="009D3DC8" w:rsidRDefault="009D3DC8">
            <w:pPr>
              <w:pStyle w:val="TableText1"/>
              <w:spacing w:before="120"/>
              <w:jc w:val="center"/>
              <w:rPr>
                <w:rFonts w:ascii="Arial" w:hAnsi="Arial" w:cs="Arial"/>
                <w:szCs w:val="16"/>
              </w:rPr>
            </w:pPr>
          </w:p>
        </w:tc>
        <w:tc>
          <w:tcPr>
            <w:tcW w:w="671" w:type="dxa"/>
            <w:vMerge/>
            <w:shd w:val="clear" w:color="auto" w:fill="FFFFC1"/>
          </w:tcPr>
          <w:p w14:paraId="39F73F6A" w14:textId="77777777" w:rsidR="009D3DC8" w:rsidRDefault="009D3DC8">
            <w:pPr>
              <w:pStyle w:val="TableText1"/>
              <w:spacing w:before="120"/>
              <w:jc w:val="center"/>
              <w:rPr>
                <w:rFonts w:ascii="Arial" w:hAnsi="Arial" w:cs="Arial"/>
                <w:szCs w:val="16"/>
              </w:rPr>
            </w:pPr>
          </w:p>
        </w:tc>
        <w:tc>
          <w:tcPr>
            <w:tcW w:w="1031" w:type="dxa"/>
            <w:vMerge/>
            <w:tcBorders>
              <w:right w:val="single" w:sz="4" w:space="0" w:color="auto"/>
            </w:tcBorders>
            <w:shd w:val="clear" w:color="auto" w:fill="FFFFC1"/>
          </w:tcPr>
          <w:p w14:paraId="5D489E39"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right w:val="single" w:sz="4" w:space="0" w:color="auto"/>
            </w:tcBorders>
            <w:shd w:val="clear" w:color="auto" w:fill="CCFF66"/>
          </w:tcPr>
          <w:p w14:paraId="45EACCF2" w14:textId="77777777" w:rsidR="009D3DC8" w:rsidRDefault="009D3DC8">
            <w:pPr>
              <w:pStyle w:val="TableText1"/>
              <w:spacing w:before="120"/>
              <w:jc w:val="center"/>
              <w:rPr>
                <w:rFonts w:ascii="Arial" w:hAnsi="Arial" w:cs="Arial"/>
                <w:b/>
                <w:szCs w:val="16"/>
              </w:rPr>
            </w:pPr>
          </w:p>
        </w:tc>
      </w:tr>
      <w:tr w:rsidR="009D3DC8" w14:paraId="6C32BC3C" w14:textId="77777777">
        <w:tc>
          <w:tcPr>
            <w:tcW w:w="2386" w:type="dxa"/>
            <w:tcBorders>
              <w:top w:val="single" w:sz="4" w:space="0" w:color="auto"/>
              <w:left w:val="single" w:sz="4" w:space="0" w:color="auto"/>
              <w:bottom w:val="single" w:sz="4" w:space="0" w:color="auto"/>
              <w:right w:val="single" w:sz="4" w:space="0" w:color="auto"/>
            </w:tcBorders>
          </w:tcPr>
          <w:p w14:paraId="35F82D4C" w14:textId="77777777" w:rsidR="009D3DC8" w:rsidRDefault="009D3DC8">
            <w:pPr>
              <w:pStyle w:val="TableText"/>
              <w:rPr>
                <w:rFonts w:cs="Arial"/>
                <w:szCs w:val="16"/>
              </w:rPr>
            </w:pPr>
            <w:r>
              <w:rPr>
                <w:rFonts w:cs="Arial"/>
                <w:i/>
                <w:szCs w:val="16"/>
              </w:rPr>
              <w:t xml:space="preserve">Rastrococcus spinosus </w:t>
            </w:r>
            <w:r>
              <w:rPr>
                <w:rFonts w:cs="Arial"/>
                <w:b/>
                <w:szCs w:val="16"/>
                <w:vertAlign w:val="superscript"/>
              </w:rPr>
              <w:t>EP</w:t>
            </w:r>
          </w:p>
        </w:tc>
        <w:tc>
          <w:tcPr>
            <w:tcW w:w="1111" w:type="dxa"/>
            <w:vMerge/>
            <w:tcBorders>
              <w:left w:val="single" w:sz="4" w:space="0" w:color="auto"/>
              <w:bottom w:val="single" w:sz="4" w:space="0" w:color="auto"/>
            </w:tcBorders>
            <w:shd w:val="clear" w:color="auto" w:fill="FFE6CD"/>
          </w:tcPr>
          <w:p w14:paraId="0CEE96D4" w14:textId="77777777" w:rsidR="009D3DC8" w:rsidRDefault="009D3DC8">
            <w:pPr>
              <w:pStyle w:val="TableText1"/>
              <w:spacing w:before="120"/>
              <w:jc w:val="center"/>
              <w:rPr>
                <w:rFonts w:ascii="Arial" w:hAnsi="Arial" w:cs="Arial"/>
                <w:szCs w:val="16"/>
              </w:rPr>
            </w:pPr>
          </w:p>
        </w:tc>
        <w:tc>
          <w:tcPr>
            <w:tcW w:w="1061" w:type="dxa"/>
            <w:vMerge/>
            <w:tcBorders>
              <w:bottom w:val="single" w:sz="4" w:space="0" w:color="auto"/>
            </w:tcBorders>
            <w:shd w:val="clear" w:color="auto" w:fill="FFE6CD"/>
          </w:tcPr>
          <w:p w14:paraId="381CEACE" w14:textId="77777777" w:rsidR="009D3DC8" w:rsidRDefault="009D3DC8">
            <w:pPr>
              <w:pStyle w:val="TableText1"/>
              <w:spacing w:before="120"/>
              <w:jc w:val="center"/>
              <w:rPr>
                <w:rFonts w:ascii="Arial" w:hAnsi="Arial" w:cs="Arial"/>
                <w:szCs w:val="16"/>
              </w:rPr>
            </w:pPr>
          </w:p>
        </w:tc>
        <w:tc>
          <w:tcPr>
            <w:tcW w:w="980" w:type="dxa"/>
            <w:vMerge/>
            <w:tcBorders>
              <w:bottom w:val="single" w:sz="4" w:space="0" w:color="auto"/>
            </w:tcBorders>
            <w:shd w:val="clear" w:color="auto" w:fill="FFE6CD"/>
          </w:tcPr>
          <w:p w14:paraId="4868A59F" w14:textId="77777777" w:rsidR="009D3DC8" w:rsidRDefault="009D3DC8">
            <w:pPr>
              <w:pStyle w:val="TableText1"/>
              <w:spacing w:before="120"/>
              <w:jc w:val="center"/>
              <w:rPr>
                <w:rFonts w:ascii="Arial" w:hAnsi="Arial" w:cs="Arial"/>
                <w:szCs w:val="16"/>
              </w:rPr>
            </w:pPr>
          </w:p>
        </w:tc>
        <w:tc>
          <w:tcPr>
            <w:tcW w:w="1451" w:type="dxa"/>
            <w:gridSpan w:val="2"/>
            <w:vMerge/>
            <w:tcBorders>
              <w:bottom w:val="single" w:sz="4" w:space="0" w:color="auto"/>
            </w:tcBorders>
            <w:shd w:val="clear" w:color="auto" w:fill="FFE7E7"/>
          </w:tcPr>
          <w:p w14:paraId="71A694DB" w14:textId="77777777" w:rsidR="009D3DC8" w:rsidRDefault="009D3DC8">
            <w:pPr>
              <w:pStyle w:val="TableText1"/>
              <w:spacing w:before="120"/>
              <w:jc w:val="center"/>
              <w:rPr>
                <w:rFonts w:ascii="Arial" w:hAnsi="Arial" w:cs="Arial"/>
                <w:szCs w:val="16"/>
              </w:rPr>
            </w:pPr>
          </w:p>
        </w:tc>
        <w:tc>
          <w:tcPr>
            <w:tcW w:w="931" w:type="dxa"/>
            <w:vMerge/>
            <w:tcBorders>
              <w:bottom w:val="single" w:sz="4" w:space="0" w:color="auto"/>
            </w:tcBorders>
            <w:shd w:val="clear" w:color="auto" w:fill="D9F1FF"/>
          </w:tcPr>
          <w:p w14:paraId="1EA99C6F" w14:textId="77777777" w:rsidR="009D3DC8" w:rsidRDefault="009D3DC8">
            <w:pPr>
              <w:pStyle w:val="TableText1"/>
              <w:spacing w:before="120"/>
              <w:jc w:val="center"/>
              <w:rPr>
                <w:rFonts w:ascii="Arial" w:hAnsi="Arial" w:cs="Arial"/>
                <w:szCs w:val="16"/>
              </w:rPr>
            </w:pPr>
          </w:p>
        </w:tc>
        <w:tc>
          <w:tcPr>
            <w:tcW w:w="947" w:type="dxa"/>
            <w:vMerge/>
            <w:tcBorders>
              <w:bottom w:val="single" w:sz="4" w:space="0" w:color="auto"/>
            </w:tcBorders>
            <w:shd w:val="clear" w:color="auto" w:fill="E1FFE1"/>
          </w:tcPr>
          <w:p w14:paraId="6BE30000" w14:textId="77777777" w:rsidR="009D3DC8" w:rsidRDefault="009D3DC8">
            <w:pPr>
              <w:pStyle w:val="TableText1"/>
              <w:spacing w:before="120"/>
              <w:jc w:val="center"/>
              <w:rPr>
                <w:rFonts w:ascii="Arial" w:hAnsi="Arial" w:cs="Arial"/>
                <w:szCs w:val="16"/>
              </w:rPr>
            </w:pPr>
          </w:p>
        </w:tc>
        <w:tc>
          <w:tcPr>
            <w:tcW w:w="704" w:type="dxa"/>
            <w:vMerge/>
            <w:tcBorders>
              <w:bottom w:val="single" w:sz="4" w:space="0" w:color="auto"/>
            </w:tcBorders>
            <w:shd w:val="clear" w:color="auto" w:fill="FFFFC1"/>
          </w:tcPr>
          <w:p w14:paraId="7E83EA3F" w14:textId="77777777" w:rsidR="009D3DC8" w:rsidRDefault="009D3DC8">
            <w:pPr>
              <w:pStyle w:val="TableText1"/>
              <w:spacing w:before="120"/>
              <w:jc w:val="center"/>
              <w:rPr>
                <w:rFonts w:ascii="Arial" w:hAnsi="Arial" w:cs="Arial"/>
                <w:szCs w:val="16"/>
              </w:rPr>
            </w:pPr>
          </w:p>
        </w:tc>
        <w:tc>
          <w:tcPr>
            <w:tcW w:w="539" w:type="dxa"/>
            <w:vMerge/>
            <w:tcBorders>
              <w:bottom w:val="single" w:sz="4" w:space="0" w:color="auto"/>
            </w:tcBorders>
            <w:shd w:val="clear" w:color="auto" w:fill="FFFFC1"/>
          </w:tcPr>
          <w:p w14:paraId="25BE629B" w14:textId="77777777" w:rsidR="009D3DC8" w:rsidRDefault="009D3DC8">
            <w:pPr>
              <w:pStyle w:val="TableText1"/>
              <w:spacing w:before="120"/>
              <w:jc w:val="center"/>
              <w:rPr>
                <w:rFonts w:ascii="Arial" w:hAnsi="Arial" w:cs="Arial"/>
                <w:szCs w:val="16"/>
              </w:rPr>
            </w:pPr>
          </w:p>
        </w:tc>
        <w:tc>
          <w:tcPr>
            <w:tcW w:w="539" w:type="dxa"/>
            <w:vMerge/>
            <w:tcBorders>
              <w:bottom w:val="single" w:sz="4" w:space="0" w:color="auto"/>
            </w:tcBorders>
            <w:shd w:val="clear" w:color="auto" w:fill="FFFFC1"/>
          </w:tcPr>
          <w:p w14:paraId="13D9A78F" w14:textId="77777777" w:rsidR="009D3DC8" w:rsidRDefault="009D3DC8">
            <w:pPr>
              <w:pStyle w:val="TableText1"/>
              <w:spacing w:before="120"/>
              <w:jc w:val="center"/>
              <w:rPr>
                <w:rFonts w:ascii="Arial" w:hAnsi="Arial" w:cs="Arial"/>
                <w:szCs w:val="16"/>
              </w:rPr>
            </w:pPr>
          </w:p>
        </w:tc>
        <w:tc>
          <w:tcPr>
            <w:tcW w:w="517" w:type="dxa"/>
            <w:gridSpan w:val="2"/>
            <w:vMerge/>
            <w:tcBorders>
              <w:bottom w:val="single" w:sz="4" w:space="0" w:color="auto"/>
            </w:tcBorders>
            <w:shd w:val="clear" w:color="auto" w:fill="FFFFC1"/>
          </w:tcPr>
          <w:p w14:paraId="1FFDC4DC" w14:textId="77777777" w:rsidR="009D3DC8" w:rsidRDefault="009D3DC8">
            <w:pPr>
              <w:pStyle w:val="TableText1"/>
              <w:spacing w:before="120"/>
              <w:jc w:val="center"/>
              <w:rPr>
                <w:rFonts w:ascii="Arial" w:hAnsi="Arial" w:cs="Arial"/>
                <w:szCs w:val="16"/>
              </w:rPr>
            </w:pPr>
          </w:p>
        </w:tc>
        <w:tc>
          <w:tcPr>
            <w:tcW w:w="563" w:type="dxa"/>
            <w:gridSpan w:val="2"/>
            <w:vMerge/>
            <w:tcBorders>
              <w:bottom w:val="single" w:sz="4" w:space="0" w:color="auto"/>
            </w:tcBorders>
            <w:shd w:val="clear" w:color="auto" w:fill="FFFFC1"/>
          </w:tcPr>
          <w:p w14:paraId="6575F054" w14:textId="77777777" w:rsidR="009D3DC8" w:rsidRDefault="009D3DC8">
            <w:pPr>
              <w:pStyle w:val="TableText1"/>
              <w:spacing w:before="120"/>
              <w:jc w:val="center"/>
              <w:rPr>
                <w:rFonts w:ascii="Arial" w:hAnsi="Arial" w:cs="Arial"/>
                <w:szCs w:val="16"/>
              </w:rPr>
            </w:pPr>
          </w:p>
        </w:tc>
        <w:tc>
          <w:tcPr>
            <w:tcW w:w="671" w:type="dxa"/>
            <w:vMerge/>
            <w:tcBorders>
              <w:bottom w:val="single" w:sz="4" w:space="0" w:color="auto"/>
            </w:tcBorders>
            <w:shd w:val="clear" w:color="auto" w:fill="FFFFC1"/>
          </w:tcPr>
          <w:p w14:paraId="7891C07F" w14:textId="77777777" w:rsidR="009D3DC8" w:rsidRDefault="009D3DC8">
            <w:pPr>
              <w:pStyle w:val="TableText1"/>
              <w:spacing w:before="120"/>
              <w:jc w:val="center"/>
              <w:rPr>
                <w:rFonts w:ascii="Arial" w:hAnsi="Arial" w:cs="Arial"/>
                <w:szCs w:val="16"/>
              </w:rPr>
            </w:pPr>
          </w:p>
        </w:tc>
        <w:tc>
          <w:tcPr>
            <w:tcW w:w="1031" w:type="dxa"/>
            <w:vMerge/>
            <w:tcBorders>
              <w:bottom w:val="single" w:sz="4" w:space="0" w:color="auto"/>
              <w:right w:val="single" w:sz="4" w:space="0" w:color="auto"/>
            </w:tcBorders>
            <w:shd w:val="clear" w:color="auto" w:fill="FFFFC1"/>
          </w:tcPr>
          <w:p w14:paraId="0A92BD41" w14:textId="77777777" w:rsidR="009D3DC8" w:rsidRDefault="009D3DC8">
            <w:pPr>
              <w:pStyle w:val="TableText1"/>
              <w:spacing w:before="120"/>
              <w:jc w:val="center"/>
              <w:rPr>
                <w:rFonts w:ascii="Arial" w:hAnsi="Arial" w:cs="Arial"/>
                <w:szCs w:val="16"/>
              </w:rPr>
            </w:pPr>
          </w:p>
        </w:tc>
        <w:tc>
          <w:tcPr>
            <w:tcW w:w="1080" w:type="dxa"/>
            <w:vMerge/>
            <w:tcBorders>
              <w:left w:val="single" w:sz="4" w:space="0" w:color="auto"/>
              <w:bottom w:val="single" w:sz="4" w:space="0" w:color="auto"/>
              <w:right w:val="single" w:sz="4" w:space="0" w:color="auto"/>
            </w:tcBorders>
            <w:shd w:val="clear" w:color="auto" w:fill="CCFF66"/>
          </w:tcPr>
          <w:p w14:paraId="3A73167E" w14:textId="77777777" w:rsidR="009D3DC8" w:rsidRDefault="009D3DC8">
            <w:pPr>
              <w:pStyle w:val="TableText1"/>
              <w:spacing w:before="120"/>
              <w:jc w:val="center"/>
              <w:rPr>
                <w:rFonts w:ascii="Arial" w:hAnsi="Arial" w:cs="Arial"/>
                <w:b/>
                <w:szCs w:val="16"/>
              </w:rPr>
            </w:pPr>
          </w:p>
        </w:tc>
      </w:tr>
      <w:tr w:rsidR="009D3DC8" w14:paraId="5D74AC64" w14:textId="77777777">
        <w:tc>
          <w:tcPr>
            <w:tcW w:w="14511" w:type="dxa"/>
            <w:gridSpan w:val="18"/>
            <w:tcBorders>
              <w:top w:val="single" w:sz="4" w:space="0" w:color="auto"/>
              <w:left w:val="single" w:sz="4" w:space="0" w:color="auto"/>
              <w:bottom w:val="single" w:sz="4" w:space="0" w:color="auto"/>
              <w:right w:val="single" w:sz="4" w:space="0" w:color="auto"/>
            </w:tcBorders>
            <w:shd w:val="clear" w:color="auto" w:fill="E6E6E6"/>
          </w:tcPr>
          <w:p w14:paraId="716C292E" w14:textId="77777777" w:rsidR="009D3DC8" w:rsidRDefault="009D3DC8">
            <w:pPr>
              <w:pStyle w:val="TableText1"/>
              <w:spacing w:before="120"/>
              <w:rPr>
                <w:rFonts w:ascii="Arial" w:hAnsi="Arial" w:cs="Arial"/>
                <w:b/>
                <w:szCs w:val="16"/>
              </w:rPr>
            </w:pPr>
            <w:r>
              <w:rPr>
                <w:rFonts w:ascii="Arial" w:hAnsi="Arial" w:cs="Arial"/>
                <w:b/>
                <w:szCs w:val="16"/>
              </w:rPr>
              <w:t>Ants [Hymenoptera: Formicidae]</w:t>
            </w:r>
          </w:p>
        </w:tc>
      </w:tr>
      <w:tr w:rsidR="009D3DC8" w14:paraId="44354084" w14:textId="77777777">
        <w:tc>
          <w:tcPr>
            <w:tcW w:w="2386" w:type="dxa"/>
            <w:tcBorders>
              <w:top w:val="single" w:sz="4" w:space="0" w:color="auto"/>
              <w:left w:val="single" w:sz="4" w:space="0" w:color="auto"/>
              <w:bottom w:val="single" w:sz="4" w:space="0" w:color="auto"/>
              <w:right w:val="single" w:sz="4" w:space="0" w:color="auto"/>
            </w:tcBorders>
          </w:tcPr>
          <w:p w14:paraId="60065AB5" w14:textId="77777777" w:rsidR="009D3DC8" w:rsidRDefault="009D3DC8">
            <w:pPr>
              <w:pStyle w:val="TableText"/>
              <w:rPr>
                <w:rFonts w:cs="Arial"/>
                <w:szCs w:val="16"/>
              </w:rPr>
            </w:pPr>
            <w:r>
              <w:rPr>
                <w:rFonts w:cs="Arial"/>
                <w:i/>
                <w:szCs w:val="16"/>
              </w:rPr>
              <w:t xml:space="preserve">Camponotus </w:t>
            </w:r>
            <w:r>
              <w:rPr>
                <w:rFonts w:cs="Arial"/>
                <w:szCs w:val="16"/>
              </w:rPr>
              <w:t>sp.</w:t>
            </w:r>
          </w:p>
        </w:tc>
        <w:tc>
          <w:tcPr>
            <w:tcW w:w="1111" w:type="dxa"/>
            <w:vMerge w:val="restart"/>
            <w:tcBorders>
              <w:top w:val="single" w:sz="4" w:space="0" w:color="C0C0C0"/>
              <w:left w:val="single" w:sz="4" w:space="0" w:color="auto"/>
            </w:tcBorders>
            <w:shd w:val="clear" w:color="auto" w:fill="FFE6CD"/>
          </w:tcPr>
          <w:p w14:paraId="6ED2BE8C" w14:textId="77777777" w:rsidR="009D3DC8" w:rsidRDefault="009D3DC8">
            <w:pPr>
              <w:pStyle w:val="TableText"/>
              <w:spacing w:before="120"/>
              <w:jc w:val="center"/>
              <w:rPr>
                <w:rFonts w:cs="Arial"/>
                <w:szCs w:val="16"/>
              </w:rPr>
            </w:pPr>
            <w:r>
              <w:rPr>
                <w:rFonts w:cs="Arial"/>
                <w:szCs w:val="16"/>
              </w:rPr>
              <w:t>High</w:t>
            </w:r>
          </w:p>
        </w:tc>
        <w:tc>
          <w:tcPr>
            <w:tcW w:w="1061" w:type="dxa"/>
            <w:vMerge w:val="restart"/>
            <w:tcBorders>
              <w:top w:val="single" w:sz="4" w:space="0" w:color="C0C0C0"/>
            </w:tcBorders>
            <w:shd w:val="clear" w:color="auto" w:fill="FFE6CD"/>
          </w:tcPr>
          <w:p w14:paraId="25E4F72C" w14:textId="77777777" w:rsidR="009D3DC8" w:rsidRDefault="009D3DC8">
            <w:pPr>
              <w:pStyle w:val="TableText"/>
              <w:spacing w:before="120"/>
              <w:jc w:val="center"/>
              <w:rPr>
                <w:rFonts w:cs="Arial"/>
                <w:szCs w:val="16"/>
              </w:rPr>
            </w:pPr>
            <w:r>
              <w:rPr>
                <w:rFonts w:cs="Arial"/>
                <w:szCs w:val="16"/>
              </w:rPr>
              <w:t>High</w:t>
            </w:r>
          </w:p>
        </w:tc>
        <w:tc>
          <w:tcPr>
            <w:tcW w:w="980" w:type="dxa"/>
            <w:vMerge w:val="restart"/>
            <w:tcBorders>
              <w:top w:val="single" w:sz="4" w:space="0" w:color="C0C0C0"/>
            </w:tcBorders>
            <w:shd w:val="clear" w:color="auto" w:fill="FFE6CD"/>
          </w:tcPr>
          <w:p w14:paraId="5BEB25A1" w14:textId="77777777" w:rsidR="009D3DC8" w:rsidRDefault="009D3DC8">
            <w:pPr>
              <w:pStyle w:val="TableText"/>
              <w:spacing w:before="120"/>
              <w:jc w:val="center"/>
              <w:rPr>
                <w:rFonts w:cs="Arial"/>
                <w:szCs w:val="16"/>
              </w:rPr>
            </w:pPr>
            <w:r>
              <w:rPr>
                <w:rFonts w:cs="Arial"/>
                <w:szCs w:val="16"/>
              </w:rPr>
              <w:t>High</w:t>
            </w:r>
          </w:p>
        </w:tc>
        <w:tc>
          <w:tcPr>
            <w:tcW w:w="1451" w:type="dxa"/>
            <w:gridSpan w:val="2"/>
            <w:vMerge w:val="restart"/>
            <w:tcBorders>
              <w:top w:val="single" w:sz="4" w:space="0" w:color="C0C0C0"/>
            </w:tcBorders>
            <w:shd w:val="clear" w:color="auto" w:fill="FFE7E7"/>
          </w:tcPr>
          <w:p w14:paraId="670F78BD" w14:textId="77777777" w:rsidR="009D3DC8" w:rsidRDefault="009D3DC8">
            <w:pPr>
              <w:pStyle w:val="TableText"/>
              <w:spacing w:before="120"/>
              <w:jc w:val="center"/>
              <w:rPr>
                <w:rFonts w:cs="Arial"/>
                <w:szCs w:val="16"/>
              </w:rPr>
            </w:pPr>
            <w:r>
              <w:rPr>
                <w:rFonts w:cs="Arial"/>
                <w:szCs w:val="16"/>
              </w:rPr>
              <w:t>Moderate</w:t>
            </w:r>
          </w:p>
        </w:tc>
        <w:tc>
          <w:tcPr>
            <w:tcW w:w="931" w:type="dxa"/>
            <w:vMerge w:val="restart"/>
            <w:tcBorders>
              <w:top w:val="single" w:sz="4" w:space="0" w:color="C0C0C0"/>
            </w:tcBorders>
            <w:shd w:val="clear" w:color="auto" w:fill="D9F1FF"/>
          </w:tcPr>
          <w:p w14:paraId="5797D009" w14:textId="77777777" w:rsidR="009D3DC8" w:rsidRDefault="009D3DC8">
            <w:pPr>
              <w:pStyle w:val="TableText"/>
              <w:spacing w:before="120"/>
              <w:jc w:val="center"/>
              <w:rPr>
                <w:rFonts w:cs="Arial"/>
                <w:szCs w:val="16"/>
              </w:rPr>
            </w:pPr>
            <w:r>
              <w:rPr>
                <w:rFonts w:cs="Arial"/>
                <w:szCs w:val="16"/>
              </w:rPr>
              <w:t>High</w:t>
            </w:r>
          </w:p>
        </w:tc>
        <w:tc>
          <w:tcPr>
            <w:tcW w:w="947" w:type="dxa"/>
            <w:vMerge w:val="restart"/>
            <w:tcBorders>
              <w:top w:val="single" w:sz="4" w:space="0" w:color="C0C0C0"/>
            </w:tcBorders>
            <w:shd w:val="clear" w:color="auto" w:fill="E1FFE1"/>
          </w:tcPr>
          <w:p w14:paraId="7614E041" w14:textId="77777777" w:rsidR="009D3DC8" w:rsidRDefault="009D3DC8">
            <w:pPr>
              <w:pStyle w:val="TableText"/>
              <w:spacing w:before="120"/>
              <w:jc w:val="center"/>
              <w:rPr>
                <w:rFonts w:cs="Arial"/>
                <w:szCs w:val="16"/>
              </w:rPr>
            </w:pPr>
            <w:r>
              <w:rPr>
                <w:rFonts w:cs="Arial"/>
                <w:szCs w:val="16"/>
              </w:rPr>
              <w:t>Moderate</w:t>
            </w:r>
          </w:p>
        </w:tc>
        <w:tc>
          <w:tcPr>
            <w:tcW w:w="704" w:type="dxa"/>
            <w:vMerge w:val="restart"/>
            <w:tcBorders>
              <w:top w:val="single" w:sz="4" w:space="0" w:color="C0C0C0"/>
            </w:tcBorders>
            <w:shd w:val="clear" w:color="auto" w:fill="FFFFC1"/>
          </w:tcPr>
          <w:p w14:paraId="19EC088A" w14:textId="77777777" w:rsidR="009D3DC8" w:rsidRDefault="009D3DC8">
            <w:pPr>
              <w:pStyle w:val="TableText"/>
              <w:spacing w:before="120"/>
              <w:jc w:val="center"/>
              <w:rPr>
                <w:rFonts w:cs="Arial"/>
                <w:szCs w:val="16"/>
              </w:rPr>
            </w:pPr>
            <w:r>
              <w:rPr>
                <w:rFonts w:cs="Arial"/>
                <w:szCs w:val="16"/>
              </w:rPr>
              <w:t>C</w:t>
            </w:r>
          </w:p>
        </w:tc>
        <w:tc>
          <w:tcPr>
            <w:tcW w:w="539" w:type="dxa"/>
            <w:vMerge w:val="restart"/>
            <w:tcBorders>
              <w:top w:val="single" w:sz="4" w:space="0" w:color="C0C0C0"/>
            </w:tcBorders>
            <w:shd w:val="clear" w:color="auto" w:fill="FFFFC1"/>
          </w:tcPr>
          <w:p w14:paraId="0F105168" w14:textId="77777777" w:rsidR="009D3DC8" w:rsidRDefault="009D3DC8">
            <w:pPr>
              <w:pStyle w:val="TableText"/>
              <w:spacing w:before="120"/>
              <w:jc w:val="center"/>
              <w:rPr>
                <w:rFonts w:cs="Arial"/>
                <w:szCs w:val="16"/>
              </w:rPr>
            </w:pPr>
            <w:r>
              <w:rPr>
                <w:rFonts w:cs="Arial"/>
                <w:szCs w:val="16"/>
              </w:rPr>
              <w:t>E</w:t>
            </w:r>
          </w:p>
        </w:tc>
        <w:tc>
          <w:tcPr>
            <w:tcW w:w="539" w:type="dxa"/>
            <w:vMerge w:val="restart"/>
            <w:tcBorders>
              <w:top w:val="single" w:sz="4" w:space="0" w:color="C0C0C0"/>
            </w:tcBorders>
            <w:shd w:val="clear" w:color="auto" w:fill="FFFFC1"/>
          </w:tcPr>
          <w:p w14:paraId="000FA9E6" w14:textId="77777777" w:rsidR="009D3DC8" w:rsidRDefault="009D3DC8">
            <w:pPr>
              <w:pStyle w:val="TableText"/>
              <w:spacing w:before="120"/>
              <w:jc w:val="center"/>
              <w:rPr>
                <w:rFonts w:cs="Arial"/>
                <w:szCs w:val="16"/>
              </w:rPr>
            </w:pPr>
            <w:r>
              <w:rPr>
                <w:rFonts w:cs="Arial"/>
                <w:szCs w:val="16"/>
              </w:rPr>
              <w:t>E</w:t>
            </w:r>
          </w:p>
        </w:tc>
        <w:tc>
          <w:tcPr>
            <w:tcW w:w="541" w:type="dxa"/>
            <w:gridSpan w:val="3"/>
            <w:vMerge w:val="restart"/>
            <w:tcBorders>
              <w:top w:val="single" w:sz="4" w:space="0" w:color="C0C0C0"/>
            </w:tcBorders>
            <w:shd w:val="clear" w:color="auto" w:fill="FFFFC1"/>
          </w:tcPr>
          <w:p w14:paraId="73F588FC" w14:textId="77777777" w:rsidR="009D3DC8" w:rsidRDefault="009D3DC8">
            <w:pPr>
              <w:pStyle w:val="TableText"/>
              <w:spacing w:before="120"/>
              <w:jc w:val="center"/>
              <w:rPr>
                <w:rFonts w:cs="Arial"/>
                <w:szCs w:val="16"/>
              </w:rPr>
            </w:pPr>
            <w:r>
              <w:rPr>
                <w:rFonts w:cs="Arial"/>
                <w:szCs w:val="16"/>
              </w:rPr>
              <w:t>E</w:t>
            </w:r>
          </w:p>
        </w:tc>
        <w:tc>
          <w:tcPr>
            <w:tcW w:w="539" w:type="dxa"/>
            <w:vMerge w:val="restart"/>
            <w:tcBorders>
              <w:top w:val="single" w:sz="4" w:space="0" w:color="C0C0C0"/>
            </w:tcBorders>
            <w:shd w:val="clear" w:color="auto" w:fill="FFFFC1"/>
          </w:tcPr>
          <w:p w14:paraId="2D9520BD" w14:textId="77777777" w:rsidR="009D3DC8" w:rsidRDefault="009D3DC8">
            <w:pPr>
              <w:pStyle w:val="TableText"/>
              <w:spacing w:before="120"/>
              <w:jc w:val="center"/>
              <w:rPr>
                <w:rFonts w:cs="Arial"/>
                <w:szCs w:val="16"/>
              </w:rPr>
            </w:pPr>
            <w:r>
              <w:rPr>
                <w:rFonts w:cs="Arial"/>
                <w:szCs w:val="16"/>
              </w:rPr>
              <w:t>D</w:t>
            </w:r>
          </w:p>
        </w:tc>
        <w:tc>
          <w:tcPr>
            <w:tcW w:w="671" w:type="dxa"/>
            <w:vMerge w:val="restart"/>
            <w:tcBorders>
              <w:top w:val="single" w:sz="4" w:space="0" w:color="C0C0C0"/>
            </w:tcBorders>
            <w:shd w:val="clear" w:color="auto" w:fill="FFFFC1"/>
          </w:tcPr>
          <w:p w14:paraId="4D15B738" w14:textId="77777777" w:rsidR="009D3DC8" w:rsidRDefault="009D3DC8">
            <w:pPr>
              <w:pStyle w:val="TableText"/>
              <w:spacing w:before="120"/>
              <w:jc w:val="center"/>
              <w:rPr>
                <w:rFonts w:cs="Arial"/>
                <w:szCs w:val="16"/>
              </w:rPr>
            </w:pPr>
            <w:r>
              <w:rPr>
                <w:rFonts w:cs="Arial"/>
                <w:szCs w:val="16"/>
              </w:rPr>
              <w:t>D</w:t>
            </w:r>
          </w:p>
        </w:tc>
        <w:tc>
          <w:tcPr>
            <w:tcW w:w="1031" w:type="dxa"/>
            <w:vMerge w:val="restart"/>
            <w:tcBorders>
              <w:top w:val="single" w:sz="4" w:space="0" w:color="C0C0C0"/>
              <w:right w:val="single" w:sz="4" w:space="0" w:color="auto"/>
            </w:tcBorders>
            <w:shd w:val="clear" w:color="auto" w:fill="FFFFC1"/>
          </w:tcPr>
          <w:p w14:paraId="5522C0E6" w14:textId="77777777" w:rsidR="009D3DC8" w:rsidRDefault="009D3DC8">
            <w:pPr>
              <w:pStyle w:val="TableText"/>
              <w:spacing w:before="120"/>
              <w:jc w:val="center"/>
              <w:rPr>
                <w:rFonts w:cs="Arial"/>
                <w:szCs w:val="16"/>
              </w:rPr>
            </w:pPr>
            <w:r>
              <w:rPr>
                <w:rFonts w:cs="Arial"/>
                <w:szCs w:val="16"/>
              </w:rPr>
              <w:t>Moderate</w:t>
            </w:r>
          </w:p>
        </w:tc>
        <w:tc>
          <w:tcPr>
            <w:tcW w:w="1080" w:type="dxa"/>
            <w:vMerge w:val="restart"/>
            <w:tcBorders>
              <w:top w:val="single" w:sz="4" w:space="0" w:color="C0C0C0"/>
              <w:left w:val="single" w:sz="4" w:space="0" w:color="auto"/>
              <w:right w:val="single" w:sz="4" w:space="0" w:color="auto"/>
            </w:tcBorders>
            <w:shd w:val="clear" w:color="auto" w:fill="CCFF66"/>
          </w:tcPr>
          <w:p w14:paraId="314F246D" w14:textId="77777777" w:rsidR="009D3DC8" w:rsidRDefault="009D3DC8">
            <w:pPr>
              <w:pStyle w:val="TableText"/>
              <w:spacing w:before="120"/>
              <w:jc w:val="center"/>
              <w:rPr>
                <w:rFonts w:cs="Arial"/>
                <w:b/>
                <w:szCs w:val="16"/>
              </w:rPr>
            </w:pPr>
            <w:r>
              <w:rPr>
                <w:rFonts w:cs="Arial"/>
                <w:b/>
                <w:szCs w:val="16"/>
              </w:rPr>
              <w:t>Moderate</w:t>
            </w:r>
          </w:p>
        </w:tc>
      </w:tr>
      <w:tr w:rsidR="009D3DC8" w14:paraId="2A3CFC8D" w14:textId="77777777">
        <w:tc>
          <w:tcPr>
            <w:tcW w:w="2386" w:type="dxa"/>
            <w:tcBorders>
              <w:top w:val="single" w:sz="4" w:space="0" w:color="auto"/>
              <w:left w:val="single" w:sz="4" w:space="0" w:color="auto"/>
              <w:bottom w:val="single" w:sz="4" w:space="0" w:color="auto"/>
              <w:right w:val="single" w:sz="4" w:space="0" w:color="auto"/>
            </w:tcBorders>
          </w:tcPr>
          <w:p w14:paraId="49F8D667" w14:textId="77777777" w:rsidR="009D3DC8" w:rsidRDefault="009D3DC8">
            <w:pPr>
              <w:spacing w:before="60" w:after="60"/>
              <w:rPr>
                <w:rFonts w:ascii="Arial" w:hAnsi="Arial" w:cs="Arial"/>
                <w:sz w:val="16"/>
                <w:szCs w:val="16"/>
              </w:rPr>
            </w:pPr>
            <w:r>
              <w:rPr>
                <w:rFonts w:ascii="Arial" w:hAnsi="Arial" w:cs="Arial"/>
                <w:i/>
                <w:sz w:val="16"/>
                <w:szCs w:val="16"/>
              </w:rPr>
              <w:t xml:space="preserve">Cardiocondyla </w:t>
            </w:r>
            <w:r>
              <w:rPr>
                <w:rFonts w:ascii="Arial" w:hAnsi="Arial" w:cs="Arial"/>
                <w:sz w:val="16"/>
                <w:szCs w:val="16"/>
              </w:rPr>
              <w:t>sp</w:t>
            </w:r>
            <w:r>
              <w:rPr>
                <w:rFonts w:ascii="Arial" w:hAnsi="Arial" w:cs="Arial"/>
                <w:i/>
                <w:sz w:val="16"/>
                <w:szCs w:val="16"/>
              </w:rPr>
              <w:t>.</w:t>
            </w:r>
          </w:p>
        </w:tc>
        <w:tc>
          <w:tcPr>
            <w:tcW w:w="1111" w:type="dxa"/>
            <w:vMerge/>
            <w:tcBorders>
              <w:left w:val="single" w:sz="4" w:space="0" w:color="auto"/>
            </w:tcBorders>
            <w:shd w:val="clear" w:color="auto" w:fill="FFE6CD"/>
          </w:tcPr>
          <w:p w14:paraId="6A460E13" w14:textId="77777777" w:rsidR="009D3DC8" w:rsidRDefault="009D3DC8">
            <w:pPr>
              <w:pStyle w:val="TableText"/>
              <w:jc w:val="center"/>
              <w:rPr>
                <w:rFonts w:cs="Arial"/>
                <w:szCs w:val="16"/>
              </w:rPr>
            </w:pPr>
          </w:p>
        </w:tc>
        <w:tc>
          <w:tcPr>
            <w:tcW w:w="1061" w:type="dxa"/>
            <w:vMerge/>
            <w:shd w:val="clear" w:color="auto" w:fill="FFE6CD"/>
          </w:tcPr>
          <w:p w14:paraId="1C96D4E2" w14:textId="77777777" w:rsidR="009D3DC8" w:rsidRDefault="009D3DC8">
            <w:pPr>
              <w:pStyle w:val="TableText"/>
              <w:jc w:val="center"/>
              <w:rPr>
                <w:rFonts w:cs="Arial"/>
                <w:szCs w:val="16"/>
              </w:rPr>
            </w:pPr>
          </w:p>
        </w:tc>
        <w:tc>
          <w:tcPr>
            <w:tcW w:w="980" w:type="dxa"/>
            <w:vMerge/>
            <w:shd w:val="clear" w:color="auto" w:fill="FFE6CD"/>
          </w:tcPr>
          <w:p w14:paraId="61719DBE" w14:textId="77777777" w:rsidR="009D3DC8" w:rsidRDefault="009D3DC8">
            <w:pPr>
              <w:pStyle w:val="TableText"/>
              <w:jc w:val="center"/>
              <w:rPr>
                <w:rFonts w:cs="Arial"/>
                <w:szCs w:val="16"/>
              </w:rPr>
            </w:pPr>
          </w:p>
        </w:tc>
        <w:tc>
          <w:tcPr>
            <w:tcW w:w="1451" w:type="dxa"/>
            <w:gridSpan w:val="2"/>
            <w:vMerge/>
            <w:shd w:val="clear" w:color="auto" w:fill="FFE7E7"/>
          </w:tcPr>
          <w:p w14:paraId="5EBD7257" w14:textId="77777777" w:rsidR="009D3DC8" w:rsidRDefault="009D3DC8">
            <w:pPr>
              <w:pStyle w:val="TableText"/>
              <w:jc w:val="center"/>
              <w:rPr>
                <w:rFonts w:cs="Arial"/>
                <w:szCs w:val="16"/>
              </w:rPr>
            </w:pPr>
          </w:p>
        </w:tc>
        <w:tc>
          <w:tcPr>
            <w:tcW w:w="931" w:type="dxa"/>
            <w:vMerge/>
            <w:shd w:val="clear" w:color="auto" w:fill="D9F1FF"/>
          </w:tcPr>
          <w:p w14:paraId="24D85829" w14:textId="77777777" w:rsidR="009D3DC8" w:rsidRDefault="009D3DC8">
            <w:pPr>
              <w:pStyle w:val="TableText"/>
              <w:jc w:val="center"/>
              <w:rPr>
                <w:rFonts w:cs="Arial"/>
                <w:szCs w:val="16"/>
              </w:rPr>
            </w:pPr>
          </w:p>
        </w:tc>
        <w:tc>
          <w:tcPr>
            <w:tcW w:w="947" w:type="dxa"/>
            <w:vMerge/>
            <w:shd w:val="clear" w:color="auto" w:fill="E1FFE1"/>
          </w:tcPr>
          <w:p w14:paraId="1ABAED98" w14:textId="77777777" w:rsidR="009D3DC8" w:rsidRDefault="009D3DC8">
            <w:pPr>
              <w:pStyle w:val="TableText"/>
              <w:jc w:val="center"/>
              <w:rPr>
                <w:rFonts w:cs="Arial"/>
                <w:szCs w:val="16"/>
              </w:rPr>
            </w:pPr>
          </w:p>
        </w:tc>
        <w:tc>
          <w:tcPr>
            <w:tcW w:w="704" w:type="dxa"/>
            <w:vMerge/>
            <w:shd w:val="clear" w:color="auto" w:fill="FFFFC1"/>
          </w:tcPr>
          <w:p w14:paraId="1039ABC0" w14:textId="77777777" w:rsidR="009D3DC8" w:rsidRDefault="009D3DC8">
            <w:pPr>
              <w:pStyle w:val="TableText"/>
              <w:jc w:val="center"/>
              <w:rPr>
                <w:rFonts w:cs="Arial"/>
                <w:szCs w:val="16"/>
              </w:rPr>
            </w:pPr>
          </w:p>
        </w:tc>
        <w:tc>
          <w:tcPr>
            <w:tcW w:w="539" w:type="dxa"/>
            <w:vMerge/>
            <w:shd w:val="clear" w:color="auto" w:fill="FFFFC1"/>
          </w:tcPr>
          <w:p w14:paraId="0F7E9BD3" w14:textId="77777777" w:rsidR="009D3DC8" w:rsidRDefault="009D3DC8">
            <w:pPr>
              <w:pStyle w:val="TableText"/>
              <w:jc w:val="center"/>
              <w:rPr>
                <w:rFonts w:cs="Arial"/>
                <w:szCs w:val="16"/>
              </w:rPr>
            </w:pPr>
          </w:p>
        </w:tc>
        <w:tc>
          <w:tcPr>
            <w:tcW w:w="539" w:type="dxa"/>
            <w:vMerge/>
            <w:shd w:val="clear" w:color="auto" w:fill="FFFFC1"/>
          </w:tcPr>
          <w:p w14:paraId="072CB48A" w14:textId="77777777" w:rsidR="009D3DC8" w:rsidRDefault="009D3DC8">
            <w:pPr>
              <w:pStyle w:val="TableText"/>
              <w:jc w:val="center"/>
              <w:rPr>
                <w:rFonts w:cs="Arial"/>
                <w:szCs w:val="16"/>
              </w:rPr>
            </w:pPr>
          </w:p>
        </w:tc>
        <w:tc>
          <w:tcPr>
            <w:tcW w:w="541" w:type="dxa"/>
            <w:gridSpan w:val="3"/>
            <w:vMerge/>
            <w:shd w:val="clear" w:color="auto" w:fill="FFFFC1"/>
          </w:tcPr>
          <w:p w14:paraId="5916BF2A" w14:textId="77777777" w:rsidR="009D3DC8" w:rsidRDefault="009D3DC8">
            <w:pPr>
              <w:pStyle w:val="TableText"/>
              <w:jc w:val="center"/>
              <w:rPr>
                <w:rFonts w:cs="Arial"/>
                <w:szCs w:val="16"/>
              </w:rPr>
            </w:pPr>
          </w:p>
        </w:tc>
        <w:tc>
          <w:tcPr>
            <w:tcW w:w="539" w:type="dxa"/>
            <w:vMerge/>
            <w:shd w:val="clear" w:color="auto" w:fill="FFFFC1"/>
          </w:tcPr>
          <w:p w14:paraId="58B08E77" w14:textId="77777777" w:rsidR="009D3DC8" w:rsidRDefault="009D3DC8">
            <w:pPr>
              <w:pStyle w:val="TableText"/>
              <w:jc w:val="center"/>
              <w:rPr>
                <w:rFonts w:cs="Arial"/>
                <w:szCs w:val="16"/>
              </w:rPr>
            </w:pPr>
          </w:p>
        </w:tc>
        <w:tc>
          <w:tcPr>
            <w:tcW w:w="671" w:type="dxa"/>
            <w:vMerge/>
            <w:shd w:val="clear" w:color="auto" w:fill="FFFFC1"/>
          </w:tcPr>
          <w:p w14:paraId="08564DC4"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71F20635"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6CE50D52" w14:textId="77777777" w:rsidR="009D3DC8" w:rsidRDefault="009D3DC8">
            <w:pPr>
              <w:pStyle w:val="TableText"/>
              <w:jc w:val="center"/>
              <w:rPr>
                <w:rFonts w:cs="Arial"/>
                <w:b/>
                <w:szCs w:val="16"/>
              </w:rPr>
            </w:pPr>
          </w:p>
        </w:tc>
      </w:tr>
      <w:tr w:rsidR="009D3DC8" w14:paraId="4E5240B8" w14:textId="77777777">
        <w:tc>
          <w:tcPr>
            <w:tcW w:w="2386" w:type="dxa"/>
            <w:tcBorders>
              <w:top w:val="single" w:sz="4" w:space="0" w:color="auto"/>
              <w:left w:val="single" w:sz="4" w:space="0" w:color="auto"/>
              <w:bottom w:val="single" w:sz="4" w:space="0" w:color="auto"/>
              <w:right w:val="single" w:sz="4" w:space="0" w:color="auto"/>
            </w:tcBorders>
          </w:tcPr>
          <w:p w14:paraId="00B16725" w14:textId="77777777" w:rsidR="009D3DC8" w:rsidRDefault="009D3DC8">
            <w:pPr>
              <w:pStyle w:val="TableText"/>
              <w:rPr>
                <w:rFonts w:cs="Arial"/>
                <w:szCs w:val="16"/>
              </w:rPr>
            </w:pPr>
            <w:r>
              <w:rPr>
                <w:rFonts w:cs="Arial"/>
                <w:i/>
                <w:szCs w:val="16"/>
              </w:rPr>
              <w:t xml:space="preserve">Crematogaster </w:t>
            </w:r>
            <w:r>
              <w:rPr>
                <w:rFonts w:cs="Arial"/>
                <w:szCs w:val="16"/>
              </w:rPr>
              <w:t>sp.</w:t>
            </w:r>
          </w:p>
        </w:tc>
        <w:tc>
          <w:tcPr>
            <w:tcW w:w="1111" w:type="dxa"/>
            <w:vMerge/>
            <w:tcBorders>
              <w:left w:val="single" w:sz="4" w:space="0" w:color="auto"/>
            </w:tcBorders>
            <w:shd w:val="clear" w:color="auto" w:fill="FFE6CD"/>
          </w:tcPr>
          <w:p w14:paraId="30CEB994" w14:textId="77777777" w:rsidR="009D3DC8" w:rsidRDefault="009D3DC8">
            <w:pPr>
              <w:pStyle w:val="TableText"/>
              <w:jc w:val="center"/>
              <w:rPr>
                <w:rFonts w:cs="Arial"/>
                <w:szCs w:val="16"/>
              </w:rPr>
            </w:pPr>
          </w:p>
        </w:tc>
        <w:tc>
          <w:tcPr>
            <w:tcW w:w="1061" w:type="dxa"/>
            <w:vMerge/>
            <w:shd w:val="clear" w:color="auto" w:fill="FFE6CD"/>
          </w:tcPr>
          <w:p w14:paraId="05B23305" w14:textId="77777777" w:rsidR="009D3DC8" w:rsidRDefault="009D3DC8">
            <w:pPr>
              <w:pStyle w:val="TableText"/>
              <w:jc w:val="center"/>
              <w:rPr>
                <w:rFonts w:cs="Arial"/>
                <w:szCs w:val="16"/>
              </w:rPr>
            </w:pPr>
          </w:p>
        </w:tc>
        <w:tc>
          <w:tcPr>
            <w:tcW w:w="980" w:type="dxa"/>
            <w:vMerge/>
            <w:shd w:val="clear" w:color="auto" w:fill="FFE6CD"/>
          </w:tcPr>
          <w:p w14:paraId="205BF40A" w14:textId="77777777" w:rsidR="009D3DC8" w:rsidRDefault="009D3DC8">
            <w:pPr>
              <w:pStyle w:val="TableText"/>
              <w:jc w:val="center"/>
              <w:rPr>
                <w:rFonts w:cs="Arial"/>
                <w:szCs w:val="16"/>
              </w:rPr>
            </w:pPr>
          </w:p>
        </w:tc>
        <w:tc>
          <w:tcPr>
            <w:tcW w:w="1451" w:type="dxa"/>
            <w:gridSpan w:val="2"/>
            <w:vMerge/>
            <w:shd w:val="clear" w:color="auto" w:fill="FFE7E7"/>
          </w:tcPr>
          <w:p w14:paraId="02ADDBB9" w14:textId="77777777" w:rsidR="009D3DC8" w:rsidRDefault="009D3DC8">
            <w:pPr>
              <w:pStyle w:val="TableText"/>
              <w:jc w:val="center"/>
              <w:rPr>
                <w:rFonts w:cs="Arial"/>
                <w:szCs w:val="16"/>
              </w:rPr>
            </w:pPr>
          </w:p>
        </w:tc>
        <w:tc>
          <w:tcPr>
            <w:tcW w:w="931" w:type="dxa"/>
            <w:vMerge/>
            <w:shd w:val="clear" w:color="auto" w:fill="D9F1FF"/>
          </w:tcPr>
          <w:p w14:paraId="62D2E6E3" w14:textId="77777777" w:rsidR="009D3DC8" w:rsidRDefault="009D3DC8">
            <w:pPr>
              <w:pStyle w:val="TableText"/>
              <w:jc w:val="center"/>
              <w:rPr>
                <w:rFonts w:cs="Arial"/>
                <w:szCs w:val="16"/>
              </w:rPr>
            </w:pPr>
          </w:p>
        </w:tc>
        <w:tc>
          <w:tcPr>
            <w:tcW w:w="947" w:type="dxa"/>
            <w:vMerge/>
            <w:shd w:val="clear" w:color="auto" w:fill="E1FFE1"/>
          </w:tcPr>
          <w:p w14:paraId="4FF08E23" w14:textId="77777777" w:rsidR="009D3DC8" w:rsidRDefault="009D3DC8">
            <w:pPr>
              <w:pStyle w:val="TableText"/>
              <w:jc w:val="center"/>
              <w:rPr>
                <w:rFonts w:cs="Arial"/>
                <w:szCs w:val="16"/>
              </w:rPr>
            </w:pPr>
          </w:p>
        </w:tc>
        <w:tc>
          <w:tcPr>
            <w:tcW w:w="704" w:type="dxa"/>
            <w:vMerge/>
            <w:shd w:val="clear" w:color="auto" w:fill="FFFFC1"/>
          </w:tcPr>
          <w:p w14:paraId="5A89AA95" w14:textId="77777777" w:rsidR="009D3DC8" w:rsidRDefault="009D3DC8">
            <w:pPr>
              <w:pStyle w:val="TableText"/>
              <w:jc w:val="center"/>
              <w:rPr>
                <w:rFonts w:cs="Arial"/>
                <w:szCs w:val="16"/>
              </w:rPr>
            </w:pPr>
          </w:p>
        </w:tc>
        <w:tc>
          <w:tcPr>
            <w:tcW w:w="539" w:type="dxa"/>
            <w:vMerge/>
            <w:shd w:val="clear" w:color="auto" w:fill="FFFFC1"/>
          </w:tcPr>
          <w:p w14:paraId="6E61F61C" w14:textId="77777777" w:rsidR="009D3DC8" w:rsidRDefault="009D3DC8">
            <w:pPr>
              <w:pStyle w:val="TableText"/>
              <w:jc w:val="center"/>
              <w:rPr>
                <w:rFonts w:cs="Arial"/>
                <w:szCs w:val="16"/>
              </w:rPr>
            </w:pPr>
          </w:p>
        </w:tc>
        <w:tc>
          <w:tcPr>
            <w:tcW w:w="539" w:type="dxa"/>
            <w:vMerge/>
            <w:shd w:val="clear" w:color="auto" w:fill="FFFFC1"/>
          </w:tcPr>
          <w:p w14:paraId="3F2B8429" w14:textId="77777777" w:rsidR="009D3DC8" w:rsidRDefault="009D3DC8">
            <w:pPr>
              <w:pStyle w:val="TableText"/>
              <w:jc w:val="center"/>
              <w:rPr>
                <w:rFonts w:cs="Arial"/>
                <w:szCs w:val="16"/>
              </w:rPr>
            </w:pPr>
          </w:p>
        </w:tc>
        <w:tc>
          <w:tcPr>
            <w:tcW w:w="541" w:type="dxa"/>
            <w:gridSpan w:val="3"/>
            <w:vMerge/>
            <w:shd w:val="clear" w:color="auto" w:fill="FFFFC1"/>
          </w:tcPr>
          <w:p w14:paraId="0379F9A2" w14:textId="77777777" w:rsidR="009D3DC8" w:rsidRDefault="009D3DC8">
            <w:pPr>
              <w:pStyle w:val="TableText"/>
              <w:jc w:val="center"/>
              <w:rPr>
                <w:rFonts w:cs="Arial"/>
                <w:szCs w:val="16"/>
              </w:rPr>
            </w:pPr>
          </w:p>
        </w:tc>
        <w:tc>
          <w:tcPr>
            <w:tcW w:w="539" w:type="dxa"/>
            <w:vMerge/>
            <w:shd w:val="clear" w:color="auto" w:fill="FFFFC1"/>
          </w:tcPr>
          <w:p w14:paraId="796A5C11" w14:textId="77777777" w:rsidR="009D3DC8" w:rsidRDefault="009D3DC8">
            <w:pPr>
              <w:pStyle w:val="TableText"/>
              <w:jc w:val="center"/>
              <w:rPr>
                <w:rFonts w:cs="Arial"/>
                <w:szCs w:val="16"/>
              </w:rPr>
            </w:pPr>
          </w:p>
        </w:tc>
        <w:tc>
          <w:tcPr>
            <w:tcW w:w="671" w:type="dxa"/>
            <w:vMerge/>
            <w:shd w:val="clear" w:color="auto" w:fill="FFFFC1"/>
          </w:tcPr>
          <w:p w14:paraId="005AFC6E"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3D92AC00"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3EDD6401" w14:textId="77777777" w:rsidR="009D3DC8" w:rsidRDefault="009D3DC8">
            <w:pPr>
              <w:pStyle w:val="TableText"/>
              <w:jc w:val="center"/>
              <w:rPr>
                <w:rFonts w:cs="Arial"/>
                <w:b/>
                <w:szCs w:val="16"/>
              </w:rPr>
            </w:pPr>
          </w:p>
        </w:tc>
      </w:tr>
      <w:tr w:rsidR="009D3DC8" w14:paraId="240728EA" w14:textId="77777777">
        <w:tc>
          <w:tcPr>
            <w:tcW w:w="2386" w:type="dxa"/>
            <w:tcBorders>
              <w:top w:val="single" w:sz="4" w:space="0" w:color="auto"/>
              <w:left w:val="single" w:sz="4" w:space="0" w:color="auto"/>
              <w:bottom w:val="single" w:sz="4" w:space="0" w:color="auto"/>
              <w:right w:val="single" w:sz="4" w:space="0" w:color="auto"/>
            </w:tcBorders>
          </w:tcPr>
          <w:p w14:paraId="4489C230" w14:textId="77777777" w:rsidR="009D3DC8" w:rsidRDefault="009D3DC8">
            <w:pPr>
              <w:pStyle w:val="TableText"/>
              <w:rPr>
                <w:rFonts w:cs="Arial"/>
                <w:szCs w:val="16"/>
              </w:rPr>
            </w:pPr>
            <w:r>
              <w:rPr>
                <w:rFonts w:cs="Arial"/>
                <w:i/>
                <w:szCs w:val="16"/>
              </w:rPr>
              <w:t xml:space="preserve">Dolichoderus </w:t>
            </w:r>
            <w:r>
              <w:rPr>
                <w:rFonts w:cs="Arial"/>
                <w:szCs w:val="16"/>
              </w:rPr>
              <w:t xml:space="preserve">sp. </w:t>
            </w:r>
            <w:r>
              <w:rPr>
                <w:rFonts w:cs="Arial"/>
                <w:b/>
                <w:szCs w:val="16"/>
                <w:vertAlign w:val="superscript"/>
              </w:rPr>
              <w:t>EP</w:t>
            </w:r>
          </w:p>
        </w:tc>
        <w:tc>
          <w:tcPr>
            <w:tcW w:w="1111" w:type="dxa"/>
            <w:vMerge/>
            <w:tcBorders>
              <w:left w:val="single" w:sz="4" w:space="0" w:color="auto"/>
            </w:tcBorders>
            <w:shd w:val="clear" w:color="auto" w:fill="FFE6CD"/>
          </w:tcPr>
          <w:p w14:paraId="73EB8220" w14:textId="77777777" w:rsidR="009D3DC8" w:rsidRDefault="009D3DC8">
            <w:pPr>
              <w:pStyle w:val="TableText"/>
              <w:jc w:val="center"/>
              <w:rPr>
                <w:rFonts w:cs="Arial"/>
                <w:szCs w:val="16"/>
              </w:rPr>
            </w:pPr>
          </w:p>
        </w:tc>
        <w:tc>
          <w:tcPr>
            <w:tcW w:w="1061" w:type="dxa"/>
            <w:vMerge/>
            <w:shd w:val="clear" w:color="auto" w:fill="FFE6CD"/>
          </w:tcPr>
          <w:p w14:paraId="2CEC0BE6" w14:textId="77777777" w:rsidR="009D3DC8" w:rsidRDefault="009D3DC8">
            <w:pPr>
              <w:pStyle w:val="TableText"/>
              <w:jc w:val="center"/>
              <w:rPr>
                <w:rFonts w:cs="Arial"/>
                <w:szCs w:val="16"/>
              </w:rPr>
            </w:pPr>
          </w:p>
        </w:tc>
        <w:tc>
          <w:tcPr>
            <w:tcW w:w="980" w:type="dxa"/>
            <w:vMerge/>
            <w:shd w:val="clear" w:color="auto" w:fill="FFE6CD"/>
          </w:tcPr>
          <w:p w14:paraId="76913D36" w14:textId="77777777" w:rsidR="009D3DC8" w:rsidRDefault="009D3DC8">
            <w:pPr>
              <w:pStyle w:val="TableText"/>
              <w:jc w:val="center"/>
              <w:rPr>
                <w:rFonts w:cs="Arial"/>
                <w:szCs w:val="16"/>
              </w:rPr>
            </w:pPr>
          </w:p>
        </w:tc>
        <w:tc>
          <w:tcPr>
            <w:tcW w:w="1451" w:type="dxa"/>
            <w:gridSpan w:val="2"/>
            <w:vMerge/>
            <w:shd w:val="clear" w:color="auto" w:fill="FFE7E7"/>
          </w:tcPr>
          <w:p w14:paraId="3CE62579" w14:textId="77777777" w:rsidR="009D3DC8" w:rsidRDefault="009D3DC8">
            <w:pPr>
              <w:pStyle w:val="TableText"/>
              <w:jc w:val="center"/>
              <w:rPr>
                <w:rFonts w:cs="Arial"/>
                <w:szCs w:val="16"/>
              </w:rPr>
            </w:pPr>
          </w:p>
        </w:tc>
        <w:tc>
          <w:tcPr>
            <w:tcW w:w="931" w:type="dxa"/>
            <w:vMerge/>
            <w:shd w:val="clear" w:color="auto" w:fill="D9F1FF"/>
          </w:tcPr>
          <w:p w14:paraId="64385950" w14:textId="77777777" w:rsidR="009D3DC8" w:rsidRDefault="009D3DC8">
            <w:pPr>
              <w:pStyle w:val="TableText"/>
              <w:jc w:val="center"/>
              <w:rPr>
                <w:rFonts w:cs="Arial"/>
                <w:szCs w:val="16"/>
              </w:rPr>
            </w:pPr>
          </w:p>
        </w:tc>
        <w:tc>
          <w:tcPr>
            <w:tcW w:w="947" w:type="dxa"/>
            <w:vMerge/>
            <w:shd w:val="clear" w:color="auto" w:fill="E1FFE1"/>
          </w:tcPr>
          <w:p w14:paraId="60C74167" w14:textId="77777777" w:rsidR="009D3DC8" w:rsidRDefault="009D3DC8">
            <w:pPr>
              <w:pStyle w:val="TableText"/>
              <w:jc w:val="center"/>
              <w:rPr>
                <w:rFonts w:cs="Arial"/>
                <w:szCs w:val="16"/>
              </w:rPr>
            </w:pPr>
          </w:p>
        </w:tc>
        <w:tc>
          <w:tcPr>
            <w:tcW w:w="704" w:type="dxa"/>
            <w:vMerge/>
            <w:shd w:val="clear" w:color="auto" w:fill="FFFFC1"/>
          </w:tcPr>
          <w:p w14:paraId="57250979" w14:textId="77777777" w:rsidR="009D3DC8" w:rsidRDefault="009D3DC8">
            <w:pPr>
              <w:pStyle w:val="TableText"/>
              <w:jc w:val="center"/>
              <w:rPr>
                <w:rFonts w:cs="Arial"/>
                <w:szCs w:val="16"/>
              </w:rPr>
            </w:pPr>
          </w:p>
        </w:tc>
        <w:tc>
          <w:tcPr>
            <w:tcW w:w="539" w:type="dxa"/>
            <w:vMerge/>
            <w:shd w:val="clear" w:color="auto" w:fill="FFFFC1"/>
          </w:tcPr>
          <w:p w14:paraId="42E946DE" w14:textId="77777777" w:rsidR="009D3DC8" w:rsidRDefault="009D3DC8">
            <w:pPr>
              <w:pStyle w:val="TableText"/>
              <w:jc w:val="center"/>
              <w:rPr>
                <w:rFonts w:cs="Arial"/>
                <w:szCs w:val="16"/>
              </w:rPr>
            </w:pPr>
          </w:p>
        </w:tc>
        <w:tc>
          <w:tcPr>
            <w:tcW w:w="539" w:type="dxa"/>
            <w:vMerge/>
            <w:shd w:val="clear" w:color="auto" w:fill="FFFFC1"/>
          </w:tcPr>
          <w:p w14:paraId="0A50794F" w14:textId="77777777" w:rsidR="009D3DC8" w:rsidRDefault="009D3DC8">
            <w:pPr>
              <w:pStyle w:val="TableText"/>
              <w:jc w:val="center"/>
              <w:rPr>
                <w:rFonts w:cs="Arial"/>
                <w:szCs w:val="16"/>
              </w:rPr>
            </w:pPr>
          </w:p>
        </w:tc>
        <w:tc>
          <w:tcPr>
            <w:tcW w:w="541" w:type="dxa"/>
            <w:gridSpan w:val="3"/>
            <w:vMerge/>
            <w:shd w:val="clear" w:color="auto" w:fill="FFFFC1"/>
          </w:tcPr>
          <w:p w14:paraId="4C4A8A30" w14:textId="77777777" w:rsidR="009D3DC8" w:rsidRDefault="009D3DC8">
            <w:pPr>
              <w:pStyle w:val="TableText"/>
              <w:jc w:val="center"/>
              <w:rPr>
                <w:rFonts w:cs="Arial"/>
                <w:szCs w:val="16"/>
              </w:rPr>
            </w:pPr>
          </w:p>
        </w:tc>
        <w:tc>
          <w:tcPr>
            <w:tcW w:w="539" w:type="dxa"/>
            <w:vMerge/>
            <w:shd w:val="clear" w:color="auto" w:fill="FFFFC1"/>
          </w:tcPr>
          <w:p w14:paraId="62A44002" w14:textId="77777777" w:rsidR="009D3DC8" w:rsidRDefault="009D3DC8">
            <w:pPr>
              <w:pStyle w:val="TableText"/>
              <w:jc w:val="center"/>
              <w:rPr>
                <w:rFonts w:cs="Arial"/>
                <w:szCs w:val="16"/>
              </w:rPr>
            </w:pPr>
          </w:p>
        </w:tc>
        <w:tc>
          <w:tcPr>
            <w:tcW w:w="671" w:type="dxa"/>
            <w:vMerge/>
            <w:shd w:val="clear" w:color="auto" w:fill="FFFFC1"/>
          </w:tcPr>
          <w:p w14:paraId="52386E22"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59E5ED49"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64CCE8AD" w14:textId="77777777" w:rsidR="009D3DC8" w:rsidRDefault="009D3DC8">
            <w:pPr>
              <w:pStyle w:val="TableText"/>
              <w:jc w:val="center"/>
              <w:rPr>
                <w:rFonts w:cs="Arial"/>
                <w:b/>
                <w:szCs w:val="16"/>
              </w:rPr>
            </w:pPr>
          </w:p>
        </w:tc>
      </w:tr>
      <w:tr w:rsidR="009D3DC8" w14:paraId="249E4EE1" w14:textId="77777777">
        <w:tc>
          <w:tcPr>
            <w:tcW w:w="2386" w:type="dxa"/>
            <w:tcBorders>
              <w:top w:val="single" w:sz="4" w:space="0" w:color="auto"/>
              <w:left w:val="single" w:sz="4" w:space="0" w:color="auto"/>
              <w:bottom w:val="single" w:sz="4" w:space="0" w:color="auto"/>
              <w:right w:val="single" w:sz="4" w:space="0" w:color="auto"/>
            </w:tcBorders>
          </w:tcPr>
          <w:p w14:paraId="41B95A58" w14:textId="77777777" w:rsidR="009D3DC8" w:rsidRDefault="009D3DC8">
            <w:pPr>
              <w:pStyle w:val="TableText"/>
              <w:rPr>
                <w:rFonts w:cs="Arial"/>
                <w:i/>
                <w:iCs/>
                <w:szCs w:val="16"/>
              </w:rPr>
            </w:pPr>
            <w:r>
              <w:rPr>
                <w:rFonts w:cs="Arial"/>
                <w:i/>
                <w:szCs w:val="16"/>
              </w:rPr>
              <w:t xml:space="preserve">Iridomyrmex </w:t>
            </w:r>
            <w:r>
              <w:rPr>
                <w:rFonts w:cs="Arial"/>
                <w:szCs w:val="16"/>
              </w:rPr>
              <w:t>sp.</w:t>
            </w:r>
          </w:p>
        </w:tc>
        <w:tc>
          <w:tcPr>
            <w:tcW w:w="1111" w:type="dxa"/>
            <w:vMerge/>
            <w:tcBorders>
              <w:left w:val="single" w:sz="4" w:space="0" w:color="auto"/>
            </w:tcBorders>
            <w:shd w:val="clear" w:color="auto" w:fill="FFE6CD"/>
          </w:tcPr>
          <w:p w14:paraId="7ECBCACA" w14:textId="77777777" w:rsidR="009D3DC8" w:rsidRDefault="009D3DC8">
            <w:pPr>
              <w:pStyle w:val="TableText"/>
              <w:jc w:val="center"/>
              <w:rPr>
                <w:rFonts w:cs="Arial"/>
                <w:szCs w:val="16"/>
              </w:rPr>
            </w:pPr>
          </w:p>
        </w:tc>
        <w:tc>
          <w:tcPr>
            <w:tcW w:w="1061" w:type="dxa"/>
            <w:vMerge/>
            <w:shd w:val="clear" w:color="auto" w:fill="FFE6CD"/>
          </w:tcPr>
          <w:p w14:paraId="6B2FAC01" w14:textId="77777777" w:rsidR="009D3DC8" w:rsidRDefault="009D3DC8">
            <w:pPr>
              <w:pStyle w:val="TableText"/>
              <w:jc w:val="center"/>
              <w:rPr>
                <w:rFonts w:cs="Arial"/>
                <w:szCs w:val="16"/>
              </w:rPr>
            </w:pPr>
          </w:p>
        </w:tc>
        <w:tc>
          <w:tcPr>
            <w:tcW w:w="980" w:type="dxa"/>
            <w:vMerge/>
            <w:shd w:val="clear" w:color="auto" w:fill="FFE6CD"/>
          </w:tcPr>
          <w:p w14:paraId="1EE68FB0" w14:textId="77777777" w:rsidR="009D3DC8" w:rsidRDefault="009D3DC8">
            <w:pPr>
              <w:pStyle w:val="TableText"/>
              <w:jc w:val="center"/>
              <w:rPr>
                <w:rFonts w:cs="Arial"/>
                <w:szCs w:val="16"/>
              </w:rPr>
            </w:pPr>
          </w:p>
        </w:tc>
        <w:tc>
          <w:tcPr>
            <w:tcW w:w="1451" w:type="dxa"/>
            <w:gridSpan w:val="2"/>
            <w:vMerge/>
            <w:shd w:val="clear" w:color="auto" w:fill="FFE7E7"/>
          </w:tcPr>
          <w:p w14:paraId="0E230704" w14:textId="77777777" w:rsidR="009D3DC8" w:rsidRDefault="009D3DC8">
            <w:pPr>
              <w:pStyle w:val="TableText"/>
              <w:jc w:val="center"/>
              <w:rPr>
                <w:rFonts w:cs="Arial"/>
                <w:szCs w:val="16"/>
              </w:rPr>
            </w:pPr>
          </w:p>
        </w:tc>
        <w:tc>
          <w:tcPr>
            <w:tcW w:w="931" w:type="dxa"/>
            <w:vMerge/>
            <w:shd w:val="clear" w:color="auto" w:fill="D9F1FF"/>
          </w:tcPr>
          <w:p w14:paraId="70D0E124" w14:textId="77777777" w:rsidR="009D3DC8" w:rsidRDefault="009D3DC8">
            <w:pPr>
              <w:pStyle w:val="TableText"/>
              <w:jc w:val="center"/>
              <w:rPr>
                <w:rFonts w:cs="Arial"/>
                <w:szCs w:val="16"/>
              </w:rPr>
            </w:pPr>
          </w:p>
        </w:tc>
        <w:tc>
          <w:tcPr>
            <w:tcW w:w="947" w:type="dxa"/>
            <w:vMerge/>
            <w:shd w:val="clear" w:color="auto" w:fill="E1FFE1"/>
          </w:tcPr>
          <w:p w14:paraId="185A273A" w14:textId="77777777" w:rsidR="009D3DC8" w:rsidRDefault="009D3DC8">
            <w:pPr>
              <w:pStyle w:val="TableText"/>
              <w:jc w:val="center"/>
              <w:rPr>
                <w:rFonts w:cs="Arial"/>
                <w:szCs w:val="16"/>
              </w:rPr>
            </w:pPr>
          </w:p>
        </w:tc>
        <w:tc>
          <w:tcPr>
            <w:tcW w:w="704" w:type="dxa"/>
            <w:vMerge/>
            <w:shd w:val="clear" w:color="auto" w:fill="FFFFC1"/>
          </w:tcPr>
          <w:p w14:paraId="559FAD5E" w14:textId="77777777" w:rsidR="009D3DC8" w:rsidRDefault="009D3DC8">
            <w:pPr>
              <w:pStyle w:val="TableText"/>
              <w:jc w:val="center"/>
              <w:rPr>
                <w:rFonts w:cs="Arial"/>
                <w:szCs w:val="16"/>
              </w:rPr>
            </w:pPr>
          </w:p>
        </w:tc>
        <w:tc>
          <w:tcPr>
            <w:tcW w:w="539" w:type="dxa"/>
            <w:vMerge/>
            <w:shd w:val="clear" w:color="auto" w:fill="FFFFC1"/>
          </w:tcPr>
          <w:p w14:paraId="69CACC0F" w14:textId="77777777" w:rsidR="009D3DC8" w:rsidRDefault="009D3DC8">
            <w:pPr>
              <w:pStyle w:val="TableText"/>
              <w:jc w:val="center"/>
              <w:rPr>
                <w:rFonts w:cs="Arial"/>
                <w:szCs w:val="16"/>
              </w:rPr>
            </w:pPr>
          </w:p>
        </w:tc>
        <w:tc>
          <w:tcPr>
            <w:tcW w:w="539" w:type="dxa"/>
            <w:vMerge/>
            <w:shd w:val="clear" w:color="auto" w:fill="FFFFC1"/>
          </w:tcPr>
          <w:p w14:paraId="24033E48" w14:textId="77777777" w:rsidR="009D3DC8" w:rsidRDefault="009D3DC8">
            <w:pPr>
              <w:pStyle w:val="TableText"/>
              <w:jc w:val="center"/>
              <w:rPr>
                <w:rFonts w:cs="Arial"/>
                <w:szCs w:val="16"/>
              </w:rPr>
            </w:pPr>
          </w:p>
        </w:tc>
        <w:tc>
          <w:tcPr>
            <w:tcW w:w="541" w:type="dxa"/>
            <w:gridSpan w:val="3"/>
            <w:vMerge/>
            <w:shd w:val="clear" w:color="auto" w:fill="FFFFC1"/>
          </w:tcPr>
          <w:p w14:paraId="2B791A0A" w14:textId="77777777" w:rsidR="009D3DC8" w:rsidRDefault="009D3DC8">
            <w:pPr>
              <w:pStyle w:val="TableText"/>
              <w:jc w:val="center"/>
              <w:rPr>
                <w:rFonts w:cs="Arial"/>
                <w:szCs w:val="16"/>
              </w:rPr>
            </w:pPr>
          </w:p>
        </w:tc>
        <w:tc>
          <w:tcPr>
            <w:tcW w:w="539" w:type="dxa"/>
            <w:vMerge/>
            <w:shd w:val="clear" w:color="auto" w:fill="FFFFC1"/>
          </w:tcPr>
          <w:p w14:paraId="5FE8A8DA" w14:textId="77777777" w:rsidR="009D3DC8" w:rsidRDefault="009D3DC8">
            <w:pPr>
              <w:pStyle w:val="TableText"/>
              <w:jc w:val="center"/>
              <w:rPr>
                <w:rFonts w:cs="Arial"/>
                <w:szCs w:val="16"/>
              </w:rPr>
            </w:pPr>
          </w:p>
        </w:tc>
        <w:tc>
          <w:tcPr>
            <w:tcW w:w="671" w:type="dxa"/>
            <w:vMerge/>
            <w:shd w:val="clear" w:color="auto" w:fill="FFFFC1"/>
          </w:tcPr>
          <w:p w14:paraId="7BA2AE60"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2B088A65"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01B1FF5D" w14:textId="77777777" w:rsidR="009D3DC8" w:rsidRDefault="009D3DC8">
            <w:pPr>
              <w:pStyle w:val="TableText"/>
              <w:jc w:val="center"/>
              <w:rPr>
                <w:rFonts w:cs="Arial"/>
                <w:b/>
                <w:szCs w:val="16"/>
              </w:rPr>
            </w:pPr>
          </w:p>
        </w:tc>
      </w:tr>
      <w:tr w:rsidR="009D3DC8" w14:paraId="2B40AA0F" w14:textId="77777777">
        <w:tc>
          <w:tcPr>
            <w:tcW w:w="2386" w:type="dxa"/>
            <w:tcBorders>
              <w:top w:val="single" w:sz="4" w:space="0" w:color="auto"/>
              <w:left w:val="single" w:sz="4" w:space="0" w:color="auto"/>
              <w:bottom w:val="single" w:sz="4" w:space="0" w:color="auto"/>
              <w:right w:val="single" w:sz="4" w:space="0" w:color="auto"/>
            </w:tcBorders>
          </w:tcPr>
          <w:p w14:paraId="6844DB24" w14:textId="77777777" w:rsidR="009D3DC8" w:rsidRDefault="009D3DC8">
            <w:pPr>
              <w:pStyle w:val="TableText"/>
              <w:rPr>
                <w:rFonts w:cs="Arial"/>
                <w:i/>
                <w:szCs w:val="16"/>
              </w:rPr>
            </w:pPr>
            <w:r>
              <w:rPr>
                <w:rFonts w:cs="Arial"/>
                <w:i/>
                <w:szCs w:val="16"/>
              </w:rPr>
              <w:t xml:space="preserve">Monomorium </w:t>
            </w:r>
            <w:r>
              <w:rPr>
                <w:rFonts w:cs="Arial"/>
                <w:szCs w:val="16"/>
              </w:rPr>
              <w:t>sp</w:t>
            </w:r>
            <w:r>
              <w:rPr>
                <w:rFonts w:cs="Arial"/>
                <w:i/>
                <w:szCs w:val="16"/>
              </w:rPr>
              <w:t>.</w:t>
            </w:r>
          </w:p>
        </w:tc>
        <w:tc>
          <w:tcPr>
            <w:tcW w:w="1111" w:type="dxa"/>
            <w:vMerge/>
            <w:tcBorders>
              <w:left w:val="single" w:sz="4" w:space="0" w:color="auto"/>
            </w:tcBorders>
            <w:shd w:val="clear" w:color="auto" w:fill="FFE6CD"/>
          </w:tcPr>
          <w:p w14:paraId="3497D6E9" w14:textId="77777777" w:rsidR="009D3DC8" w:rsidRDefault="009D3DC8">
            <w:pPr>
              <w:pStyle w:val="TableText"/>
              <w:jc w:val="center"/>
              <w:rPr>
                <w:rFonts w:cs="Arial"/>
                <w:szCs w:val="16"/>
              </w:rPr>
            </w:pPr>
          </w:p>
        </w:tc>
        <w:tc>
          <w:tcPr>
            <w:tcW w:w="1061" w:type="dxa"/>
            <w:vMerge/>
            <w:shd w:val="clear" w:color="auto" w:fill="FFE6CD"/>
          </w:tcPr>
          <w:p w14:paraId="401C7286" w14:textId="77777777" w:rsidR="009D3DC8" w:rsidRDefault="009D3DC8">
            <w:pPr>
              <w:pStyle w:val="TableText"/>
              <w:jc w:val="center"/>
              <w:rPr>
                <w:rFonts w:cs="Arial"/>
                <w:szCs w:val="16"/>
              </w:rPr>
            </w:pPr>
          </w:p>
        </w:tc>
        <w:tc>
          <w:tcPr>
            <w:tcW w:w="980" w:type="dxa"/>
            <w:vMerge/>
            <w:shd w:val="clear" w:color="auto" w:fill="FFE6CD"/>
          </w:tcPr>
          <w:p w14:paraId="1E625C44" w14:textId="77777777" w:rsidR="009D3DC8" w:rsidRDefault="009D3DC8">
            <w:pPr>
              <w:pStyle w:val="TableText"/>
              <w:jc w:val="center"/>
              <w:rPr>
                <w:rFonts w:cs="Arial"/>
                <w:szCs w:val="16"/>
              </w:rPr>
            </w:pPr>
          </w:p>
        </w:tc>
        <w:tc>
          <w:tcPr>
            <w:tcW w:w="1451" w:type="dxa"/>
            <w:gridSpan w:val="2"/>
            <w:vMerge/>
            <w:shd w:val="clear" w:color="auto" w:fill="FFE7E7"/>
          </w:tcPr>
          <w:p w14:paraId="3E7A7186" w14:textId="77777777" w:rsidR="009D3DC8" w:rsidRDefault="009D3DC8">
            <w:pPr>
              <w:pStyle w:val="TableText"/>
              <w:jc w:val="center"/>
              <w:rPr>
                <w:rFonts w:cs="Arial"/>
                <w:szCs w:val="16"/>
              </w:rPr>
            </w:pPr>
          </w:p>
        </w:tc>
        <w:tc>
          <w:tcPr>
            <w:tcW w:w="931" w:type="dxa"/>
            <w:vMerge/>
            <w:shd w:val="clear" w:color="auto" w:fill="D9F1FF"/>
          </w:tcPr>
          <w:p w14:paraId="7A61ECD4" w14:textId="77777777" w:rsidR="009D3DC8" w:rsidRDefault="009D3DC8">
            <w:pPr>
              <w:pStyle w:val="TableText"/>
              <w:jc w:val="center"/>
              <w:rPr>
                <w:rFonts w:cs="Arial"/>
                <w:szCs w:val="16"/>
              </w:rPr>
            </w:pPr>
          </w:p>
        </w:tc>
        <w:tc>
          <w:tcPr>
            <w:tcW w:w="947" w:type="dxa"/>
            <w:vMerge/>
            <w:shd w:val="clear" w:color="auto" w:fill="E1FFE1"/>
          </w:tcPr>
          <w:p w14:paraId="19C78857" w14:textId="77777777" w:rsidR="009D3DC8" w:rsidRDefault="009D3DC8">
            <w:pPr>
              <w:pStyle w:val="TableText"/>
              <w:jc w:val="center"/>
              <w:rPr>
                <w:rFonts w:cs="Arial"/>
                <w:szCs w:val="16"/>
              </w:rPr>
            </w:pPr>
          </w:p>
        </w:tc>
        <w:tc>
          <w:tcPr>
            <w:tcW w:w="704" w:type="dxa"/>
            <w:vMerge/>
            <w:shd w:val="clear" w:color="auto" w:fill="FFFFC1"/>
          </w:tcPr>
          <w:p w14:paraId="16C626E2" w14:textId="77777777" w:rsidR="009D3DC8" w:rsidRDefault="009D3DC8">
            <w:pPr>
              <w:pStyle w:val="TableText"/>
              <w:jc w:val="center"/>
              <w:rPr>
                <w:rFonts w:cs="Arial"/>
                <w:szCs w:val="16"/>
              </w:rPr>
            </w:pPr>
          </w:p>
        </w:tc>
        <w:tc>
          <w:tcPr>
            <w:tcW w:w="539" w:type="dxa"/>
            <w:vMerge/>
            <w:shd w:val="clear" w:color="auto" w:fill="FFFFC1"/>
          </w:tcPr>
          <w:p w14:paraId="4ACE6532" w14:textId="77777777" w:rsidR="009D3DC8" w:rsidRDefault="009D3DC8">
            <w:pPr>
              <w:pStyle w:val="TableText"/>
              <w:jc w:val="center"/>
              <w:rPr>
                <w:rFonts w:cs="Arial"/>
                <w:szCs w:val="16"/>
              </w:rPr>
            </w:pPr>
          </w:p>
        </w:tc>
        <w:tc>
          <w:tcPr>
            <w:tcW w:w="539" w:type="dxa"/>
            <w:vMerge/>
            <w:shd w:val="clear" w:color="auto" w:fill="FFFFC1"/>
          </w:tcPr>
          <w:p w14:paraId="6B0D18BC" w14:textId="77777777" w:rsidR="009D3DC8" w:rsidRDefault="009D3DC8">
            <w:pPr>
              <w:pStyle w:val="TableText"/>
              <w:jc w:val="center"/>
              <w:rPr>
                <w:rFonts w:cs="Arial"/>
                <w:szCs w:val="16"/>
              </w:rPr>
            </w:pPr>
          </w:p>
        </w:tc>
        <w:tc>
          <w:tcPr>
            <w:tcW w:w="541" w:type="dxa"/>
            <w:gridSpan w:val="3"/>
            <w:vMerge/>
            <w:shd w:val="clear" w:color="auto" w:fill="FFFFC1"/>
          </w:tcPr>
          <w:p w14:paraId="707AE1E0" w14:textId="77777777" w:rsidR="009D3DC8" w:rsidRDefault="009D3DC8">
            <w:pPr>
              <w:pStyle w:val="TableText"/>
              <w:jc w:val="center"/>
              <w:rPr>
                <w:rFonts w:cs="Arial"/>
                <w:szCs w:val="16"/>
              </w:rPr>
            </w:pPr>
          </w:p>
        </w:tc>
        <w:tc>
          <w:tcPr>
            <w:tcW w:w="539" w:type="dxa"/>
            <w:vMerge/>
            <w:shd w:val="clear" w:color="auto" w:fill="FFFFC1"/>
          </w:tcPr>
          <w:p w14:paraId="353838B3" w14:textId="77777777" w:rsidR="009D3DC8" w:rsidRDefault="009D3DC8">
            <w:pPr>
              <w:pStyle w:val="TableText"/>
              <w:jc w:val="center"/>
              <w:rPr>
                <w:rFonts w:cs="Arial"/>
                <w:szCs w:val="16"/>
              </w:rPr>
            </w:pPr>
          </w:p>
        </w:tc>
        <w:tc>
          <w:tcPr>
            <w:tcW w:w="671" w:type="dxa"/>
            <w:vMerge/>
            <w:shd w:val="clear" w:color="auto" w:fill="FFFFC1"/>
          </w:tcPr>
          <w:p w14:paraId="48E3FB46"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6D2B9ADF"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3CE1532D" w14:textId="77777777" w:rsidR="009D3DC8" w:rsidRDefault="009D3DC8">
            <w:pPr>
              <w:pStyle w:val="TableText"/>
              <w:jc w:val="center"/>
              <w:rPr>
                <w:rFonts w:cs="Arial"/>
                <w:b/>
                <w:szCs w:val="16"/>
              </w:rPr>
            </w:pPr>
          </w:p>
        </w:tc>
      </w:tr>
      <w:tr w:rsidR="009D3DC8" w14:paraId="1BCC9EB4" w14:textId="77777777">
        <w:tc>
          <w:tcPr>
            <w:tcW w:w="2386" w:type="dxa"/>
            <w:tcBorders>
              <w:top w:val="single" w:sz="4" w:space="0" w:color="auto"/>
              <w:left w:val="single" w:sz="4" w:space="0" w:color="auto"/>
              <w:bottom w:val="single" w:sz="4" w:space="0" w:color="auto"/>
              <w:right w:val="single" w:sz="4" w:space="0" w:color="auto"/>
            </w:tcBorders>
          </w:tcPr>
          <w:p w14:paraId="6AC8CA94" w14:textId="77777777" w:rsidR="009D3DC8" w:rsidRDefault="009D3DC8">
            <w:pPr>
              <w:pStyle w:val="TableText"/>
              <w:rPr>
                <w:rFonts w:cs="Arial"/>
                <w:i/>
                <w:szCs w:val="16"/>
              </w:rPr>
            </w:pPr>
            <w:r>
              <w:rPr>
                <w:rFonts w:cs="Arial"/>
                <w:i/>
                <w:szCs w:val="16"/>
              </w:rPr>
              <w:t xml:space="preserve">Paratrechina </w:t>
            </w:r>
            <w:r>
              <w:rPr>
                <w:rFonts w:cs="Arial"/>
                <w:szCs w:val="16"/>
              </w:rPr>
              <w:t>sp.</w:t>
            </w:r>
          </w:p>
        </w:tc>
        <w:tc>
          <w:tcPr>
            <w:tcW w:w="1111" w:type="dxa"/>
            <w:vMerge/>
            <w:tcBorders>
              <w:left w:val="single" w:sz="4" w:space="0" w:color="auto"/>
            </w:tcBorders>
            <w:shd w:val="clear" w:color="auto" w:fill="FFE6CD"/>
          </w:tcPr>
          <w:p w14:paraId="34107465" w14:textId="77777777" w:rsidR="009D3DC8" w:rsidRDefault="009D3DC8">
            <w:pPr>
              <w:pStyle w:val="TableText"/>
              <w:jc w:val="center"/>
              <w:rPr>
                <w:rFonts w:cs="Arial"/>
                <w:szCs w:val="16"/>
              </w:rPr>
            </w:pPr>
          </w:p>
        </w:tc>
        <w:tc>
          <w:tcPr>
            <w:tcW w:w="1061" w:type="dxa"/>
            <w:vMerge/>
            <w:shd w:val="clear" w:color="auto" w:fill="FFE6CD"/>
          </w:tcPr>
          <w:p w14:paraId="764E1E6E" w14:textId="77777777" w:rsidR="009D3DC8" w:rsidRDefault="009D3DC8">
            <w:pPr>
              <w:pStyle w:val="TableText"/>
              <w:jc w:val="center"/>
              <w:rPr>
                <w:rFonts w:cs="Arial"/>
                <w:szCs w:val="16"/>
              </w:rPr>
            </w:pPr>
          </w:p>
        </w:tc>
        <w:tc>
          <w:tcPr>
            <w:tcW w:w="980" w:type="dxa"/>
            <w:vMerge/>
            <w:shd w:val="clear" w:color="auto" w:fill="FFE6CD"/>
          </w:tcPr>
          <w:p w14:paraId="2DF256B3" w14:textId="77777777" w:rsidR="009D3DC8" w:rsidRDefault="009D3DC8">
            <w:pPr>
              <w:pStyle w:val="TableText"/>
              <w:jc w:val="center"/>
              <w:rPr>
                <w:rFonts w:cs="Arial"/>
                <w:szCs w:val="16"/>
              </w:rPr>
            </w:pPr>
          </w:p>
        </w:tc>
        <w:tc>
          <w:tcPr>
            <w:tcW w:w="1451" w:type="dxa"/>
            <w:gridSpan w:val="2"/>
            <w:vMerge/>
            <w:shd w:val="clear" w:color="auto" w:fill="FFE7E7"/>
          </w:tcPr>
          <w:p w14:paraId="44F4EADE" w14:textId="77777777" w:rsidR="009D3DC8" w:rsidRDefault="009D3DC8">
            <w:pPr>
              <w:pStyle w:val="TableText"/>
              <w:jc w:val="center"/>
              <w:rPr>
                <w:rFonts w:cs="Arial"/>
                <w:szCs w:val="16"/>
              </w:rPr>
            </w:pPr>
          </w:p>
        </w:tc>
        <w:tc>
          <w:tcPr>
            <w:tcW w:w="931" w:type="dxa"/>
            <w:vMerge/>
            <w:shd w:val="clear" w:color="auto" w:fill="D9F1FF"/>
          </w:tcPr>
          <w:p w14:paraId="02E31853" w14:textId="77777777" w:rsidR="009D3DC8" w:rsidRDefault="009D3DC8">
            <w:pPr>
              <w:pStyle w:val="TableText"/>
              <w:jc w:val="center"/>
              <w:rPr>
                <w:rFonts w:cs="Arial"/>
                <w:szCs w:val="16"/>
              </w:rPr>
            </w:pPr>
          </w:p>
        </w:tc>
        <w:tc>
          <w:tcPr>
            <w:tcW w:w="947" w:type="dxa"/>
            <w:vMerge/>
            <w:shd w:val="clear" w:color="auto" w:fill="E1FFE1"/>
          </w:tcPr>
          <w:p w14:paraId="5D28DB2D" w14:textId="77777777" w:rsidR="009D3DC8" w:rsidRDefault="009D3DC8">
            <w:pPr>
              <w:pStyle w:val="TableText"/>
              <w:jc w:val="center"/>
              <w:rPr>
                <w:rFonts w:cs="Arial"/>
                <w:szCs w:val="16"/>
              </w:rPr>
            </w:pPr>
          </w:p>
        </w:tc>
        <w:tc>
          <w:tcPr>
            <w:tcW w:w="704" w:type="dxa"/>
            <w:vMerge/>
            <w:shd w:val="clear" w:color="auto" w:fill="FFFFC1"/>
          </w:tcPr>
          <w:p w14:paraId="036D41F1" w14:textId="77777777" w:rsidR="009D3DC8" w:rsidRDefault="009D3DC8">
            <w:pPr>
              <w:pStyle w:val="TableText"/>
              <w:jc w:val="center"/>
              <w:rPr>
                <w:rFonts w:cs="Arial"/>
                <w:szCs w:val="16"/>
              </w:rPr>
            </w:pPr>
          </w:p>
        </w:tc>
        <w:tc>
          <w:tcPr>
            <w:tcW w:w="539" w:type="dxa"/>
            <w:vMerge/>
            <w:shd w:val="clear" w:color="auto" w:fill="FFFFC1"/>
          </w:tcPr>
          <w:p w14:paraId="118776F2" w14:textId="77777777" w:rsidR="009D3DC8" w:rsidRDefault="009D3DC8">
            <w:pPr>
              <w:pStyle w:val="TableText"/>
              <w:jc w:val="center"/>
              <w:rPr>
                <w:rFonts w:cs="Arial"/>
                <w:szCs w:val="16"/>
              </w:rPr>
            </w:pPr>
          </w:p>
        </w:tc>
        <w:tc>
          <w:tcPr>
            <w:tcW w:w="539" w:type="dxa"/>
            <w:vMerge/>
            <w:shd w:val="clear" w:color="auto" w:fill="FFFFC1"/>
          </w:tcPr>
          <w:p w14:paraId="14EAE4D4" w14:textId="77777777" w:rsidR="009D3DC8" w:rsidRDefault="009D3DC8">
            <w:pPr>
              <w:pStyle w:val="TableText"/>
              <w:jc w:val="center"/>
              <w:rPr>
                <w:rFonts w:cs="Arial"/>
                <w:szCs w:val="16"/>
              </w:rPr>
            </w:pPr>
          </w:p>
        </w:tc>
        <w:tc>
          <w:tcPr>
            <w:tcW w:w="541" w:type="dxa"/>
            <w:gridSpan w:val="3"/>
            <w:vMerge/>
            <w:shd w:val="clear" w:color="auto" w:fill="FFFFC1"/>
          </w:tcPr>
          <w:p w14:paraId="1259545D" w14:textId="77777777" w:rsidR="009D3DC8" w:rsidRDefault="009D3DC8">
            <w:pPr>
              <w:pStyle w:val="TableText"/>
              <w:jc w:val="center"/>
              <w:rPr>
                <w:rFonts w:cs="Arial"/>
                <w:szCs w:val="16"/>
              </w:rPr>
            </w:pPr>
          </w:p>
        </w:tc>
        <w:tc>
          <w:tcPr>
            <w:tcW w:w="539" w:type="dxa"/>
            <w:vMerge/>
            <w:shd w:val="clear" w:color="auto" w:fill="FFFFC1"/>
          </w:tcPr>
          <w:p w14:paraId="080621DF" w14:textId="77777777" w:rsidR="009D3DC8" w:rsidRDefault="009D3DC8">
            <w:pPr>
              <w:pStyle w:val="TableText"/>
              <w:jc w:val="center"/>
              <w:rPr>
                <w:rFonts w:cs="Arial"/>
                <w:szCs w:val="16"/>
              </w:rPr>
            </w:pPr>
          </w:p>
        </w:tc>
        <w:tc>
          <w:tcPr>
            <w:tcW w:w="671" w:type="dxa"/>
            <w:vMerge/>
            <w:shd w:val="clear" w:color="auto" w:fill="FFFFC1"/>
          </w:tcPr>
          <w:p w14:paraId="6E4E1052"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43D50F5A"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5FBAC962" w14:textId="77777777" w:rsidR="009D3DC8" w:rsidRDefault="009D3DC8">
            <w:pPr>
              <w:pStyle w:val="TableText"/>
              <w:jc w:val="center"/>
              <w:rPr>
                <w:rFonts w:cs="Arial"/>
                <w:b/>
                <w:szCs w:val="16"/>
              </w:rPr>
            </w:pPr>
          </w:p>
        </w:tc>
      </w:tr>
      <w:tr w:rsidR="009D3DC8" w14:paraId="05C64072" w14:textId="77777777">
        <w:tc>
          <w:tcPr>
            <w:tcW w:w="2386" w:type="dxa"/>
            <w:tcBorders>
              <w:top w:val="single" w:sz="4" w:space="0" w:color="auto"/>
              <w:left w:val="single" w:sz="4" w:space="0" w:color="auto"/>
              <w:bottom w:val="single" w:sz="4" w:space="0" w:color="auto"/>
              <w:right w:val="single" w:sz="4" w:space="0" w:color="auto"/>
            </w:tcBorders>
          </w:tcPr>
          <w:p w14:paraId="13F11AA9" w14:textId="77777777" w:rsidR="009D3DC8" w:rsidRDefault="009D3DC8">
            <w:pPr>
              <w:pStyle w:val="TableText"/>
              <w:rPr>
                <w:rFonts w:cs="Arial"/>
                <w:szCs w:val="16"/>
              </w:rPr>
            </w:pPr>
            <w:r>
              <w:rPr>
                <w:rFonts w:cs="Arial"/>
                <w:i/>
                <w:szCs w:val="16"/>
              </w:rPr>
              <w:t xml:space="preserve">Pheidole </w:t>
            </w:r>
            <w:r>
              <w:rPr>
                <w:rFonts w:cs="Arial"/>
                <w:szCs w:val="16"/>
              </w:rPr>
              <w:t>sp</w:t>
            </w:r>
            <w:r>
              <w:rPr>
                <w:rFonts w:cs="Arial"/>
                <w:i/>
                <w:szCs w:val="16"/>
              </w:rPr>
              <w:t>.</w:t>
            </w:r>
          </w:p>
        </w:tc>
        <w:tc>
          <w:tcPr>
            <w:tcW w:w="1111" w:type="dxa"/>
            <w:vMerge/>
            <w:tcBorders>
              <w:left w:val="single" w:sz="4" w:space="0" w:color="auto"/>
            </w:tcBorders>
            <w:shd w:val="clear" w:color="auto" w:fill="FFE6CD"/>
          </w:tcPr>
          <w:p w14:paraId="239892DF" w14:textId="77777777" w:rsidR="009D3DC8" w:rsidRDefault="009D3DC8">
            <w:pPr>
              <w:pStyle w:val="TableText"/>
              <w:jc w:val="center"/>
              <w:rPr>
                <w:rFonts w:cs="Arial"/>
                <w:szCs w:val="16"/>
              </w:rPr>
            </w:pPr>
          </w:p>
        </w:tc>
        <w:tc>
          <w:tcPr>
            <w:tcW w:w="1061" w:type="dxa"/>
            <w:vMerge/>
            <w:shd w:val="clear" w:color="auto" w:fill="FFE6CD"/>
          </w:tcPr>
          <w:p w14:paraId="2F4747CF" w14:textId="77777777" w:rsidR="009D3DC8" w:rsidRDefault="009D3DC8">
            <w:pPr>
              <w:pStyle w:val="TableText"/>
              <w:jc w:val="center"/>
              <w:rPr>
                <w:rFonts w:cs="Arial"/>
                <w:szCs w:val="16"/>
              </w:rPr>
            </w:pPr>
          </w:p>
        </w:tc>
        <w:tc>
          <w:tcPr>
            <w:tcW w:w="980" w:type="dxa"/>
            <w:vMerge/>
            <w:shd w:val="clear" w:color="auto" w:fill="FFE6CD"/>
          </w:tcPr>
          <w:p w14:paraId="5C9A9F06" w14:textId="77777777" w:rsidR="009D3DC8" w:rsidRDefault="009D3DC8">
            <w:pPr>
              <w:pStyle w:val="TableText"/>
              <w:jc w:val="center"/>
              <w:rPr>
                <w:rFonts w:cs="Arial"/>
                <w:szCs w:val="16"/>
              </w:rPr>
            </w:pPr>
          </w:p>
        </w:tc>
        <w:tc>
          <w:tcPr>
            <w:tcW w:w="1451" w:type="dxa"/>
            <w:gridSpan w:val="2"/>
            <w:vMerge/>
            <w:shd w:val="clear" w:color="auto" w:fill="FFE7E7"/>
          </w:tcPr>
          <w:p w14:paraId="32D38651" w14:textId="77777777" w:rsidR="009D3DC8" w:rsidRDefault="009D3DC8">
            <w:pPr>
              <w:pStyle w:val="TableText"/>
              <w:jc w:val="center"/>
              <w:rPr>
                <w:rFonts w:cs="Arial"/>
                <w:szCs w:val="16"/>
              </w:rPr>
            </w:pPr>
          </w:p>
        </w:tc>
        <w:tc>
          <w:tcPr>
            <w:tcW w:w="931" w:type="dxa"/>
            <w:vMerge/>
            <w:shd w:val="clear" w:color="auto" w:fill="D9F1FF"/>
          </w:tcPr>
          <w:p w14:paraId="77D4A2CB" w14:textId="77777777" w:rsidR="009D3DC8" w:rsidRDefault="009D3DC8">
            <w:pPr>
              <w:pStyle w:val="TableText"/>
              <w:jc w:val="center"/>
              <w:rPr>
                <w:rFonts w:cs="Arial"/>
                <w:szCs w:val="16"/>
              </w:rPr>
            </w:pPr>
          </w:p>
        </w:tc>
        <w:tc>
          <w:tcPr>
            <w:tcW w:w="947" w:type="dxa"/>
            <w:vMerge/>
            <w:shd w:val="clear" w:color="auto" w:fill="E1FFE1"/>
          </w:tcPr>
          <w:p w14:paraId="33764FFD" w14:textId="77777777" w:rsidR="009D3DC8" w:rsidRDefault="009D3DC8">
            <w:pPr>
              <w:pStyle w:val="TableText"/>
              <w:jc w:val="center"/>
              <w:rPr>
                <w:rFonts w:cs="Arial"/>
                <w:szCs w:val="16"/>
              </w:rPr>
            </w:pPr>
          </w:p>
        </w:tc>
        <w:tc>
          <w:tcPr>
            <w:tcW w:w="704" w:type="dxa"/>
            <w:vMerge/>
            <w:shd w:val="clear" w:color="auto" w:fill="FFFFC1"/>
          </w:tcPr>
          <w:p w14:paraId="5CE77BB1" w14:textId="77777777" w:rsidR="009D3DC8" w:rsidRDefault="009D3DC8">
            <w:pPr>
              <w:pStyle w:val="TableText"/>
              <w:jc w:val="center"/>
              <w:rPr>
                <w:rFonts w:cs="Arial"/>
                <w:szCs w:val="16"/>
              </w:rPr>
            </w:pPr>
          </w:p>
        </w:tc>
        <w:tc>
          <w:tcPr>
            <w:tcW w:w="539" w:type="dxa"/>
            <w:vMerge/>
            <w:shd w:val="clear" w:color="auto" w:fill="FFFFC1"/>
          </w:tcPr>
          <w:p w14:paraId="37812CE3" w14:textId="77777777" w:rsidR="009D3DC8" w:rsidRDefault="009D3DC8">
            <w:pPr>
              <w:pStyle w:val="TableText"/>
              <w:jc w:val="center"/>
              <w:rPr>
                <w:rFonts w:cs="Arial"/>
                <w:szCs w:val="16"/>
              </w:rPr>
            </w:pPr>
          </w:p>
        </w:tc>
        <w:tc>
          <w:tcPr>
            <w:tcW w:w="539" w:type="dxa"/>
            <w:vMerge/>
            <w:shd w:val="clear" w:color="auto" w:fill="FFFFC1"/>
          </w:tcPr>
          <w:p w14:paraId="71A3D668" w14:textId="77777777" w:rsidR="009D3DC8" w:rsidRDefault="009D3DC8">
            <w:pPr>
              <w:pStyle w:val="TableText"/>
              <w:jc w:val="center"/>
              <w:rPr>
                <w:rFonts w:cs="Arial"/>
                <w:szCs w:val="16"/>
              </w:rPr>
            </w:pPr>
          </w:p>
        </w:tc>
        <w:tc>
          <w:tcPr>
            <w:tcW w:w="541" w:type="dxa"/>
            <w:gridSpan w:val="3"/>
            <w:vMerge/>
            <w:shd w:val="clear" w:color="auto" w:fill="FFFFC1"/>
          </w:tcPr>
          <w:p w14:paraId="35653ABC" w14:textId="77777777" w:rsidR="009D3DC8" w:rsidRDefault="009D3DC8">
            <w:pPr>
              <w:pStyle w:val="TableText"/>
              <w:jc w:val="center"/>
              <w:rPr>
                <w:rFonts w:cs="Arial"/>
                <w:szCs w:val="16"/>
              </w:rPr>
            </w:pPr>
          </w:p>
        </w:tc>
        <w:tc>
          <w:tcPr>
            <w:tcW w:w="539" w:type="dxa"/>
            <w:vMerge/>
            <w:shd w:val="clear" w:color="auto" w:fill="FFFFC1"/>
          </w:tcPr>
          <w:p w14:paraId="078B07F5" w14:textId="77777777" w:rsidR="009D3DC8" w:rsidRDefault="009D3DC8">
            <w:pPr>
              <w:pStyle w:val="TableText"/>
              <w:jc w:val="center"/>
              <w:rPr>
                <w:rFonts w:cs="Arial"/>
                <w:szCs w:val="16"/>
              </w:rPr>
            </w:pPr>
          </w:p>
        </w:tc>
        <w:tc>
          <w:tcPr>
            <w:tcW w:w="671" w:type="dxa"/>
            <w:vMerge/>
            <w:shd w:val="clear" w:color="auto" w:fill="FFFFC1"/>
          </w:tcPr>
          <w:p w14:paraId="7BBCE451"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188FFEF9"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6735608F" w14:textId="77777777" w:rsidR="009D3DC8" w:rsidRDefault="009D3DC8">
            <w:pPr>
              <w:pStyle w:val="TableText"/>
              <w:jc w:val="center"/>
              <w:rPr>
                <w:rFonts w:cs="Arial"/>
                <w:b/>
                <w:szCs w:val="16"/>
              </w:rPr>
            </w:pPr>
          </w:p>
        </w:tc>
      </w:tr>
      <w:tr w:rsidR="009D3DC8" w14:paraId="1BD41554" w14:textId="77777777">
        <w:tc>
          <w:tcPr>
            <w:tcW w:w="2386" w:type="dxa"/>
            <w:tcBorders>
              <w:top w:val="single" w:sz="4" w:space="0" w:color="auto"/>
              <w:left w:val="single" w:sz="4" w:space="0" w:color="auto"/>
              <w:bottom w:val="single" w:sz="4" w:space="0" w:color="auto"/>
              <w:right w:val="single" w:sz="4" w:space="0" w:color="auto"/>
            </w:tcBorders>
          </w:tcPr>
          <w:p w14:paraId="21A2F782" w14:textId="77777777" w:rsidR="009D3DC8" w:rsidRDefault="009D3DC8">
            <w:pPr>
              <w:pStyle w:val="TableText"/>
              <w:rPr>
                <w:rFonts w:cs="Arial"/>
                <w:szCs w:val="16"/>
              </w:rPr>
            </w:pPr>
            <w:r>
              <w:rPr>
                <w:rFonts w:cs="Arial"/>
                <w:i/>
                <w:szCs w:val="16"/>
              </w:rPr>
              <w:t xml:space="preserve">Plagiolepis </w:t>
            </w:r>
            <w:r>
              <w:rPr>
                <w:rFonts w:cs="Arial"/>
                <w:szCs w:val="16"/>
              </w:rPr>
              <w:t>sp.</w:t>
            </w:r>
          </w:p>
        </w:tc>
        <w:tc>
          <w:tcPr>
            <w:tcW w:w="1111" w:type="dxa"/>
            <w:vMerge/>
            <w:tcBorders>
              <w:left w:val="single" w:sz="4" w:space="0" w:color="auto"/>
            </w:tcBorders>
            <w:shd w:val="clear" w:color="auto" w:fill="FFE6CD"/>
          </w:tcPr>
          <w:p w14:paraId="03FE0282" w14:textId="77777777" w:rsidR="009D3DC8" w:rsidRDefault="009D3DC8">
            <w:pPr>
              <w:pStyle w:val="TableText"/>
              <w:jc w:val="center"/>
              <w:rPr>
                <w:rFonts w:cs="Arial"/>
                <w:szCs w:val="16"/>
              </w:rPr>
            </w:pPr>
          </w:p>
        </w:tc>
        <w:tc>
          <w:tcPr>
            <w:tcW w:w="1061" w:type="dxa"/>
            <w:vMerge/>
            <w:shd w:val="clear" w:color="auto" w:fill="FFE6CD"/>
          </w:tcPr>
          <w:p w14:paraId="42B2E541" w14:textId="77777777" w:rsidR="009D3DC8" w:rsidRDefault="009D3DC8">
            <w:pPr>
              <w:pStyle w:val="TableText"/>
              <w:jc w:val="center"/>
              <w:rPr>
                <w:rFonts w:cs="Arial"/>
                <w:szCs w:val="16"/>
              </w:rPr>
            </w:pPr>
          </w:p>
        </w:tc>
        <w:tc>
          <w:tcPr>
            <w:tcW w:w="980" w:type="dxa"/>
            <w:vMerge/>
            <w:shd w:val="clear" w:color="auto" w:fill="FFE6CD"/>
          </w:tcPr>
          <w:p w14:paraId="6411D902" w14:textId="77777777" w:rsidR="009D3DC8" w:rsidRDefault="009D3DC8">
            <w:pPr>
              <w:pStyle w:val="TableText"/>
              <w:jc w:val="center"/>
              <w:rPr>
                <w:rFonts w:cs="Arial"/>
                <w:szCs w:val="16"/>
              </w:rPr>
            </w:pPr>
          </w:p>
        </w:tc>
        <w:tc>
          <w:tcPr>
            <w:tcW w:w="1451" w:type="dxa"/>
            <w:gridSpan w:val="2"/>
            <w:vMerge/>
            <w:shd w:val="clear" w:color="auto" w:fill="FFE7E7"/>
          </w:tcPr>
          <w:p w14:paraId="1BBF1F3C" w14:textId="77777777" w:rsidR="009D3DC8" w:rsidRDefault="009D3DC8">
            <w:pPr>
              <w:pStyle w:val="TableText"/>
              <w:jc w:val="center"/>
              <w:rPr>
                <w:rFonts w:cs="Arial"/>
                <w:szCs w:val="16"/>
              </w:rPr>
            </w:pPr>
          </w:p>
        </w:tc>
        <w:tc>
          <w:tcPr>
            <w:tcW w:w="931" w:type="dxa"/>
            <w:vMerge/>
            <w:shd w:val="clear" w:color="auto" w:fill="D9F1FF"/>
          </w:tcPr>
          <w:p w14:paraId="0E1DFDCB" w14:textId="77777777" w:rsidR="009D3DC8" w:rsidRDefault="009D3DC8">
            <w:pPr>
              <w:pStyle w:val="TableText"/>
              <w:jc w:val="center"/>
              <w:rPr>
                <w:rFonts w:cs="Arial"/>
                <w:szCs w:val="16"/>
              </w:rPr>
            </w:pPr>
          </w:p>
        </w:tc>
        <w:tc>
          <w:tcPr>
            <w:tcW w:w="947" w:type="dxa"/>
            <w:vMerge/>
            <w:shd w:val="clear" w:color="auto" w:fill="E1FFE1"/>
          </w:tcPr>
          <w:p w14:paraId="2F9E02AE" w14:textId="77777777" w:rsidR="009D3DC8" w:rsidRDefault="009D3DC8">
            <w:pPr>
              <w:pStyle w:val="TableText"/>
              <w:jc w:val="center"/>
              <w:rPr>
                <w:rFonts w:cs="Arial"/>
                <w:szCs w:val="16"/>
              </w:rPr>
            </w:pPr>
          </w:p>
        </w:tc>
        <w:tc>
          <w:tcPr>
            <w:tcW w:w="704" w:type="dxa"/>
            <w:vMerge/>
            <w:shd w:val="clear" w:color="auto" w:fill="FFFFC1"/>
          </w:tcPr>
          <w:p w14:paraId="5BD98DF3" w14:textId="77777777" w:rsidR="009D3DC8" w:rsidRDefault="009D3DC8">
            <w:pPr>
              <w:pStyle w:val="TableText"/>
              <w:jc w:val="center"/>
              <w:rPr>
                <w:rFonts w:cs="Arial"/>
                <w:szCs w:val="16"/>
              </w:rPr>
            </w:pPr>
          </w:p>
        </w:tc>
        <w:tc>
          <w:tcPr>
            <w:tcW w:w="539" w:type="dxa"/>
            <w:vMerge/>
            <w:shd w:val="clear" w:color="auto" w:fill="FFFFC1"/>
          </w:tcPr>
          <w:p w14:paraId="44277AB8" w14:textId="77777777" w:rsidR="009D3DC8" w:rsidRDefault="009D3DC8">
            <w:pPr>
              <w:pStyle w:val="TableText"/>
              <w:jc w:val="center"/>
              <w:rPr>
                <w:rFonts w:cs="Arial"/>
                <w:szCs w:val="16"/>
              </w:rPr>
            </w:pPr>
          </w:p>
        </w:tc>
        <w:tc>
          <w:tcPr>
            <w:tcW w:w="539" w:type="dxa"/>
            <w:vMerge/>
            <w:shd w:val="clear" w:color="auto" w:fill="FFFFC1"/>
          </w:tcPr>
          <w:p w14:paraId="399BBDB6" w14:textId="77777777" w:rsidR="009D3DC8" w:rsidRDefault="009D3DC8">
            <w:pPr>
              <w:pStyle w:val="TableText"/>
              <w:jc w:val="center"/>
              <w:rPr>
                <w:rFonts w:cs="Arial"/>
                <w:szCs w:val="16"/>
              </w:rPr>
            </w:pPr>
          </w:p>
        </w:tc>
        <w:tc>
          <w:tcPr>
            <w:tcW w:w="541" w:type="dxa"/>
            <w:gridSpan w:val="3"/>
            <w:vMerge/>
            <w:shd w:val="clear" w:color="auto" w:fill="FFFFC1"/>
          </w:tcPr>
          <w:p w14:paraId="26C9B2EE" w14:textId="77777777" w:rsidR="009D3DC8" w:rsidRDefault="009D3DC8">
            <w:pPr>
              <w:pStyle w:val="TableText"/>
              <w:jc w:val="center"/>
              <w:rPr>
                <w:rFonts w:cs="Arial"/>
                <w:szCs w:val="16"/>
              </w:rPr>
            </w:pPr>
          </w:p>
        </w:tc>
        <w:tc>
          <w:tcPr>
            <w:tcW w:w="539" w:type="dxa"/>
            <w:vMerge/>
            <w:shd w:val="clear" w:color="auto" w:fill="FFFFC1"/>
          </w:tcPr>
          <w:p w14:paraId="22E216B3" w14:textId="77777777" w:rsidR="009D3DC8" w:rsidRDefault="009D3DC8">
            <w:pPr>
              <w:pStyle w:val="TableText"/>
              <w:jc w:val="center"/>
              <w:rPr>
                <w:rFonts w:cs="Arial"/>
                <w:szCs w:val="16"/>
              </w:rPr>
            </w:pPr>
          </w:p>
        </w:tc>
        <w:tc>
          <w:tcPr>
            <w:tcW w:w="671" w:type="dxa"/>
            <w:vMerge/>
            <w:shd w:val="clear" w:color="auto" w:fill="FFFFC1"/>
          </w:tcPr>
          <w:p w14:paraId="568D9A62"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116874C6"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6F549B3B" w14:textId="77777777" w:rsidR="009D3DC8" w:rsidRDefault="009D3DC8">
            <w:pPr>
              <w:pStyle w:val="TableText"/>
              <w:jc w:val="center"/>
              <w:rPr>
                <w:rFonts w:cs="Arial"/>
                <w:b/>
                <w:szCs w:val="16"/>
              </w:rPr>
            </w:pPr>
          </w:p>
        </w:tc>
      </w:tr>
      <w:tr w:rsidR="009D3DC8" w14:paraId="3794C1D5" w14:textId="77777777">
        <w:tc>
          <w:tcPr>
            <w:tcW w:w="2386" w:type="dxa"/>
            <w:tcBorders>
              <w:top w:val="single" w:sz="4" w:space="0" w:color="auto"/>
              <w:left w:val="single" w:sz="4" w:space="0" w:color="auto"/>
              <w:bottom w:val="single" w:sz="4" w:space="0" w:color="auto"/>
              <w:right w:val="single" w:sz="4" w:space="0" w:color="auto"/>
            </w:tcBorders>
          </w:tcPr>
          <w:p w14:paraId="32430AC3" w14:textId="77777777" w:rsidR="009D3DC8" w:rsidRDefault="009D3DC8">
            <w:pPr>
              <w:pStyle w:val="TableText"/>
              <w:rPr>
                <w:rFonts w:cs="Arial"/>
                <w:szCs w:val="16"/>
              </w:rPr>
            </w:pPr>
            <w:r>
              <w:rPr>
                <w:rFonts w:cs="Arial"/>
                <w:i/>
                <w:szCs w:val="16"/>
              </w:rPr>
              <w:t xml:space="preserve">Polyrhachis </w:t>
            </w:r>
            <w:r>
              <w:rPr>
                <w:rFonts w:cs="Arial"/>
                <w:szCs w:val="16"/>
              </w:rPr>
              <w:t>sp</w:t>
            </w:r>
            <w:r>
              <w:rPr>
                <w:rFonts w:cs="Arial"/>
                <w:i/>
                <w:szCs w:val="16"/>
              </w:rPr>
              <w:t>.</w:t>
            </w:r>
          </w:p>
        </w:tc>
        <w:tc>
          <w:tcPr>
            <w:tcW w:w="1111" w:type="dxa"/>
            <w:vMerge/>
            <w:tcBorders>
              <w:left w:val="single" w:sz="4" w:space="0" w:color="auto"/>
            </w:tcBorders>
            <w:shd w:val="clear" w:color="auto" w:fill="FFE6CD"/>
          </w:tcPr>
          <w:p w14:paraId="5100AD1C" w14:textId="77777777" w:rsidR="009D3DC8" w:rsidRDefault="009D3DC8">
            <w:pPr>
              <w:pStyle w:val="TableText"/>
              <w:jc w:val="center"/>
              <w:rPr>
                <w:rFonts w:cs="Arial"/>
                <w:szCs w:val="16"/>
              </w:rPr>
            </w:pPr>
          </w:p>
        </w:tc>
        <w:tc>
          <w:tcPr>
            <w:tcW w:w="1061" w:type="dxa"/>
            <w:vMerge/>
            <w:shd w:val="clear" w:color="auto" w:fill="FFE6CD"/>
          </w:tcPr>
          <w:p w14:paraId="21FDF5F2" w14:textId="77777777" w:rsidR="009D3DC8" w:rsidRDefault="009D3DC8">
            <w:pPr>
              <w:pStyle w:val="TableText"/>
              <w:jc w:val="center"/>
              <w:rPr>
                <w:rFonts w:cs="Arial"/>
                <w:szCs w:val="16"/>
              </w:rPr>
            </w:pPr>
          </w:p>
        </w:tc>
        <w:tc>
          <w:tcPr>
            <w:tcW w:w="980" w:type="dxa"/>
            <w:vMerge/>
            <w:shd w:val="clear" w:color="auto" w:fill="FFE6CD"/>
          </w:tcPr>
          <w:p w14:paraId="26D11889" w14:textId="77777777" w:rsidR="009D3DC8" w:rsidRDefault="009D3DC8">
            <w:pPr>
              <w:pStyle w:val="TableText"/>
              <w:jc w:val="center"/>
              <w:rPr>
                <w:rFonts w:cs="Arial"/>
                <w:szCs w:val="16"/>
              </w:rPr>
            </w:pPr>
          </w:p>
        </w:tc>
        <w:tc>
          <w:tcPr>
            <w:tcW w:w="1451" w:type="dxa"/>
            <w:gridSpan w:val="2"/>
            <w:vMerge/>
            <w:shd w:val="clear" w:color="auto" w:fill="FFE7E7"/>
          </w:tcPr>
          <w:p w14:paraId="3EA70E85" w14:textId="77777777" w:rsidR="009D3DC8" w:rsidRDefault="009D3DC8">
            <w:pPr>
              <w:pStyle w:val="TableText"/>
              <w:jc w:val="center"/>
              <w:rPr>
                <w:rFonts w:cs="Arial"/>
                <w:szCs w:val="16"/>
              </w:rPr>
            </w:pPr>
          </w:p>
        </w:tc>
        <w:tc>
          <w:tcPr>
            <w:tcW w:w="931" w:type="dxa"/>
            <w:vMerge/>
            <w:shd w:val="clear" w:color="auto" w:fill="D9F1FF"/>
          </w:tcPr>
          <w:p w14:paraId="29E4DA7C" w14:textId="77777777" w:rsidR="009D3DC8" w:rsidRDefault="009D3DC8">
            <w:pPr>
              <w:pStyle w:val="TableText"/>
              <w:jc w:val="center"/>
              <w:rPr>
                <w:rFonts w:cs="Arial"/>
                <w:szCs w:val="16"/>
              </w:rPr>
            </w:pPr>
          </w:p>
        </w:tc>
        <w:tc>
          <w:tcPr>
            <w:tcW w:w="947" w:type="dxa"/>
            <w:vMerge/>
            <w:shd w:val="clear" w:color="auto" w:fill="E1FFE1"/>
          </w:tcPr>
          <w:p w14:paraId="4B9E9C8A" w14:textId="77777777" w:rsidR="009D3DC8" w:rsidRDefault="009D3DC8">
            <w:pPr>
              <w:pStyle w:val="TableText"/>
              <w:jc w:val="center"/>
              <w:rPr>
                <w:rFonts w:cs="Arial"/>
                <w:szCs w:val="16"/>
              </w:rPr>
            </w:pPr>
          </w:p>
        </w:tc>
        <w:tc>
          <w:tcPr>
            <w:tcW w:w="704" w:type="dxa"/>
            <w:vMerge/>
            <w:shd w:val="clear" w:color="auto" w:fill="FFFFC1"/>
          </w:tcPr>
          <w:p w14:paraId="1EE83DA4" w14:textId="77777777" w:rsidR="009D3DC8" w:rsidRDefault="009D3DC8">
            <w:pPr>
              <w:pStyle w:val="TableText"/>
              <w:jc w:val="center"/>
              <w:rPr>
                <w:rFonts w:cs="Arial"/>
                <w:szCs w:val="16"/>
              </w:rPr>
            </w:pPr>
          </w:p>
        </w:tc>
        <w:tc>
          <w:tcPr>
            <w:tcW w:w="539" w:type="dxa"/>
            <w:vMerge/>
            <w:shd w:val="clear" w:color="auto" w:fill="FFFFC1"/>
          </w:tcPr>
          <w:p w14:paraId="4E917872" w14:textId="77777777" w:rsidR="009D3DC8" w:rsidRDefault="009D3DC8">
            <w:pPr>
              <w:pStyle w:val="TableText"/>
              <w:jc w:val="center"/>
              <w:rPr>
                <w:rFonts w:cs="Arial"/>
                <w:szCs w:val="16"/>
              </w:rPr>
            </w:pPr>
          </w:p>
        </w:tc>
        <w:tc>
          <w:tcPr>
            <w:tcW w:w="539" w:type="dxa"/>
            <w:vMerge/>
            <w:shd w:val="clear" w:color="auto" w:fill="FFFFC1"/>
          </w:tcPr>
          <w:p w14:paraId="3DC68C46" w14:textId="77777777" w:rsidR="009D3DC8" w:rsidRDefault="009D3DC8">
            <w:pPr>
              <w:pStyle w:val="TableText"/>
              <w:jc w:val="center"/>
              <w:rPr>
                <w:rFonts w:cs="Arial"/>
                <w:szCs w:val="16"/>
              </w:rPr>
            </w:pPr>
          </w:p>
        </w:tc>
        <w:tc>
          <w:tcPr>
            <w:tcW w:w="541" w:type="dxa"/>
            <w:gridSpan w:val="3"/>
            <w:vMerge/>
            <w:shd w:val="clear" w:color="auto" w:fill="FFFFC1"/>
          </w:tcPr>
          <w:p w14:paraId="050031A0" w14:textId="77777777" w:rsidR="009D3DC8" w:rsidRDefault="009D3DC8">
            <w:pPr>
              <w:pStyle w:val="TableText"/>
              <w:jc w:val="center"/>
              <w:rPr>
                <w:rFonts w:cs="Arial"/>
                <w:szCs w:val="16"/>
              </w:rPr>
            </w:pPr>
          </w:p>
        </w:tc>
        <w:tc>
          <w:tcPr>
            <w:tcW w:w="539" w:type="dxa"/>
            <w:vMerge/>
            <w:shd w:val="clear" w:color="auto" w:fill="FFFFC1"/>
          </w:tcPr>
          <w:p w14:paraId="737C7295" w14:textId="77777777" w:rsidR="009D3DC8" w:rsidRDefault="009D3DC8">
            <w:pPr>
              <w:pStyle w:val="TableText"/>
              <w:jc w:val="center"/>
              <w:rPr>
                <w:rFonts w:cs="Arial"/>
                <w:szCs w:val="16"/>
              </w:rPr>
            </w:pPr>
          </w:p>
        </w:tc>
        <w:tc>
          <w:tcPr>
            <w:tcW w:w="671" w:type="dxa"/>
            <w:vMerge/>
            <w:shd w:val="clear" w:color="auto" w:fill="FFFFC1"/>
          </w:tcPr>
          <w:p w14:paraId="0844A575"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4C8C3F90"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3B6F4AC9" w14:textId="77777777" w:rsidR="009D3DC8" w:rsidRDefault="009D3DC8">
            <w:pPr>
              <w:pStyle w:val="TableText"/>
              <w:jc w:val="center"/>
              <w:rPr>
                <w:rFonts w:cs="Arial"/>
                <w:b/>
                <w:szCs w:val="16"/>
              </w:rPr>
            </w:pPr>
          </w:p>
        </w:tc>
      </w:tr>
      <w:tr w:rsidR="009D3DC8" w14:paraId="43D4A419" w14:textId="77777777">
        <w:tc>
          <w:tcPr>
            <w:tcW w:w="2386" w:type="dxa"/>
            <w:tcBorders>
              <w:top w:val="single" w:sz="4" w:space="0" w:color="auto"/>
              <w:left w:val="single" w:sz="4" w:space="0" w:color="auto"/>
              <w:bottom w:val="single" w:sz="4" w:space="0" w:color="auto"/>
              <w:right w:val="single" w:sz="4" w:space="0" w:color="auto"/>
            </w:tcBorders>
          </w:tcPr>
          <w:p w14:paraId="60DCE6C9" w14:textId="77777777" w:rsidR="009D3DC8" w:rsidRDefault="009D3DC8">
            <w:pPr>
              <w:pStyle w:val="TableText"/>
              <w:rPr>
                <w:rFonts w:cs="Arial"/>
                <w:szCs w:val="16"/>
              </w:rPr>
            </w:pPr>
            <w:r>
              <w:rPr>
                <w:rFonts w:cs="Arial"/>
                <w:i/>
                <w:szCs w:val="16"/>
              </w:rPr>
              <w:t xml:space="preserve">Tapinoma </w:t>
            </w:r>
            <w:r>
              <w:rPr>
                <w:rFonts w:cs="Arial"/>
                <w:szCs w:val="16"/>
              </w:rPr>
              <w:t>sp.</w:t>
            </w:r>
          </w:p>
        </w:tc>
        <w:tc>
          <w:tcPr>
            <w:tcW w:w="1111" w:type="dxa"/>
            <w:vMerge/>
            <w:tcBorders>
              <w:left w:val="single" w:sz="4" w:space="0" w:color="auto"/>
            </w:tcBorders>
            <w:shd w:val="clear" w:color="auto" w:fill="FFE6CD"/>
          </w:tcPr>
          <w:p w14:paraId="158EA821" w14:textId="77777777" w:rsidR="009D3DC8" w:rsidRDefault="009D3DC8">
            <w:pPr>
              <w:pStyle w:val="TableText"/>
              <w:jc w:val="center"/>
              <w:rPr>
                <w:rFonts w:cs="Arial"/>
                <w:szCs w:val="16"/>
              </w:rPr>
            </w:pPr>
          </w:p>
        </w:tc>
        <w:tc>
          <w:tcPr>
            <w:tcW w:w="1061" w:type="dxa"/>
            <w:vMerge/>
            <w:shd w:val="clear" w:color="auto" w:fill="FFE6CD"/>
          </w:tcPr>
          <w:p w14:paraId="1CD4BE2D" w14:textId="77777777" w:rsidR="009D3DC8" w:rsidRDefault="009D3DC8">
            <w:pPr>
              <w:pStyle w:val="TableText"/>
              <w:jc w:val="center"/>
              <w:rPr>
                <w:rFonts w:cs="Arial"/>
                <w:szCs w:val="16"/>
              </w:rPr>
            </w:pPr>
          </w:p>
        </w:tc>
        <w:tc>
          <w:tcPr>
            <w:tcW w:w="980" w:type="dxa"/>
            <w:vMerge/>
            <w:shd w:val="clear" w:color="auto" w:fill="FFE6CD"/>
          </w:tcPr>
          <w:p w14:paraId="28908310" w14:textId="77777777" w:rsidR="009D3DC8" w:rsidRDefault="009D3DC8">
            <w:pPr>
              <w:pStyle w:val="TableText"/>
              <w:jc w:val="center"/>
              <w:rPr>
                <w:rFonts w:cs="Arial"/>
                <w:szCs w:val="16"/>
              </w:rPr>
            </w:pPr>
          </w:p>
        </w:tc>
        <w:tc>
          <w:tcPr>
            <w:tcW w:w="1451" w:type="dxa"/>
            <w:gridSpan w:val="2"/>
            <w:vMerge/>
            <w:shd w:val="clear" w:color="auto" w:fill="FFE7E7"/>
          </w:tcPr>
          <w:p w14:paraId="4B00D7ED" w14:textId="77777777" w:rsidR="009D3DC8" w:rsidRDefault="009D3DC8">
            <w:pPr>
              <w:pStyle w:val="TableText"/>
              <w:jc w:val="center"/>
              <w:rPr>
                <w:rFonts w:cs="Arial"/>
                <w:szCs w:val="16"/>
              </w:rPr>
            </w:pPr>
          </w:p>
        </w:tc>
        <w:tc>
          <w:tcPr>
            <w:tcW w:w="931" w:type="dxa"/>
            <w:vMerge/>
            <w:shd w:val="clear" w:color="auto" w:fill="D9F1FF"/>
          </w:tcPr>
          <w:p w14:paraId="7A687423" w14:textId="77777777" w:rsidR="009D3DC8" w:rsidRDefault="009D3DC8">
            <w:pPr>
              <w:pStyle w:val="TableText"/>
              <w:jc w:val="center"/>
              <w:rPr>
                <w:rFonts w:cs="Arial"/>
                <w:szCs w:val="16"/>
              </w:rPr>
            </w:pPr>
          </w:p>
        </w:tc>
        <w:tc>
          <w:tcPr>
            <w:tcW w:w="947" w:type="dxa"/>
            <w:vMerge/>
            <w:shd w:val="clear" w:color="auto" w:fill="E1FFE1"/>
          </w:tcPr>
          <w:p w14:paraId="143C6924" w14:textId="77777777" w:rsidR="009D3DC8" w:rsidRDefault="009D3DC8">
            <w:pPr>
              <w:pStyle w:val="TableText"/>
              <w:jc w:val="center"/>
              <w:rPr>
                <w:rFonts w:cs="Arial"/>
                <w:szCs w:val="16"/>
              </w:rPr>
            </w:pPr>
          </w:p>
        </w:tc>
        <w:tc>
          <w:tcPr>
            <w:tcW w:w="704" w:type="dxa"/>
            <w:vMerge/>
            <w:shd w:val="clear" w:color="auto" w:fill="FFFFC1"/>
          </w:tcPr>
          <w:p w14:paraId="6C9A3875" w14:textId="77777777" w:rsidR="009D3DC8" w:rsidRDefault="009D3DC8">
            <w:pPr>
              <w:pStyle w:val="TableText"/>
              <w:jc w:val="center"/>
              <w:rPr>
                <w:rFonts w:cs="Arial"/>
                <w:szCs w:val="16"/>
              </w:rPr>
            </w:pPr>
          </w:p>
        </w:tc>
        <w:tc>
          <w:tcPr>
            <w:tcW w:w="539" w:type="dxa"/>
            <w:vMerge/>
            <w:shd w:val="clear" w:color="auto" w:fill="FFFFC1"/>
          </w:tcPr>
          <w:p w14:paraId="7374CB0D" w14:textId="77777777" w:rsidR="009D3DC8" w:rsidRDefault="009D3DC8">
            <w:pPr>
              <w:pStyle w:val="TableText"/>
              <w:jc w:val="center"/>
              <w:rPr>
                <w:rFonts w:cs="Arial"/>
                <w:szCs w:val="16"/>
              </w:rPr>
            </w:pPr>
          </w:p>
        </w:tc>
        <w:tc>
          <w:tcPr>
            <w:tcW w:w="539" w:type="dxa"/>
            <w:vMerge/>
            <w:shd w:val="clear" w:color="auto" w:fill="FFFFC1"/>
          </w:tcPr>
          <w:p w14:paraId="629E96F3" w14:textId="77777777" w:rsidR="009D3DC8" w:rsidRDefault="009D3DC8">
            <w:pPr>
              <w:pStyle w:val="TableText"/>
              <w:jc w:val="center"/>
              <w:rPr>
                <w:rFonts w:cs="Arial"/>
                <w:szCs w:val="16"/>
              </w:rPr>
            </w:pPr>
          </w:p>
        </w:tc>
        <w:tc>
          <w:tcPr>
            <w:tcW w:w="541" w:type="dxa"/>
            <w:gridSpan w:val="3"/>
            <w:vMerge/>
            <w:shd w:val="clear" w:color="auto" w:fill="FFFFC1"/>
          </w:tcPr>
          <w:p w14:paraId="7911D166" w14:textId="77777777" w:rsidR="009D3DC8" w:rsidRDefault="009D3DC8">
            <w:pPr>
              <w:pStyle w:val="TableText"/>
              <w:jc w:val="center"/>
              <w:rPr>
                <w:rFonts w:cs="Arial"/>
                <w:szCs w:val="16"/>
              </w:rPr>
            </w:pPr>
          </w:p>
        </w:tc>
        <w:tc>
          <w:tcPr>
            <w:tcW w:w="539" w:type="dxa"/>
            <w:vMerge/>
            <w:shd w:val="clear" w:color="auto" w:fill="FFFFC1"/>
          </w:tcPr>
          <w:p w14:paraId="3B9B3030" w14:textId="77777777" w:rsidR="009D3DC8" w:rsidRDefault="009D3DC8">
            <w:pPr>
              <w:pStyle w:val="TableText"/>
              <w:jc w:val="center"/>
              <w:rPr>
                <w:rFonts w:cs="Arial"/>
                <w:szCs w:val="16"/>
              </w:rPr>
            </w:pPr>
          </w:p>
        </w:tc>
        <w:tc>
          <w:tcPr>
            <w:tcW w:w="671" w:type="dxa"/>
            <w:vMerge/>
            <w:shd w:val="clear" w:color="auto" w:fill="FFFFC1"/>
          </w:tcPr>
          <w:p w14:paraId="4B947E46"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1ABD1F4B"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64664E3F" w14:textId="77777777" w:rsidR="009D3DC8" w:rsidRDefault="009D3DC8">
            <w:pPr>
              <w:pStyle w:val="TableText"/>
              <w:jc w:val="center"/>
              <w:rPr>
                <w:rFonts w:cs="Arial"/>
                <w:b/>
                <w:szCs w:val="16"/>
              </w:rPr>
            </w:pPr>
          </w:p>
        </w:tc>
      </w:tr>
      <w:tr w:rsidR="009D3DC8" w14:paraId="527C4148" w14:textId="77777777">
        <w:tc>
          <w:tcPr>
            <w:tcW w:w="2386" w:type="dxa"/>
            <w:tcBorders>
              <w:top w:val="single" w:sz="4" w:space="0" w:color="auto"/>
              <w:left w:val="single" w:sz="4" w:space="0" w:color="auto"/>
              <w:bottom w:val="single" w:sz="4" w:space="0" w:color="auto"/>
              <w:right w:val="single" w:sz="4" w:space="0" w:color="auto"/>
            </w:tcBorders>
          </w:tcPr>
          <w:p w14:paraId="4FA82B6C" w14:textId="77777777" w:rsidR="009D3DC8" w:rsidRDefault="009D3DC8">
            <w:pPr>
              <w:pStyle w:val="TableText"/>
              <w:rPr>
                <w:rFonts w:cs="Arial"/>
                <w:i/>
                <w:szCs w:val="16"/>
              </w:rPr>
            </w:pPr>
            <w:r>
              <w:rPr>
                <w:rFonts w:cs="Arial"/>
                <w:i/>
                <w:szCs w:val="16"/>
              </w:rPr>
              <w:t xml:space="preserve">Technomyrmex </w:t>
            </w:r>
            <w:r>
              <w:rPr>
                <w:rFonts w:cs="Arial"/>
                <w:szCs w:val="16"/>
              </w:rPr>
              <w:t xml:space="preserve">sp. </w:t>
            </w:r>
            <w:r>
              <w:rPr>
                <w:rFonts w:cs="Arial"/>
                <w:b/>
                <w:szCs w:val="16"/>
                <w:vertAlign w:val="superscript"/>
              </w:rPr>
              <w:t>EP</w:t>
            </w:r>
          </w:p>
        </w:tc>
        <w:tc>
          <w:tcPr>
            <w:tcW w:w="1111" w:type="dxa"/>
            <w:vMerge/>
            <w:tcBorders>
              <w:left w:val="single" w:sz="4" w:space="0" w:color="auto"/>
            </w:tcBorders>
            <w:shd w:val="clear" w:color="auto" w:fill="FFE6CD"/>
          </w:tcPr>
          <w:p w14:paraId="0196ADFF" w14:textId="77777777" w:rsidR="009D3DC8" w:rsidRDefault="009D3DC8">
            <w:pPr>
              <w:pStyle w:val="TableText"/>
              <w:jc w:val="center"/>
              <w:rPr>
                <w:rFonts w:cs="Arial"/>
                <w:szCs w:val="16"/>
              </w:rPr>
            </w:pPr>
          </w:p>
        </w:tc>
        <w:tc>
          <w:tcPr>
            <w:tcW w:w="1061" w:type="dxa"/>
            <w:vMerge/>
            <w:shd w:val="clear" w:color="auto" w:fill="FFE6CD"/>
          </w:tcPr>
          <w:p w14:paraId="0C9DC85C" w14:textId="77777777" w:rsidR="009D3DC8" w:rsidRDefault="009D3DC8">
            <w:pPr>
              <w:pStyle w:val="TableText"/>
              <w:jc w:val="center"/>
              <w:rPr>
                <w:rFonts w:cs="Arial"/>
                <w:szCs w:val="16"/>
              </w:rPr>
            </w:pPr>
          </w:p>
        </w:tc>
        <w:tc>
          <w:tcPr>
            <w:tcW w:w="980" w:type="dxa"/>
            <w:vMerge/>
            <w:shd w:val="clear" w:color="auto" w:fill="FFE6CD"/>
          </w:tcPr>
          <w:p w14:paraId="1C1C3828" w14:textId="77777777" w:rsidR="009D3DC8" w:rsidRDefault="009D3DC8">
            <w:pPr>
              <w:pStyle w:val="TableText"/>
              <w:jc w:val="center"/>
              <w:rPr>
                <w:rFonts w:cs="Arial"/>
                <w:szCs w:val="16"/>
              </w:rPr>
            </w:pPr>
          </w:p>
        </w:tc>
        <w:tc>
          <w:tcPr>
            <w:tcW w:w="1451" w:type="dxa"/>
            <w:gridSpan w:val="2"/>
            <w:vMerge/>
            <w:shd w:val="clear" w:color="auto" w:fill="FFE7E7"/>
          </w:tcPr>
          <w:p w14:paraId="01A3277F" w14:textId="77777777" w:rsidR="009D3DC8" w:rsidRDefault="009D3DC8">
            <w:pPr>
              <w:pStyle w:val="TableText"/>
              <w:jc w:val="center"/>
              <w:rPr>
                <w:rFonts w:cs="Arial"/>
                <w:szCs w:val="16"/>
              </w:rPr>
            </w:pPr>
          </w:p>
        </w:tc>
        <w:tc>
          <w:tcPr>
            <w:tcW w:w="931" w:type="dxa"/>
            <w:vMerge/>
            <w:shd w:val="clear" w:color="auto" w:fill="D9F1FF"/>
          </w:tcPr>
          <w:p w14:paraId="6B2EDD82" w14:textId="77777777" w:rsidR="009D3DC8" w:rsidRDefault="009D3DC8">
            <w:pPr>
              <w:pStyle w:val="TableText"/>
              <w:jc w:val="center"/>
              <w:rPr>
                <w:rFonts w:cs="Arial"/>
                <w:szCs w:val="16"/>
              </w:rPr>
            </w:pPr>
          </w:p>
        </w:tc>
        <w:tc>
          <w:tcPr>
            <w:tcW w:w="947" w:type="dxa"/>
            <w:vMerge/>
            <w:shd w:val="clear" w:color="auto" w:fill="E1FFE1"/>
          </w:tcPr>
          <w:p w14:paraId="7FF4A66B" w14:textId="77777777" w:rsidR="009D3DC8" w:rsidRDefault="009D3DC8">
            <w:pPr>
              <w:pStyle w:val="TableText"/>
              <w:jc w:val="center"/>
              <w:rPr>
                <w:rFonts w:cs="Arial"/>
                <w:szCs w:val="16"/>
              </w:rPr>
            </w:pPr>
          </w:p>
        </w:tc>
        <w:tc>
          <w:tcPr>
            <w:tcW w:w="704" w:type="dxa"/>
            <w:vMerge/>
            <w:shd w:val="clear" w:color="auto" w:fill="FFFFC1"/>
          </w:tcPr>
          <w:p w14:paraId="67A150ED" w14:textId="77777777" w:rsidR="009D3DC8" w:rsidRDefault="009D3DC8">
            <w:pPr>
              <w:pStyle w:val="TableText"/>
              <w:jc w:val="center"/>
              <w:rPr>
                <w:rFonts w:cs="Arial"/>
                <w:szCs w:val="16"/>
              </w:rPr>
            </w:pPr>
          </w:p>
        </w:tc>
        <w:tc>
          <w:tcPr>
            <w:tcW w:w="539" w:type="dxa"/>
            <w:vMerge/>
            <w:shd w:val="clear" w:color="auto" w:fill="FFFFC1"/>
          </w:tcPr>
          <w:p w14:paraId="32AA9041" w14:textId="77777777" w:rsidR="009D3DC8" w:rsidRDefault="009D3DC8">
            <w:pPr>
              <w:pStyle w:val="TableText"/>
              <w:jc w:val="center"/>
              <w:rPr>
                <w:rFonts w:cs="Arial"/>
                <w:szCs w:val="16"/>
              </w:rPr>
            </w:pPr>
          </w:p>
        </w:tc>
        <w:tc>
          <w:tcPr>
            <w:tcW w:w="539" w:type="dxa"/>
            <w:vMerge/>
            <w:shd w:val="clear" w:color="auto" w:fill="FFFFC1"/>
          </w:tcPr>
          <w:p w14:paraId="546CE6A1" w14:textId="77777777" w:rsidR="009D3DC8" w:rsidRDefault="009D3DC8">
            <w:pPr>
              <w:pStyle w:val="TableText"/>
              <w:jc w:val="center"/>
              <w:rPr>
                <w:rFonts w:cs="Arial"/>
                <w:szCs w:val="16"/>
              </w:rPr>
            </w:pPr>
          </w:p>
        </w:tc>
        <w:tc>
          <w:tcPr>
            <w:tcW w:w="541" w:type="dxa"/>
            <w:gridSpan w:val="3"/>
            <w:vMerge/>
            <w:shd w:val="clear" w:color="auto" w:fill="FFFFC1"/>
          </w:tcPr>
          <w:p w14:paraId="70D8803B" w14:textId="77777777" w:rsidR="009D3DC8" w:rsidRDefault="009D3DC8">
            <w:pPr>
              <w:pStyle w:val="TableText"/>
              <w:jc w:val="center"/>
              <w:rPr>
                <w:rFonts w:cs="Arial"/>
                <w:szCs w:val="16"/>
              </w:rPr>
            </w:pPr>
          </w:p>
        </w:tc>
        <w:tc>
          <w:tcPr>
            <w:tcW w:w="539" w:type="dxa"/>
            <w:vMerge/>
            <w:shd w:val="clear" w:color="auto" w:fill="FFFFC1"/>
          </w:tcPr>
          <w:p w14:paraId="3CBC5E28" w14:textId="77777777" w:rsidR="009D3DC8" w:rsidRDefault="009D3DC8">
            <w:pPr>
              <w:pStyle w:val="TableText"/>
              <w:jc w:val="center"/>
              <w:rPr>
                <w:rFonts w:cs="Arial"/>
                <w:szCs w:val="16"/>
              </w:rPr>
            </w:pPr>
          </w:p>
        </w:tc>
        <w:tc>
          <w:tcPr>
            <w:tcW w:w="671" w:type="dxa"/>
            <w:vMerge/>
            <w:shd w:val="clear" w:color="auto" w:fill="FFFFC1"/>
          </w:tcPr>
          <w:p w14:paraId="2174EECA"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1DF96F16"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05275F36" w14:textId="77777777" w:rsidR="009D3DC8" w:rsidRDefault="009D3DC8">
            <w:pPr>
              <w:pStyle w:val="TableText"/>
              <w:jc w:val="center"/>
              <w:rPr>
                <w:rFonts w:cs="Arial"/>
                <w:b/>
                <w:szCs w:val="16"/>
              </w:rPr>
            </w:pPr>
          </w:p>
        </w:tc>
      </w:tr>
      <w:tr w:rsidR="009D3DC8" w14:paraId="75EC4B95" w14:textId="77777777">
        <w:tc>
          <w:tcPr>
            <w:tcW w:w="2386" w:type="dxa"/>
            <w:tcBorders>
              <w:top w:val="single" w:sz="4" w:space="0" w:color="auto"/>
              <w:left w:val="single" w:sz="4" w:space="0" w:color="auto"/>
              <w:bottom w:val="single" w:sz="4" w:space="0" w:color="auto"/>
              <w:right w:val="single" w:sz="4" w:space="0" w:color="auto"/>
            </w:tcBorders>
          </w:tcPr>
          <w:p w14:paraId="03E13682" w14:textId="77777777" w:rsidR="009D3DC8" w:rsidRDefault="009D3DC8">
            <w:pPr>
              <w:pStyle w:val="TableText"/>
              <w:rPr>
                <w:rFonts w:cs="Arial"/>
                <w:i/>
                <w:szCs w:val="16"/>
              </w:rPr>
            </w:pPr>
            <w:r>
              <w:rPr>
                <w:rFonts w:cs="Arial"/>
                <w:i/>
                <w:szCs w:val="16"/>
              </w:rPr>
              <w:t xml:space="preserve">Tetramorium </w:t>
            </w:r>
            <w:r>
              <w:rPr>
                <w:rFonts w:cs="Arial"/>
                <w:szCs w:val="16"/>
              </w:rPr>
              <w:t>sp.</w:t>
            </w:r>
          </w:p>
        </w:tc>
        <w:tc>
          <w:tcPr>
            <w:tcW w:w="1111" w:type="dxa"/>
            <w:vMerge/>
            <w:tcBorders>
              <w:left w:val="single" w:sz="4" w:space="0" w:color="auto"/>
            </w:tcBorders>
            <w:shd w:val="clear" w:color="auto" w:fill="FFE6CD"/>
          </w:tcPr>
          <w:p w14:paraId="71F4DA69" w14:textId="77777777" w:rsidR="009D3DC8" w:rsidRDefault="009D3DC8">
            <w:pPr>
              <w:pStyle w:val="TableText"/>
              <w:jc w:val="center"/>
              <w:rPr>
                <w:rFonts w:cs="Arial"/>
                <w:szCs w:val="16"/>
              </w:rPr>
            </w:pPr>
          </w:p>
        </w:tc>
        <w:tc>
          <w:tcPr>
            <w:tcW w:w="1061" w:type="dxa"/>
            <w:vMerge/>
            <w:shd w:val="clear" w:color="auto" w:fill="FFE6CD"/>
          </w:tcPr>
          <w:p w14:paraId="596BEF65" w14:textId="77777777" w:rsidR="009D3DC8" w:rsidRDefault="009D3DC8">
            <w:pPr>
              <w:pStyle w:val="TableText"/>
              <w:jc w:val="center"/>
              <w:rPr>
                <w:rFonts w:cs="Arial"/>
                <w:szCs w:val="16"/>
              </w:rPr>
            </w:pPr>
          </w:p>
        </w:tc>
        <w:tc>
          <w:tcPr>
            <w:tcW w:w="980" w:type="dxa"/>
            <w:vMerge/>
            <w:shd w:val="clear" w:color="auto" w:fill="FFE6CD"/>
          </w:tcPr>
          <w:p w14:paraId="1CCBDC45" w14:textId="77777777" w:rsidR="009D3DC8" w:rsidRDefault="009D3DC8">
            <w:pPr>
              <w:pStyle w:val="TableText"/>
              <w:jc w:val="center"/>
              <w:rPr>
                <w:rFonts w:cs="Arial"/>
                <w:szCs w:val="16"/>
              </w:rPr>
            </w:pPr>
          </w:p>
        </w:tc>
        <w:tc>
          <w:tcPr>
            <w:tcW w:w="1451" w:type="dxa"/>
            <w:gridSpan w:val="2"/>
            <w:vMerge/>
            <w:shd w:val="clear" w:color="auto" w:fill="FFE7E7"/>
          </w:tcPr>
          <w:p w14:paraId="53CE1018" w14:textId="77777777" w:rsidR="009D3DC8" w:rsidRDefault="009D3DC8">
            <w:pPr>
              <w:pStyle w:val="TableText"/>
              <w:jc w:val="center"/>
              <w:rPr>
                <w:rFonts w:cs="Arial"/>
                <w:szCs w:val="16"/>
              </w:rPr>
            </w:pPr>
          </w:p>
        </w:tc>
        <w:tc>
          <w:tcPr>
            <w:tcW w:w="931" w:type="dxa"/>
            <w:vMerge/>
            <w:shd w:val="clear" w:color="auto" w:fill="D9F1FF"/>
          </w:tcPr>
          <w:p w14:paraId="234C3812" w14:textId="77777777" w:rsidR="009D3DC8" w:rsidRDefault="009D3DC8">
            <w:pPr>
              <w:pStyle w:val="TableText"/>
              <w:jc w:val="center"/>
              <w:rPr>
                <w:rFonts w:cs="Arial"/>
                <w:szCs w:val="16"/>
              </w:rPr>
            </w:pPr>
          </w:p>
        </w:tc>
        <w:tc>
          <w:tcPr>
            <w:tcW w:w="947" w:type="dxa"/>
            <w:vMerge/>
            <w:shd w:val="clear" w:color="auto" w:fill="E1FFE1"/>
          </w:tcPr>
          <w:p w14:paraId="3E0FCBBA" w14:textId="77777777" w:rsidR="009D3DC8" w:rsidRDefault="009D3DC8">
            <w:pPr>
              <w:pStyle w:val="TableText"/>
              <w:jc w:val="center"/>
              <w:rPr>
                <w:rFonts w:cs="Arial"/>
                <w:szCs w:val="16"/>
              </w:rPr>
            </w:pPr>
          </w:p>
        </w:tc>
        <w:tc>
          <w:tcPr>
            <w:tcW w:w="704" w:type="dxa"/>
            <w:vMerge/>
            <w:shd w:val="clear" w:color="auto" w:fill="FFFFC1"/>
          </w:tcPr>
          <w:p w14:paraId="7F077974" w14:textId="77777777" w:rsidR="009D3DC8" w:rsidRDefault="009D3DC8">
            <w:pPr>
              <w:pStyle w:val="TableText"/>
              <w:jc w:val="center"/>
              <w:rPr>
                <w:rFonts w:cs="Arial"/>
                <w:szCs w:val="16"/>
              </w:rPr>
            </w:pPr>
          </w:p>
        </w:tc>
        <w:tc>
          <w:tcPr>
            <w:tcW w:w="539" w:type="dxa"/>
            <w:vMerge/>
            <w:shd w:val="clear" w:color="auto" w:fill="FFFFC1"/>
          </w:tcPr>
          <w:p w14:paraId="5CCB6401" w14:textId="77777777" w:rsidR="009D3DC8" w:rsidRDefault="009D3DC8">
            <w:pPr>
              <w:pStyle w:val="TableText"/>
              <w:jc w:val="center"/>
              <w:rPr>
                <w:rFonts w:cs="Arial"/>
                <w:szCs w:val="16"/>
              </w:rPr>
            </w:pPr>
          </w:p>
        </w:tc>
        <w:tc>
          <w:tcPr>
            <w:tcW w:w="539" w:type="dxa"/>
            <w:vMerge/>
            <w:shd w:val="clear" w:color="auto" w:fill="FFFFC1"/>
          </w:tcPr>
          <w:p w14:paraId="01C866CA" w14:textId="77777777" w:rsidR="009D3DC8" w:rsidRDefault="009D3DC8">
            <w:pPr>
              <w:pStyle w:val="TableText"/>
              <w:jc w:val="center"/>
              <w:rPr>
                <w:rFonts w:cs="Arial"/>
                <w:szCs w:val="16"/>
              </w:rPr>
            </w:pPr>
          </w:p>
        </w:tc>
        <w:tc>
          <w:tcPr>
            <w:tcW w:w="541" w:type="dxa"/>
            <w:gridSpan w:val="3"/>
            <w:vMerge/>
            <w:shd w:val="clear" w:color="auto" w:fill="FFFFC1"/>
          </w:tcPr>
          <w:p w14:paraId="001C007E" w14:textId="77777777" w:rsidR="009D3DC8" w:rsidRDefault="009D3DC8">
            <w:pPr>
              <w:pStyle w:val="TableText"/>
              <w:jc w:val="center"/>
              <w:rPr>
                <w:rFonts w:cs="Arial"/>
                <w:szCs w:val="16"/>
              </w:rPr>
            </w:pPr>
          </w:p>
        </w:tc>
        <w:tc>
          <w:tcPr>
            <w:tcW w:w="539" w:type="dxa"/>
            <w:vMerge/>
            <w:shd w:val="clear" w:color="auto" w:fill="FFFFC1"/>
          </w:tcPr>
          <w:p w14:paraId="4D4BA297" w14:textId="77777777" w:rsidR="009D3DC8" w:rsidRDefault="009D3DC8">
            <w:pPr>
              <w:pStyle w:val="TableText"/>
              <w:jc w:val="center"/>
              <w:rPr>
                <w:rFonts w:cs="Arial"/>
                <w:szCs w:val="16"/>
              </w:rPr>
            </w:pPr>
          </w:p>
        </w:tc>
        <w:tc>
          <w:tcPr>
            <w:tcW w:w="671" w:type="dxa"/>
            <w:vMerge/>
            <w:shd w:val="clear" w:color="auto" w:fill="FFFFC1"/>
          </w:tcPr>
          <w:p w14:paraId="69A949E6" w14:textId="77777777" w:rsidR="009D3DC8" w:rsidRDefault="009D3DC8">
            <w:pPr>
              <w:pStyle w:val="TableText"/>
              <w:jc w:val="center"/>
              <w:rPr>
                <w:rFonts w:cs="Arial"/>
                <w:szCs w:val="16"/>
              </w:rPr>
            </w:pPr>
          </w:p>
        </w:tc>
        <w:tc>
          <w:tcPr>
            <w:tcW w:w="1031" w:type="dxa"/>
            <w:vMerge/>
            <w:tcBorders>
              <w:right w:val="single" w:sz="4" w:space="0" w:color="auto"/>
            </w:tcBorders>
            <w:shd w:val="clear" w:color="auto" w:fill="FFFFC1"/>
          </w:tcPr>
          <w:p w14:paraId="1E84DE57" w14:textId="77777777" w:rsidR="009D3DC8" w:rsidRDefault="009D3DC8">
            <w:pPr>
              <w:pStyle w:val="TableText"/>
              <w:jc w:val="center"/>
              <w:rPr>
                <w:rFonts w:cs="Arial"/>
                <w:szCs w:val="16"/>
              </w:rPr>
            </w:pPr>
          </w:p>
        </w:tc>
        <w:tc>
          <w:tcPr>
            <w:tcW w:w="1080" w:type="dxa"/>
            <w:vMerge/>
            <w:tcBorders>
              <w:left w:val="single" w:sz="4" w:space="0" w:color="auto"/>
              <w:right w:val="single" w:sz="4" w:space="0" w:color="auto"/>
            </w:tcBorders>
            <w:shd w:val="clear" w:color="auto" w:fill="CCFF66"/>
          </w:tcPr>
          <w:p w14:paraId="6A5264A7" w14:textId="77777777" w:rsidR="009D3DC8" w:rsidRDefault="009D3DC8">
            <w:pPr>
              <w:pStyle w:val="TableText"/>
              <w:jc w:val="center"/>
              <w:rPr>
                <w:rFonts w:cs="Arial"/>
                <w:b/>
                <w:szCs w:val="16"/>
              </w:rPr>
            </w:pPr>
          </w:p>
        </w:tc>
      </w:tr>
      <w:tr w:rsidR="009D3DC8" w14:paraId="78A86E1E" w14:textId="77777777">
        <w:tc>
          <w:tcPr>
            <w:tcW w:w="2386" w:type="dxa"/>
            <w:tcBorders>
              <w:top w:val="single" w:sz="4" w:space="0" w:color="auto"/>
              <w:left w:val="single" w:sz="4" w:space="0" w:color="auto"/>
              <w:bottom w:val="single" w:sz="4" w:space="0" w:color="auto"/>
              <w:right w:val="single" w:sz="4" w:space="0" w:color="auto"/>
            </w:tcBorders>
          </w:tcPr>
          <w:p w14:paraId="051C8912" w14:textId="77777777" w:rsidR="009D3DC8" w:rsidRDefault="009D3DC8">
            <w:pPr>
              <w:pStyle w:val="TableText"/>
              <w:rPr>
                <w:rFonts w:cs="Arial"/>
                <w:szCs w:val="16"/>
              </w:rPr>
            </w:pPr>
            <w:r>
              <w:rPr>
                <w:rFonts w:cs="Arial"/>
                <w:i/>
                <w:szCs w:val="16"/>
              </w:rPr>
              <w:t xml:space="preserve">Wasmannia auropunctata </w:t>
            </w:r>
            <w:r>
              <w:rPr>
                <w:rFonts w:cs="Arial"/>
                <w:b/>
                <w:szCs w:val="16"/>
                <w:vertAlign w:val="superscript"/>
              </w:rPr>
              <w:t>EP</w:t>
            </w:r>
            <w:r>
              <w:rPr>
                <w:rFonts w:cs="Arial"/>
                <w:i/>
                <w:szCs w:val="16"/>
              </w:rPr>
              <w:t xml:space="preserve"> </w:t>
            </w:r>
          </w:p>
        </w:tc>
        <w:tc>
          <w:tcPr>
            <w:tcW w:w="1111" w:type="dxa"/>
            <w:vMerge/>
            <w:tcBorders>
              <w:left w:val="single" w:sz="4" w:space="0" w:color="auto"/>
              <w:bottom w:val="single" w:sz="4" w:space="0" w:color="auto"/>
            </w:tcBorders>
            <w:shd w:val="clear" w:color="auto" w:fill="FFE6CD"/>
          </w:tcPr>
          <w:p w14:paraId="32C3276B" w14:textId="77777777" w:rsidR="009D3DC8" w:rsidRDefault="009D3DC8">
            <w:pPr>
              <w:pStyle w:val="TableText"/>
              <w:jc w:val="center"/>
              <w:rPr>
                <w:rFonts w:cs="Arial"/>
                <w:szCs w:val="16"/>
              </w:rPr>
            </w:pPr>
          </w:p>
        </w:tc>
        <w:tc>
          <w:tcPr>
            <w:tcW w:w="1061" w:type="dxa"/>
            <w:vMerge/>
            <w:tcBorders>
              <w:bottom w:val="single" w:sz="4" w:space="0" w:color="auto"/>
            </w:tcBorders>
            <w:shd w:val="clear" w:color="auto" w:fill="FFE6CD"/>
          </w:tcPr>
          <w:p w14:paraId="03CC1056" w14:textId="77777777" w:rsidR="009D3DC8" w:rsidRDefault="009D3DC8">
            <w:pPr>
              <w:pStyle w:val="TableText"/>
              <w:jc w:val="center"/>
              <w:rPr>
                <w:rFonts w:cs="Arial"/>
                <w:szCs w:val="16"/>
              </w:rPr>
            </w:pPr>
          </w:p>
        </w:tc>
        <w:tc>
          <w:tcPr>
            <w:tcW w:w="980" w:type="dxa"/>
            <w:vMerge/>
            <w:tcBorders>
              <w:bottom w:val="single" w:sz="4" w:space="0" w:color="auto"/>
            </w:tcBorders>
            <w:shd w:val="clear" w:color="auto" w:fill="FFE6CD"/>
          </w:tcPr>
          <w:p w14:paraId="469B6C43" w14:textId="77777777" w:rsidR="009D3DC8" w:rsidRDefault="009D3DC8">
            <w:pPr>
              <w:pStyle w:val="TableText"/>
              <w:jc w:val="center"/>
              <w:rPr>
                <w:rFonts w:cs="Arial"/>
                <w:szCs w:val="16"/>
              </w:rPr>
            </w:pPr>
          </w:p>
        </w:tc>
        <w:tc>
          <w:tcPr>
            <w:tcW w:w="1451" w:type="dxa"/>
            <w:gridSpan w:val="2"/>
            <w:vMerge/>
            <w:tcBorders>
              <w:bottom w:val="single" w:sz="4" w:space="0" w:color="auto"/>
            </w:tcBorders>
            <w:shd w:val="clear" w:color="auto" w:fill="FFE7E7"/>
          </w:tcPr>
          <w:p w14:paraId="539528F2" w14:textId="77777777" w:rsidR="009D3DC8" w:rsidRDefault="009D3DC8">
            <w:pPr>
              <w:pStyle w:val="TableText"/>
              <w:jc w:val="center"/>
              <w:rPr>
                <w:rFonts w:cs="Arial"/>
                <w:szCs w:val="16"/>
              </w:rPr>
            </w:pPr>
          </w:p>
        </w:tc>
        <w:tc>
          <w:tcPr>
            <w:tcW w:w="931" w:type="dxa"/>
            <w:vMerge/>
            <w:tcBorders>
              <w:bottom w:val="single" w:sz="4" w:space="0" w:color="auto"/>
            </w:tcBorders>
            <w:shd w:val="clear" w:color="auto" w:fill="D9F1FF"/>
          </w:tcPr>
          <w:p w14:paraId="1C50A741" w14:textId="77777777" w:rsidR="009D3DC8" w:rsidRDefault="009D3DC8">
            <w:pPr>
              <w:pStyle w:val="TableText"/>
              <w:jc w:val="center"/>
              <w:rPr>
                <w:rFonts w:cs="Arial"/>
                <w:szCs w:val="16"/>
              </w:rPr>
            </w:pPr>
          </w:p>
        </w:tc>
        <w:tc>
          <w:tcPr>
            <w:tcW w:w="947" w:type="dxa"/>
            <w:vMerge/>
            <w:tcBorders>
              <w:bottom w:val="single" w:sz="4" w:space="0" w:color="auto"/>
            </w:tcBorders>
            <w:shd w:val="clear" w:color="auto" w:fill="E1FFE1"/>
          </w:tcPr>
          <w:p w14:paraId="5D2D2C32" w14:textId="77777777" w:rsidR="009D3DC8" w:rsidRDefault="009D3DC8">
            <w:pPr>
              <w:pStyle w:val="TableText"/>
              <w:jc w:val="center"/>
              <w:rPr>
                <w:rFonts w:cs="Arial"/>
                <w:szCs w:val="16"/>
              </w:rPr>
            </w:pPr>
          </w:p>
        </w:tc>
        <w:tc>
          <w:tcPr>
            <w:tcW w:w="704" w:type="dxa"/>
            <w:vMerge/>
            <w:tcBorders>
              <w:bottom w:val="single" w:sz="4" w:space="0" w:color="auto"/>
            </w:tcBorders>
            <w:shd w:val="clear" w:color="auto" w:fill="FFFFC1"/>
          </w:tcPr>
          <w:p w14:paraId="29057439" w14:textId="77777777" w:rsidR="009D3DC8" w:rsidRDefault="009D3DC8">
            <w:pPr>
              <w:pStyle w:val="TableText"/>
              <w:jc w:val="center"/>
              <w:rPr>
                <w:rFonts w:cs="Arial"/>
                <w:szCs w:val="16"/>
              </w:rPr>
            </w:pPr>
          </w:p>
        </w:tc>
        <w:tc>
          <w:tcPr>
            <w:tcW w:w="539" w:type="dxa"/>
            <w:vMerge/>
            <w:tcBorders>
              <w:bottom w:val="single" w:sz="4" w:space="0" w:color="auto"/>
            </w:tcBorders>
            <w:shd w:val="clear" w:color="auto" w:fill="FFFFC1"/>
          </w:tcPr>
          <w:p w14:paraId="5148846D" w14:textId="77777777" w:rsidR="009D3DC8" w:rsidRDefault="009D3DC8">
            <w:pPr>
              <w:pStyle w:val="TableText"/>
              <w:jc w:val="center"/>
              <w:rPr>
                <w:rFonts w:cs="Arial"/>
                <w:szCs w:val="16"/>
              </w:rPr>
            </w:pPr>
          </w:p>
        </w:tc>
        <w:tc>
          <w:tcPr>
            <w:tcW w:w="539" w:type="dxa"/>
            <w:vMerge/>
            <w:tcBorders>
              <w:bottom w:val="single" w:sz="4" w:space="0" w:color="auto"/>
            </w:tcBorders>
            <w:shd w:val="clear" w:color="auto" w:fill="FFFFC1"/>
          </w:tcPr>
          <w:p w14:paraId="660D1BA4" w14:textId="77777777" w:rsidR="009D3DC8" w:rsidRDefault="009D3DC8">
            <w:pPr>
              <w:pStyle w:val="TableText"/>
              <w:jc w:val="center"/>
              <w:rPr>
                <w:rFonts w:cs="Arial"/>
                <w:szCs w:val="16"/>
              </w:rPr>
            </w:pPr>
          </w:p>
        </w:tc>
        <w:tc>
          <w:tcPr>
            <w:tcW w:w="541" w:type="dxa"/>
            <w:gridSpan w:val="3"/>
            <w:vMerge/>
            <w:tcBorders>
              <w:bottom w:val="single" w:sz="4" w:space="0" w:color="auto"/>
            </w:tcBorders>
            <w:shd w:val="clear" w:color="auto" w:fill="FFFFC1"/>
          </w:tcPr>
          <w:p w14:paraId="1FEA5ED0" w14:textId="77777777" w:rsidR="009D3DC8" w:rsidRDefault="009D3DC8">
            <w:pPr>
              <w:pStyle w:val="TableText"/>
              <w:jc w:val="center"/>
              <w:rPr>
                <w:rFonts w:cs="Arial"/>
                <w:szCs w:val="16"/>
              </w:rPr>
            </w:pPr>
          </w:p>
        </w:tc>
        <w:tc>
          <w:tcPr>
            <w:tcW w:w="539" w:type="dxa"/>
            <w:vMerge/>
            <w:tcBorders>
              <w:bottom w:val="single" w:sz="4" w:space="0" w:color="auto"/>
            </w:tcBorders>
            <w:shd w:val="clear" w:color="auto" w:fill="FFFFC1"/>
          </w:tcPr>
          <w:p w14:paraId="7D440B2E" w14:textId="77777777" w:rsidR="009D3DC8" w:rsidRDefault="009D3DC8">
            <w:pPr>
              <w:pStyle w:val="TableText"/>
              <w:jc w:val="center"/>
              <w:rPr>
                <w:rFonts w:cs="Arial"/>
                <w:szCs w:val="16"/>
              </w:rPr>
            </w:pPr>
          </w:p>
        </w:tc>
        <w:tc>
          <w:tcPr>
            <w:tcW w:w="671" w:type="dxa"/>
            <w:vMerge/>
            <w:tcBorders>
              <w:bottom w:val="single" w:sz="4" w:space="0" w:color="auto"/>
            </w:tcBorders>
            <w:shd w:val="clear" w:color="auto" w:fill="FFFFC1"/>
          </w:tcPr>
          <w:p w14:paraId="366DD7B3" w14:textId="77777777" w:rsidR="009D3DC8" w:rsidRDefault="009D3DC8">
            <w:pPr>
              <w:pStyle w:val="TableText"/>
              <w:jc w:val="center"/>
              <w:rPr>
                <w:rFonts w:cs="Arial"/>
                <w:szCs w:val="16"/>
              </w:rPr>
            </w:pPr>
          </w:p>
        </w:tc>
        <w:tc>
          <w:tcPr>
            <w:tcW w:w="1031" w:type="dxa"/>
            <w:vMerge/>
            <w:tcBorders>
              <w:bottom w:val="single" w:sz="4" w:space="0" w:color="auto"/>
              <w:right w:val="single" w:sz="4" w:space="0" w:color="auto"/>
            </w:tcBorders>
            <w:shd w:val="clear" w:color="auto" w:fill="FFFFC1"/>
          </w:tcPr>
          <w:p w14:paraId="2EF8CEC3" w14:textId="77777777" w:rsidR="009D3DC8" w:rsidRDefault="009D3DC8">
            <w:pPr>
              <w:pStyle w:val="TableText"/>
              <w:jc w:val="center"/>
              <w:rPr>
                <w:rFonts w:cs="Arial"/>
                <w:szCs w:val="16"/>
              </w:rPr>
            </w:pPr>
          </w:p>
        </w:tc>
        <w:tc>
          <w:tcPr>
            <w:tcW w:w="1080" w:type="dxa"/>
            <w:vMerge/>
            <w:tcBorders>
              <w:left w:val="single" w:sz="4" w:space="0" w:color="auto"/>
              <w:bottom w:val="single" w:sz="4" w:space="0" w:color="auto"/>
              <w:right w:val="single" w:sz="4" w:space="0" w:color="auto"/>
            </w:tcBorders>
            <w:shd w:val="clear" w:color="auto" w:fill="CCFF66"/>
          </w:tcPr>
          <w:p w14:paraId="1A20D56D" w14:textId="77777777" w:rsidR="009D3DC8" w:rsidRDefault="009D3DC8">
            <w:pPr>
              <w:pStyle w:val="TableText"/>
              <w:jc w:val="center"/>
              <w:rPr>
                <w:rFonts w:cs="Arial"/>
                <w:b/>
                <w:szCs w:val="16"/>
              </w:rPr>
            </w:pPr>
          </w:p>
        </w:tc>
      </w:tr>
    </w:tbl>
    <w:p w14:paraId="70956597" w14:textId="77777777" w:rsidR="009D3DC8" w:rsidRDefault="009D3DC8">
      <w:pPr>
        <w:pStyle w:val="Body"/>
      </w:pPr>
    </w:p>
    <w:p w14:paraId="2E6732E4" w14:textId="77777777" w:rsidR="009D3DC8" w:rsidRDefault="009D3DC8">
      <w:pPr>
        <w:pStyle w:val="Heading1"/>
        <w:numPr>
          <w:ilvl w:val="0"/>
          <w:numId w:val="8"/>
        </w:numPr>
        <w:spacing w:line="240" w:lineRule="auto"/>
        <w:ind w:left="0" w:firstLine="0"/>
        <w:sectPr w:rsidR="009D3DC8">
          <w:headerReference w:type="default" r:id="rId48"/>
          <w:pgSz w:w="16838" w:h="11906" w:orient="landscape"/>
          <w:pgMar w:top="1411" w:right="1411" w:bottom="1411" w:left="1411" w:header="706" w:footer="706" w:gutter="0"/>
          <w:cols w:space="708"/>
          <w:formProt w:val="0"/>
          <w:docGrid w:linePitch="360"/>
        </w:sectPr>
      </w:pPr>
    </w:p>
    <w:p w14:paraId="481810FF" w14:textId="77777777" w:rsidR="009D3DC8" w:rsidRDefault="009D3DC8">
      <w:pPr>
        <w:pStyle w:val="Heading1"/>
        <w:numPr>
          <w:ilvl w:val="0"/>
          <w:numId w:val="8"/>
        </w:numPr>
        <w:spacing w:before="120" w:line="240" w:lineRule="auto"/>
      </w:pPr>
      <w:bookmarkStart w:id="90" w:name="_Toc325618449"/>
      <w:r>
        <w:lastRenderedPageBreak/>
        <w:t>Pest risk management</w:t>
      </w:r>
      <w:bookmarkEnd w:id="90"/>
    </w:p>
    <w:p w14:paraId="5E50DB01"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This chapter provides information on the management of quarantine pests identified with an unrestricted risk exceeding </w:t>
      </w:r>
      <w:smartTag w:uri="urn:schemas-microsoft-com:office:smarttags" w:element="country-region">
        <w:smartTag w:uri="urn:schemas-microsoft-com:office:smarttags" w:element="place">
          <w:r>
            <w:rPr>
              <w:rFonts w:ascii="Times New Roman" w:hAnsi="Times New Roman"/>
              <w:sz w:val="24"/>
            </w:rPr>
            <w:t>Australia</w:t>
          </w:r>
        </w:smartTag>
      </w:smartTag>
      <w:r>
        <w:rPr>
          <w:rFonts w:ascii="Times New Roman" w:hAnsi="Times New Roman"/>
          <w:sz w:val="24"/>
        </w:rPr>
        <w:t>’s appropriate level of protection (ALOP). The recommended phytosanitary measures are described below.</w:t>
      </w:r>
    </w:p>
    <w:p w14:paraId="5EEEA36E" w14:textId="77777777" w:rsidR="009D3DC8" w:rsidRDefault="009D3DC8">
      <w:pPr>
        <w:pStyle w:val="Heading2"/>
        <w:numPr>
          <w:ilvl w:val="1"/>
          <w:numId w:val="8"/>
        </w:numPr>
        <w:spacing w:line="240" w:lineRule="auto"/>
      </w:pPr>
      <w:bookmarkStart w:id="91" w:name="_Toc325618450"/>
      <w:r>
        <w:t>Pest risk management measures and phytosanitary procedures</w:t>
      </w:r>
      <w:bookmarkEnd w:id="91"/>
    </w:p>
    <w:p w14:paraId="0400ACA6" w14:textId="77777777" w:rsidR="009D3DC8" w:rsidRDefault="009D3DC8">
      <w:pPr>
        <w:spacing w:before="180" w:line="280" w:lineRule="atLeast"/>
        <w:rPr>
          <w:rFonts w:ascii="Times New Roman" w:hAnsi="Times New Roman"/>
          <w:sz w:val="24"/>
        </w:rPr>
      </w:pPr>
      <w:r>
        <w:rPr>
          <w:rFonts w:ascii="Times New Roman" w:hAnsi="Times New Roman"/>
          <w:sz w:val="24"/>
        </w:rPr>
        <w:t>Pest risk management evaluates and selects options for measures to reduce the risk of entry, establishment or spread of quarantine pests for Australia where they have been assessed to have an unrestricted risk above Australia’s ALOP. In calculating the unrestricted risk, existing commercial production practices in Indonesia have been considered, as have post-harvest procedures and the packing of fruit.</w:t>
      </w:r>
    </w:p>
    <w:p w14:paraId="28EC0F2F" w14:textId="77777777" w:rsidR="009D3DC8" w:rsidRDefault="009D3DC8">
      <w:pPr>
        <w:spacing w:before="180" w:line="280" w:lineRule="atLeast"/>
        <w:rPr>
          <w:rFonts w:ascii="Times New Roman" w:hAnsi="Times New Roman"/>
          <w:sz w:val="24"/>
        </w:rPr>
      </w:pPr>
      <w:r>
        <w:rPr>
          <w:rFonts w:ascii="Times New Roman" w:hAnsi="Times New Roman"/>
          <w:sz w:val="24"/>
        </w:rPr>
        <w:t>In addition to Indonesia’s existing commercial production practices for mangosteen fruit and minimum border procedures in Australia, specific pest risk management measures, including operational systems, are proposed to achieve Australia's ALOP.</w:t>
      </w:r>
    </w:p>
    <w:p w14:paraId="030F3E5E" w14:textId="77777777" w:rsidR="009D3DC8" w:rsidRDefault="009D3DC8">
      <w:pPr>
        <w:pStyle w:val="Body"/>
        <w:spacing w:before="180"/>
        <w:jc w:val="left"/>
        <w:rPr>
          <w:rFonts w:ascii="Times New Roman" w:hAnsi="Times New Roman"/>
        </w:rPr>
      </w:pPr>
      <w:r>
        <w:rPr>
          <w:rFonts w:ascii="Times New Roman" w:hAnsi="Times New Roman"/>
        </w:rPr>
        <w:t>In this section, DAFF Biosecurity has identified risk management measures that may be applied to consignments of mangosteen fruit sourced from Indonesia. Finalisation of the quarantine conditions may be undertaken with input from the Australian states and territories as appropriate.</w:t>
      </w:r>
    </w:p>
    <w:p w14:paraId="7AD849C7" w14:textId="77777777" w:rsidR="009D3DC8" w:rsidRDefault="009D3DC8">
      <w:pPr>
        <w:pStyle w:val="Body"/>
        <w:spacing w:before="180"/>
        <w:jc w:val="left"/>
        <w:rPr>
          <w:rFonts w:ascii="Times New Roman" w:hAnsi="Times New Roman"/>
        </w:rPr>
      </w:pPr>
      <w:r>
        <w:rPr>
          <w:rFonts w:ascii="Times New Roman" w:hAnsi="Times New Roman"/>
        </w:rPr>
        <w:t>Indonesia has proposed the following general framework for the management of pests and procedures for production of mangosteen fruit for export to Australia (IAQA 2008; IAQA 2010; IAQA 2011):</w:t>
      </w:r>
    </w:p>
    <w:p w14:paraId="569348E3" w14:textId="77777777" w:rsidR="009D3DC8" w:rsidRDefault="009D3DC8">
      <w:pPr>
        <w:pStyle w:val="Bullet"/>
        <w:numPr>
          <w:ilvl w:val="0"/>
          <w:numId w:val="33"/>
        </w:numPr>
        <w:spacing w:before="120" w:after="60" w:line="280" w:lineRule="atLeast"/>
        <w:rPr>
          <w:rFonts w:ascii="Times New Roman" w:hAnsi="Times New Roman"/>
        </w:rPr>
      </w:pPr>
      <w:r>
        <w:rPr>
          <w:rFonts w:ascii="Times New Roman" w:hAnsi="Times New Roman"/>
          <w:i/>
        </w:rPr>
        <w:t>Registration</w:t>
      </w:r>
      <w:r>
        <w:rPr>
          <w:rFonts w:ascii="Times New Roman" w:hAnsi="Times New Roman"/>
        </w:rPr>
        <w:t>: Mangosteen fruit for export to Australia must originate from orchards and packing houses registered with the Indonesian Agricultural Quarantine Agency (IAQA).</w:t>
      </w:r>
    </w:p>
    <w:p w14:paraId="6B60051A" w14:textId="77777777" w:rsidR="009D3DC8" w:rsidRDefault="009D3DC8">
      <w:pPr>
        <w:pStyle w:val="Bullet"/>
        <w:numPr>
          <w:ilvl w:val="0"/>
          <w:numId w:val="33"/>
        </w:numPr>
        <w:spacing w:before="120" w:after="60" w:line="280" w:lineRule="atLeast"/>
        <w:rPr>
          <w:rFonts w:ascii="Times New Roman" w:hAnsi="Times New Roman"/>
        </w:rPr>
      </w:pPr>
      <w:r>
        <w:rPr>
          <w:rFonts w:ascii="Times New Roman" w:hAnsi="Times New Roman"/>
          <w:i/>
          <w:iCs/>
        </w:rPr>
        <w:t>Packing house management</w:t>
      </w:r>
      <w:r>
        <w:rPr>
          <w:rFonts w:ascii="Times New Roman" w:hAnsi="Times New Roman"/>
        </w:rPr>
        <w:t xml:space="preserve">: A sanitation program must be carried out in packing houses to ensure they are kept clean. The waste fruit must be collected regularly. </w:t>
      </w:r>
      <w:r>
        <w:rPr>
          <w:rFonts w:ascii="Times New Roman" w:hAnsi="Times New Roman"/>
          <w:iCs/>
        </w:rPr>
        <w:t>The processing line must be sp</w:t>
      </w:r>
      <w:r>
        <w:rPr>
          <w:rFonts w:ascii="Times New Roman" w:hAnsi="Times New Roman"/>
        </w:rPr>
        <w:t xml:space="preserve">ecifically used to grade export fruit from registered orchards. Fruit for export to different countries and for the domestic market must not be processed (cleaned and packed) at the same time as fruit processed for export to Australia. IAQA officers or accredited personnel will ensure that all fruit packed for Australia are undamaged and of maturity index 2–3, to comply with the requirement of conditional non-host status of fruit flies. </w:t>
      </w:r>
    </w:p>
    <w:p w14:paraId="5DB0B213" w14:textId="77777777" w:rsidR="009D3DC8" w:rsidRDefault="009D3DC8">
      <w:pPr>
        <w:pStyle w:val="Bullet"/>
        <w:numPr>
          <w:ilvl w:val="0"/>
          <w:numId w:val="33"/>
        </w:numPr>
        <w:spacing w:before="120" w:after="60" w:line="280" w:lineRule="atLeast"/>
        <w:rPr>
          <w:rFonts w:ascii="Times New Roman" w:hAnsi="Times New Roman"/>
        </w:rPr>
      </w:pPr>
      <w:r>
        <w:rPr>
          <w:rFonts w:ascii="Times New Roman" w:hAnsi="Times New Roman"/>
          <w:i/>
          <w:iCs/>
        </w:rPr>
        <w:t>Packaging and labelling</w:t>
      </w:r>
      <w:r>
        <w:rPr>
          <w:rFonts w:ascii="Times New Roman" w:hAnsi="Times New Roman"/>
          <w:iCs/>
        </w:rPr>
        <w:t>: New and c</w:t>
      </w:r>
      <w:r>
        <w:rPr>
          <w:rFonts w:ascii="Times New Roman" w:hAnsi="Times New Roman"/>
        </w:rPr>
        <w:t>lean cartons or plastic crates must be used for packing fruit. Plant</w:t>
      </w:r>
      <w:r>
        <w:rPr>
          <w:rFonts w:ascii="Times New Roman" w:hAnsi="Times New Roman"/>
          <w:b/>
        </w:rPr>
        <w:t>-</w:t>
      </w:r>
      <w:r>
        <w:rPr>
          <w:rFonts w:ascii="Times New Roman" w:hAnsi="Times New Roman"/>
        </w:rPr>
        <w:t>derived packing materials must not be used, including during the harvesting of fruit. For the convenience of tracing the origin of any problem, all cartons/crates must be labelled ‘For Australia’, with the reference codes for packing house, lot number, number of cartons/crates in each lot, and date.</w:t>
      </w:r>
    </w:p>
    <w:p w14:paraId="5EAC7804" w14:textId="77777777" w:rsidR="009D3DC8" w:rsidRDefault="009D3DC8">
      <w:pPr>
        <w:pStyle w:val="Bullet"/>
        <w:numPr>
          <w:ilvl w:val="0"/>
          <w:numId w:val="33"/>
        </w:numPr>
        <w:spacing w:before="120" w:after="60" w:line="280" w:lineRule="atLeast"/>
        <w:rPr>
          <w:rFonts w:ascii="Times New Roman" w:hAnsi="Times New Roman"/>
        </w:rPr>
      </w:pPr>
      <w:r>
        <w:rPr>
          <w:rFonts w:ascii="Times New Roman" w:hAnsi="Times New Roman"/>
          <w:i/>
        </w:rPr>
        <w:t>Storage and transport</w:t>
      </w:r>
      <w:r>
        <w:rPr>
          <w:rFonts w:ascii="Times New Roman" w:hAnsi="Times New Roman"/>
        </w:rPr>
        <w:t>: The storage facilities should be clean and hygienic, and windows and doors must be insect</w:t>
      </w:r>
      <w:r>
        <w:rPr>
          <w:rFonts w:ascii="Times New Roman" w:hAnsi="Times New Roman"/>
          <w:b/>
        </w:rPr>
        <w:t>-</w:t>
      </w:r>
      <w:r>
        <w:rPr>
          <w:rFonts w:ascii="Times New Roman" w:hAnsi="Times New Roman"/>
        </w:rPr>
        <w:t>proof. Fruit for export to Australia must be stored separately from fruit destined for other export markets and the domestic market. The quarantine integrity of export fruit to Australia must be maintained during storage and movement. The packing houses must ensure that the relevant records are kept up to date.</w:t>
      </w:r>
    </w:p>
    <w:p w14:paraId="198507A0" w14:textId="77777777" w:rsidR="009D3DC8" w:rsidRDefault="009D3DC8">
      <w:pPr>
        <w:pStyle w:val="Bullet"/>
        <w:numPr>
          <w:ilvl w:val="0"/>
          <w:numId w:val="33"/>
        </w:numPr>
        <w:spacing w:before="120" w:after="60" w:line="280" w:lineRule="atLeast"/>
        <w:rPr>
          <w:rFonts w:ascii="Times New Roman" w:hAnsi="Times New Roman"/>
        </w:rPr>
      </w:pPr>
      <w:r>
        <w:rPr>
          <w:rFonts w:ascii="Times New Roman" w:hAnsi="Times New Roman"/>
          <w:i/>
        </w:rPr>
        <w:lastRenderedPageBreak/>
        <w:t>Pre-export inspection and certification</w:t>
      </w:r>
      <w:r>
        <w:rPr>
          <w:rFonts w:ascii="Times New Roman" w:hAnsi="Times New Roman"/>
        </w:rPr>
        <w:t>: IAQA will conduct the phytosanitary inspection and, if the consignment meets the requirements outlined below, issue a phytosanitary certificate.</w:t>
      </w:r>
    </w:p>
    <w:p w14:paraId="1F823442" w14:textId="77777777" w:rsidR="009D3DC8" w:rsidRDefault="009D3DC8">
      <w:pPr>
        <w:spacing w:before="180" w:line="280" w:lineRule="atLeast"/>
        <w:rPr>
          <w:rFonts w:ascii="Times New Roman" w:hAnsi="Times New Roman"/>
          <w:sz w:val="24"/>
        </w:rPr>
      </w:pPr>
      <w:r>
        <w:rPr>
          <w:rFonts w:ascii="Times New Roman" w:hAnsi="Times New Roman"/>
          <w:sz w:val="24"/>
        </w:rPr>
        <w:t>DAFF Biosecurity has considered the components of Indonesia’s proposed general framework. DAFF Biosecurity has also visited mangosteen production areas in Indonesia and observed and collected information related to the framework proposed by Indonesia for registration and management of orchards and packing houses, pest management, storage and transport.</w:t>
      </w:r>
    </w:p>
    <w:p w14:paraId="611B851E" w14:textId="77777777" w:rsidR="009D3DC8" w:rsidRDefault="009D3DC8">
      <w:pPr>
        <w:spacing w:before="180" w:line="280" w:lineRule="atLeast"/>
        <w:rPr>
          <w:rFonts w:ascii="Times New Roman" w:hAnsi="Times New Roman"/>
          <w:sz w:val="24"/>
        </w:rPr>
      </w:pPr>
      <w:r>
        <w:rPr>
          <w:rFonts w:ascii="Times New Roman" w:hAnsi="Times New Roman"/>
          <w:sz w:val="24"/>
        </w:rPr>
        <w:t>The pest risk management measures recommended by DAFF Biosecurity for the management of identified quarantine pests are based on the mandatory requirement for Indonesia to adhere to existing commercial practices, particularly the packing of undamaged fruit of maturity index 2–3 for export to Australia (refer to Chapter 3).</w:t>
      </w:r>
    </w:p>
    <w:p w14:paraId="77CEB220"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recommended pest risk management measures will apply to all the mangosteen production areas from which Indonesia intends to export mangosteen fruit to Australia. </w:t>
      </w:r>
    </w:p>
    <w:p w14:paraId="4F947AD9" w14:textId="77777777" w:rsidR="009D3DC8" w:rsidRDefault="009D3DC8">
      <w:pPr>
        <w:pStyle w:val="Heading3"/>
        <w:numPr>
          <w:ilvl w:val="2"/>
          <w:numId w:val="8"/>
        </w:numPr>
        <w:spacing w:line="240" w:lineRule="auto"/>
      </w:pPr>
      <w:r>
        <w:t>Pest risk management for quarantine pests</w:t>
      </w:r>
    </w:p>
    <w:p w14:paraId="0E39AF2D" w14:textId="77777777" w:rsidR="009D3DC8" w:rsidRDefault="009D3DC8">
      <w:pPr>
        <w:pStyle w:val="Body"/>
        <w:spacing w:before="180"/>
        <w:jc w:val="left"/>
        <w:rPr>
          <w:rFonts w:ascii="Times New Roman" w:hAnsi="Times New Roman"/>
        </w:rPr>
      </w:pPr>
      <w:bookmarkStart w:id="92" w:name="_Toc261004355"/>
      <w:bookmarkStart w:id="93" w:name="_Toc214375734"/>
      <w:r>
        <w:rPr>
          <w:rFonts w:ascii="Times New Roman" w:hAnsi="Times New Roman"/>
        </w:rPr>
        <w:t>The pest risk analysis identified the quarantine pests listed in Table 5.1 as having an unrestricted risk above Australia’s ALOP.</w:t>
      </w:r>
    </w:p>
    <w:p w14:paraId="56020ABE" w14:textId="77777777" w:rsidR="009D3DC8" w:rsidRDefault="009D3DC8">
      <w:pPr>
        <w:spacing w:before="180" w:line="280" w:lineRule="atLeast"/>
        <w:rPr>
          <w:rFonts w:ascii="Times New Roman" w:hAnsi="Times New Roman"/>
          <w:sz w:val="24"/>
        </w:rPr>
      </w:pPr>
      <w:r>
        <w:rPr>
          <w:rFonts w:ascii="Times New Roman" w:hAnsi="Times New Roman"/>
          <w:sz w:val="24"/>
        </w:rPr>
        <w:t>This non-regulated analysis builds on the existing policy for mangosteen fruit from Thailand (DAFF 2004b), which includes some of the pests identified in Table 5.1.</w:t>
      </w:r>
    </w:p>
    <w:p w14:paraId="2762FA1C" w14:textId="77777777" w:rsidR="009D3DC8" w:rsidRDefault="009D3DC8">
      <w:pPr>
        <w:pStyle w:val="Body"/>
        <w:spacing w:before="180"/>
        <w:jc w:val="left"/>
        <w:rPr>
          <w:rFonts w:ascii="Times New Roman" w:hAnsi="Times New Roman"/>
        </w:rPr>
      </w:pPr>
      <w:r>
        <w:rPr>
          <w:rFonts w:ascii="Times New Roman" w:hAnsi="Times New Roman"/>
        </w:rPr>
        <w:t>This  report recommends that when the following pest management practices are followed, the restricted risk for all identified quarantine pests assessed achieves Australia’s appropriate level of protection (ALOP). They include:</w:t>
      </w:r>
    </w:p>
    <w:p w14:paraId="1B21CAE8" w14:textId="77777777" w:rsidR="009D3DC8" w:rsidRDefault="009D3DC8">
      <w:pPr>
        <w:pStyle w:val="Bullets"/>
        <w:numPr>
          <w:ilvl w:val="0"/>
          <w:numId w:val="34"/>
        </w:numPr>
        <w:spacing w:before="120"/>
        <w:jc w:val="left"/>
      </w:pPr>
      <w:r>
        <w:t>a systems approach (cleaning of each individual fruit, including under the calyx, using pressurised air blasting and brushing, fumigation with methyl bromide, and regulatory visual inspection and remedial action) for spider mites, mealybugs and ants</w:t>
      </w:r>
    </w:p>
    <w:p w14:paraId="7A71EBBD" w14:textId="77777777" w:rsidR="009D3DC8" w:rsidRDefault="009D3DC8">
      <w:pPr>
        <w:pStyle w:val="Bullets"/>
        <w:numPr>
          <w:ilvl w:val="0"/>
          <w:numId w:val="34"/>
        </w:numPr>
        <w:spacing w:before="120" w:after="120"/>
        <w:jc w:val="left"/>
      </w:pPr>
      <w:r>
        <w:t>only undamaged mangosteen fruit at maturity index 2–3 (refer to table 3.4) is to be packed for export to Australia because such fruit does not host fruit flies.</w:t>
      </w:r>
    </w:p>
    <w:p w14:paraId="7F6D9A1B" w14:textId="77777777" w:rsidR="009D3DC8" w:rsidRDefault="009D3DC8">
      <w:pPr>
        <w:pStyle w:val="Heading4"/>
        <w:keepLines w:val="0"/>
        <w:spacing w:before="360" w:line="280"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Management for spider mites, mealybugs and ants</w:t>
      </w:r>
    </w:p>
    <w:p w14:paraId="2ABE061B"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Spider mites, </w:t>
      </w:r>
      <w:r>
        <w:rPr>
          <w:rFonts w:ascii="Times New Roman" w:hAnsi="Times New Roman"/>
          <w:i/>
          <w:sz w:val="24"/>
        </w:rPr>
        <w:t>Tetranychus</w:t>
      </w:r>
      <w:r>
        <w:rPr>
          <w:rFonts w:ascii="Times New Roman" w:hAnsi="Times New Roman"/>
          <w:sz w:val="24"/>
        </w:rPr>
        <w:t xml:space="preserve"> spp., 11 mealybug species and species of ants from 14 genera were assessed to have an unrestricted risk estimate that exceeds Australia’s ALOP. Measures are therefore required to manage these risks.</w:t>
      </w:r>
    </w:p>
    <w:p w14:paraId="56FCFCDE" w14:textId="77777777" w:rsidR="009D3DC8" w:rsidRDefault="009D3DC8">
      <w:pPr>
        <w:spacing w:before="180" w:line="280" w:lineRule="atLeast"/>
        <w:rPr>
          <w:rFonts w:ascii="Times New Roman" w:hAnsi="Times New Roman"/>
          <w:sz w:val="24"/>
        </w:rPr>
      </w:pPr>
      <w:r>
        <w:rPr>
          <w:rFonts w:ascii="Times New Roman" w:hAnsi="Times New Roman"/>
          <w:sz w:val="24"/>
        </w:rPr>
        <w:t>DAFF Biosecurity proposes the following systems approach based on physical cleaning, methyl bromide fumigation and regulatory visual inspection and remedial action to reduce the risks associated with these arthropod pests to meet Australia‘s ALOP.</w:t>
      </w:r>
    </w:p>
    <w:p w14:paraId="427DC04B" w14:textId="77777777" w:rsidR="009D3DC8" w:rsidRDefault="009D3DC8">
      <w:pPr>
        <w:rPr>
          <w:rFonts w:ascii="Times New Roman" w:eastAsia="Times New Roman" w:hAnsi="Times New Roman"/>
          <w:sz w:val="24"/>
          <w:szCs w:val="24"/>
        </w:rPr>
      </w:pPr>
      <w:r>
        <w:rPr>
          <w:rFonts w:ascii="Times New Roman" w:hAnsi="Times New Roman"/>
        </w:rPr>
        <w:br w:type="page"/>
      </w:r>
    </w:p>
    <w:p w14:paraId="6D46C972" w14:textId="77777777" w:rsidR="009D3DC8" w:rsidRDefault="009D3DC8">
      <w:pPr>
        <w:pStyle w:val="Table"/>
        <w:ind w:left="1418" w:hanging="1418"/>
      </w:pPr>
      <w:bookmarkStart w:id="94" w:name="_Toc325625803"/>
      <w:r>
        <w:t>Table 5.1</w:t>
      </w:r>
      <w:r>
        <w:tab/>
        <w:t>Phytosanitary measures proposed for quarantine pests for fresh mangosteen fruit from Indonesia</w:t>
      </w:r>
      <w:bookmarkEnd w:id="92"/>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95"/>
        <w:gridCol w:w="1974"/>
        <w:gridCol w:w="4745"/>
      </w:tblGrid>
      <w:tr w:rsidR="009D3DC8" w14:paraId="1F1AA4A7" w14:textId="77777777">
        <w:trPr>
          <w:tblHeader/>
        </w:trPr>
        <w:tc>
          <w:tcPr>
            <w:tcW w:w="2579" w:type="dxa"/>
            <w:tcBorders>
              <w:bottom w:val="single" w:sz="4" w:space="0" w:color="auto"/>
              <w:right w:val="single" w:sz="4" w:space="0" w:color="auto"/>
            </w:tcBorders>
            <w:shd w:val="clear" w:color="auto" w:fill="D9D9D9"/>
            <w:vAlign w:val="bottom"/>
          </w:tcPr>
          <w:p w14:paraId="4FAB1033" w14:textId="77777777" w:rsidR="009D3DC8" w:rsidRDefault="009D3DC8">
            <w:pPr>
              <w:pStyle w:val="TableText1"/>
              <w:rPr>
                <w:rFonts w:ascii="Arial" w:hAnsi="Arial" w:cs="Arial"/>
                <w:b/>
                <w:bCs/>
                <w:lang w:val="es-PE"/>
              </w:rPr>
            </w:pPr>
            <w:r>
              <w:rPr>
                <w:rFonts w:ascii="Arial" w:hAnsi="Arial" w:cs="Arial"/>
                <w:b/>
                <w:bCs/>
                <w:lang w:val="es-PE"/>
              </w:rPr>
              <w:t>Pest</w:t>
            </w:r>
          </w:p>
        </w:tc>
        <w:tc>
          <w:tcPr>
            <w:tcW w:w="1962" w:type="dxa"/>
            <w:tcBorders>
              <w:left w:val="single" w:sz="4" w:space="0" w:color="auto"/>
              <w:bottom w:val="single" w:sz="4" w:space="0" w:color="auto"/>
              <w:right w:val="single" w:sz="4" w:space="0" w:color="auto"/>
            </w:tcBorders>
            <w:shd w:val="clear" w:color="auto" w:fill="D9D9D9"/>
            <w:vAlign w:val="bottom"/>
          </w:tcPr>
          <w:p w14:paraId="7099630B" w14:textId="77777777" w:rsidR="009D3DC8" w:rsidRDefault="009D3DC8">
            <w:pPr>
              <w:pStyle w:val="TableText1"/>
              <w:rPr>
                <w:rFonts w:ascii="Arial" w:hAnsi="Arial" w:cs="Arial"/>
                <w:b/>
                <w:bCs/>
                <w:lang w:val="es-PE"/>
              </w:rPr>
            </w:pPr>
            <w:r>
              <w:rPr>
                <w:rFonts w:ascii="Arial" w:hAnsi="Arial" w:cs="Arial"/>
                <w:b/>
                <w:bCs/>
                <w:lang w:val="es-PE"/>
              </w:rPr>
              <w:t>Common name</w:t>
            </w:r>
          </w:p>
        </w:tc>
        <w:tc>
          <w:tcPr>
            <w:tcW w:w="4715" w:type="dxa"/>
            <w:tcBorders>
              <w:left w:val="single" w:sz="4" w:space="0" w:color="auto"/>
              <w:bottom w:val="single" w:sz="4" w:space="0" w:color="auto"/>
            </w:tcBorders>
            <w:shd w:val="clear" w:color="auto" w:fill="D9D9D9"/>
            <w:vAlign w:val="bottom"/>
          </w:tcPr>
          <w:p w14:paraId="47799A20" w14:textId="77777777" w:rsidR="009D3DC8" w:rsidRDefault="009D3DC8">
            <w:pPr>
              <w:pStyle w:val="TableText1"/>
              <w:rPr>
                <w:rFonts w:ascii="Arial" w:hAnsi="Arial" w:cs="Arial"/>
                <w:b/>
                <w:bCs/>
                <w:lang w:val="es-PE"/>
              </w:rPr>
            </w:pPr>
            <w:r>
              <w:rPr>
                <w:rFonts w:ascii="Arial" w:hAnsi="Arial" w:cs="Arial"/>
                <w:b/>
                <w:bCs/>
                <w:lang w:val="es-PE"/>
              </w:rPr>
              <w:t>Measures</w:t>
            </w:r>
          </w:p>
        </w:tc>
      </w:tr>
      <w:tr w:rsidR="009D3DC8" w14:paraId="08BA2111" w14:textId="77777777">
        <w:tc>
          <w:tcPr>
            <w:tcW w:w="9256" w:type="dxa"/>
            <w:gridSpan w:val="3"/>
            <w:tcBorders>
              <w:top w:val="single" w:sz="4" w:space="0" w:color="auto"/>
              <w:bottom w:val="single" w:sz="4" w:space="0" w:color="auto"/>
            </w:tcBorders>
            <w:shd w:val="clear" w:color="auto" w:fill="D9D9D9"/>
          </w:tcPr>
          <w:p w14:paraId="5C2B6B24" w14:textId="77777777" w:rsidR="009D3DC8" w:rsidRDefault="009D3DC8">
            <w:pPr>
              <w:pStyle w:val="TableText1"/>
              <w:rPr>
                <w:rFonts w:cs="Arial"/>
                <w:b/>
                <w:bCs/>
                <w:szCs w:val="16"/>
                <w:highlight w:val="yellow"/>
              </w:rPr>
            </w:pPr>
            <w:r>
              <w:rPr>
                <w:rFonts w:ascii="Arial" w:hAnsi="Arial" w:cs="Arial"/>
                <w:b/>
                <w:bCs/>
                <w:i/>
              </w:rPr>
              <w:t>Arthropods</w:t>
            </w:r>
          </w:p>
        </w:tc>
      </w:tr>
      <w:tr w:rsidR="009D3DC8" w14:paraId="69828574" w14:textId="77777777">
        <w:trPr>
          <w:cantSplit/>
          <w:trHeight w:val="365"/>
        </w:trPr>
        <w:tc>
          <w:tcPr>
            <w:tcW w:w="2579" w:type="dxa"/>
            <w:tcBorders>
              <w:top w:val="single" w:sz="4" w:space="0" w:color="auto"/>
              <w:left w:val="single" w:sz="4" w:space="0" w:color="auto"/>
              <w:right w:val="single" w:sz="4" w:space="0" w:color="auto"/>
            </w:tcBorders>
          </w:tcPr>
          <w:p w14:paraId="67934C9C" w14:textId="77777777" w:rsidR="009D3DC8" w:rsidRDefault="009D3DC8">
            <w:pPr>
              <w:pStyle w:val="TableText1"/>
              <w:rPr>
                <w:rFonts w:cs="Arial"/>
                <w:i/>
                <w:szCs w:val="16"/>
                <w:highlight w:val="yellow"/>
              </w:rPr>
            </w:pPr>
            <w:r>
              <w:rPr>
                <w:rFonts w:ascii="Arial" w:hAnsi="Arial" w:cs="Arial"/>
                <w:i/>
              </w:rPr>
              <w:t xml:space="preserve">Tetranychus </w:t>
            </w:r>
            <w:r>
              <w:rPr>
                <w:rFonts w:ascii="Arial" w:hAnsi="Arial" w:cs="Arial"/>
              </w:rPr>
              <w:t>spp.</w:t>
            </w:r>
            <w:r>
              <w:rPr>
                <w:rFonts w:ascii="Helvetica" w:hAnsi="Helvetica" w:cs="Helvetica"/>
                <w:szCs w:val="16"/>
                <w:highlight w:val="yellow"/>
                <w:lang w:val="pt-BR"/>
              </w:rPr>
              <w:t xml:space="preserve"> </w:t>
            </w:r>
          </w:p>
        </w:tc>
        <w:tc>
          <w:tcPr>
            <w:tcW w:w="1962" w:type="dxa"/>
            <w:tcBorders>
              <w:top w:val="single" w:sz="4" w:space="0" w:color="auto"/>
              <w:left w:val="single" w:sz="4" w:space="0" w:color="auto"/>
              <w:right w:val="single" w:sz="4" w:space="0" w:color="auto"/>
            </w:tcBorders>
          </w:tcPr>
          <w:p w14:paraId="18EEE8CC" w14:textId="77777777" w:rsidR="009D3DC8" w:rsidRDefault="009D3DC8">
            <w:pPr>
              <w:pStyle w:val="TableText1"/>
              <w:keepNext w:val="0"/>
              <w:rPr>
                <w:rFonts w:cs="Arial"/>
                <w:szCs w:val="16"/>
                <w:highlight w:val="yellow"/>
              </w:rPr>
            </w:pPr>
            <w:r>
              <w:rPr>
                <w:rFonts w:ascii="Arial" w:hAnsi="Arial" w:cs="Arial"/>
                <w:szCs w:val="16"/>
              </w:rPr>
              <w:t>spider mites</w:t>
            </w:r>
          </w:p>
        </w:tc>
        <w:tc>
          <w:tcPr>
            <w:tcW w:w="4715" w:type="dxa"/>
            <w:vMerge w:val="restart"/>
            <w:tcBorders>
              <w:top w:val="single" w:sz="4" w:space="0" w:color="auto"/>
              <w:left w:val="single" w:sz="4" w:space="0" w:color="auto"/>
              <w:right w:val="single" w:sz="4" w:space="0" w:color="auto"/>
            </w:tcBorders>
          </w:tcPr>
          <w:p w14:paraId="206591B5" w14:textId="77777777" w:rsidR="009D3DC8" w:rsidRDefault="009D3DC8">
            <w:pPr>
              <w:pStyle w:val="TableText1"/>
              <w:keepNext w:val="0"/>
              <w:rPr>
                <w:rFonts w:ascii="Arial" w:hAnsi="Arial" w:cs="Arial"/>
                <w:szCs w:val="16"/>
              </w:rPr>
            </w:pPr>
            <w:r>
              <w:rPr>
                <w:rFonts w:ascii="Arial" w:hAnsi="Arial" w:cs="Arial"/>
                <w:szCs w:val="16"/>
              </w:rPr>
              <w:t>Systems approach:</w:t>
            </w:r>
          </w:p>
          <w:p w14:paraId="73939E0C" w14:textId="77777777" w:rsidR="009D3DC8" w:rsidRDefault="009D3DC8">
            <w:pPr>
              <w:pStyle w:val="Bullet"/>
              <w:numPr>
                <w:ilvl w:val="0"/>
                <w:numId w:val="9"/>
              </w:numPr>
              <w:tabs>
                <w:tab w:val="clear" w:pos="340"/>
                <w:tab w:val="num" w:pos="-360"/>
              </w:tabs>
              <w:spacing w:before="60" w:after="60"/>
              <w:ind w:left="357" w:hanging="357"/>
              <w:rPr>
                <w:rFonts w:ascii="Arial" w:hAnsi="Arial" w:cs="Arial"/>
                <w:sz w:val="16"/>
                <w:szCs w:val="16"/>
              </w:rPr>
            </w:pPr>
            <w:r>
              <w:rPr>
                <w:rFonts w:ascii="Arial" w:hAnsi="Arial" w:cs="Arial"/>
                <w:sz w:val="16"/>
                <w:szCs w:val="16"/>
              </w:rPr>
              <w:t>Cleaning of the fruit, including under the calyx, with pressurised air blasting and brushing</w:t>
            </w:r>
          </w:p>
          <w:p w14:paraId="012335A3" w14:textId="77777777" w:rsidR="009D3DC8" w:rsidRDefault="009D3DC8">
            <w:pPr>
              <w:pStyle w:val="Bullet"/>
              <w:numPr>
                <w:ilvl w:val="0"/>
                <w:numId w:val="9"/>
              </w:numPr>
              <w:tabs>
                <w:tab w:val="clear" w:pos="340"/>
                <w:tab w:val="num" w:pos="-360"/>
              </w:tabs>
              <w:spacing w:before="60" w:after="60"/>
              <w:ind w:left="357" w:hanging="357"/>
              <w:rPr>
                <w:rFonts w:ascii="Arial" w:hAnsi="Arial" w:cs="Arial"/>
                <w:sz w:val="16"/>
                <w:szCs w:val="16"/>
              </w:rPr>
            </w:pPr>
            <w:r>
              <w:rPr>
                <w:rFonts w:ascii="Arial" w:hAnsi="Arial" w:cs="Arial"/>
                <w:sz w:val="16"/>
                <w:szCs w:val="16"/>
              </w:rPr>
              <w:t>Methyl bromide fumigation or an alternative post harvest phytosanitary treatment approved by DAFF</w:t>
            </w:r>
          </w:p>
          <w:p w14:paraId="3ECD6AAF" w14:textId="77777777" w:rsidR="009D3DC8" w:rsidRDefault="009D3DC8">
            <w:pPr>
              <w:pStyle w:val="Bullet"/>
              <w:numPr>
                <w:ilvl w:val="0"/>
                <w:numId w:val="9"/>
              </w:numPr>
              <w:tabs>
                <w:tab w:val="clear" w:pos="340"/>
                <w:tab w:val="num" w:pos="-360"/>
              </w:tabs>
              <w:spacing w:before="60" w:after="60"/>
              <w:ind w:left="357" w:hanging="357"/>
              <w:rPr>
                <w:rFonts w:ascii="Arial" w:hAnsi="Arial" w:cs="Arial"/>
                <w:sz w:val="16"/>
                <w:szCs w:val="16"/>
              </w:rPr>
            </w:pPr>
            <w:r>
              <w:rPr>
                <w:rFonts w:ascii="Arial" w:hAnsi="Arial" w:cs="Arial"/>
                <w:sz w:val="16"/>
                <w:szCs w:val="16"/>
              </w:rPr>
              <w:t>Regulatory visual inspection by IAQA and remedial action*</w:t>
            </w:r>
          </w:p>
        </w:tc>
      </w:tr>
      <w:tr w:rsidR="009D3DC8" w14:paraId="4D73270F" w14:textId="77777777">
        <w:trPr>
          <w:cantSplit/>
        </w:trPr>
        <w:tc>
          <w:tcPr>
            <w:tcW w:w="2579" w:type="dxa"/>
            <w:tcBorders>
              <w:top w:val="single" w:sz="4" w:space="0" w:color="auto"/>
              <w:left w:val="single" w:sz="4" w:space="0" w:color="auto"/>
              <w:bottom w:val="single" w:sz="4" w:space="0" w:color="auto"/>
              <w:right w:val="single" w:sz="4" w:space="0" w:color="auto"/>
            </w:tcBorders>
          </w:tcPr>
          <w:p w14:paraId="4F469C31" w14:textId="77777777" w:rsidR="009D3DC8" w:rsidRDefault="009D3DC8">
            <w:pPr>
              <w:pStyle w:val="TableText1"/>
              <w:rPr>
                <w:rFonts w:ascii="Arial" w:hAnsi="Arial" w:cs="Arial"/>
                <w:i/>
              </w:rPr>
            </w:pPr>
            <w:r>
              <w:rPr>
                <w:rFonts w:ascii="Arial" w:hAnsi="Arial" w:cs="Arial"/>
                <w:i/>
              </w:rPr>
              <w:t>Dysmicoccus lepelleyi</w:t>
            </w:r>
          </w:p>
          <w:p w14:paraId="62E2D09A" w14:textId="77777777" w:rsidR="009D3DC8" w:rsidRDefault="009D3DC8">
            <w:pPr>
              <w:pStyle w:val="TableText1"/>
              <w:rPr>
                <w:rFonts w:ascii="Arial" w:hAnsi="Arial" w:cs="Arial"/>
                <w:i/>
              </w:rPr>
            </w:pPr>
            <w:r>
              <w:rPr>
                <w:rFonts w:ascii="Arial" w:hAnsi="Arial" w:cs="Arial"/>
                <w:i/>
              </w:rPr>
              <w:t>Exallomochulus hispidus</w:t>
            </w:r>
          </w:p>
          <w:p w14:paraId="326984C1" w14:textId="77777777" w:rsidR="009D3DC8" w:rsidRDefault="009D3DC8">
            <w:pPr>
              <w:pStyle w:val="TableText1"/>
              <w:rPr>
                <w:rFonts w:ascii="Arial" w:hAnsi="Arial" w:cs="Arial"/>
                <w:i/>
              </w:rPr>
            </w:pPr>
            <w:r>
              <w:rPr>
                <w:rFonts w:ascii="Arial" w:hAnsi="Arial" w:cs="Arial"/>
                <w:i/>
              </w:rPr>
              <w:t>Hordeolicoccus heterotrichus</w:t>
            </w:r>
          </w:p>
          <w:p w14:paraId="1516ADAB" w14:textId="77777777" w:rsidR="009D3DC8" w:rsidRDefault="009D3DC8">
            <w:pPr>
              <w:pStyle w:val="TableText1"/>
              <w:rPr>
                <w:rFonts w:ascii="Arial" w:hAnsi="Arial" w:cs="Arial"/>
                <w:i/>
              </w:rPr>
            </w:pPr>
            <w:r>
              <w:rPr>
                <w:rFonts w:ascii="Arial" w:hAnsi="Arial" w:cs="Arial"/>
                <w:i/>
              </w:rPr>
              <w:t>Paracoccus interceptus</w:t>
            </w:r>
          </w:p>
          <w:p w14:paraId="22112C86" w14:textId="77777777" w:rsidR="009D3DC8" w:rsidRDefault="009D3DC8">
            <w:pPr>
              <w:pStyle w:val="TableText1"/>
              <w:rPr>
                <w:rFonts w:ascii="Arial" w:hAnsi="Arial" w:cs="Arial"/>
                <w:i/>
              </w:rPr>
            </w:pPr>
            <w:r>
              <w:rPr>
                <w:rFonts w:ascii="Arial" w:hAnsi="Arial" w:cs="Arial"/>
                <w:i/>
              </w:rPr>
              <w:t>Parputo odontomachi</w:t>
            </w:r>
          </w:p>
          <w:p w14:paraId="07E5DB63" w14:textId="77777777" w:rsidR="009D3DC8" w:rsidRDefault="009D3DC8">
            <w:pPr>
              <w:pStyle w:val="TableText1"/>
              <w:rPr>
                <w:rFonts w:ascii="Arial" w:hAnsi="Arial" w:cs="Arial"/>
                <w:vertAlign w:val="superscript"/>
              </w:rPr>
            </w:pPr>
            <w:r>
              <w:rPr>
                <w:rFonts w:ascii="Arial" w:hAnsi="Arial" w:cs="Arial"/>
                <w:i/>
              </w:rPr>
              <w:t xml:space="preserve">Planococcus lilacinus </w:t>
            </w:r>
            <w:r>
              <w:rPr>
                <w:rFonts w:ascii="Arial" w:hAnsi="Arial" w:cs="Arial"/>
                <w:vertAlign w:val="superscript"/>
              </w:rPr>
              <w:t>EP</w:t>
            </w:r>
          </w:p>
          <w:p w14:paraId="181E1C1D" w14:textId="77777777" w:rsidR="009D3DC8" w:rsidRDefault="009D3DC8">
            <w:pPr>
              <w:pStyle w:val="TableText1"/>
              <w:rPr>
                <w:rFonts w:ascii="Arial" w:hAnsi="Arial" w:cs="Arial"/>
                <w:i/>
                <w:vertAlign w:val="superscript"/>
              </w:rPr>
            </w:pPr>
            <w:r>
              <w:rPr>
                <w:rFonts w:ascii="Arial" w:hAnsi="Arial" w:cs="Arial"/>
                <w:i/>
              </w:rPr>
              <w:t xml:space="preserve">Planococcus minor </w:t>
            </w:r>
            <w:r>
              <w:rPr>
                <w:rFonts w:ascii="Arial" w:hAnsi="Arial" w:cs="Arial"/>
                <w:vertAlign w:val="superscript"/>
              </w:rPr>
              <w:t>EP, WA</w:t>
            </w:r>
          </w:p>
          <w:p w14:paraId="56295262" w14:textId="77777777" w:rsidR="009D3DC8" w:rsidRDefault="009D3DC8">
            <w:pPr>
              <w:pStyle w:val="TableText1"/>
              <w:rPr>
                <w:rFonts w:ascii="Arial" w:hAnsi="Arial" w:cs="Arial"/>
                <w:i/>
              </w:rPr>
            </w:pPr>
            <w:r>
              <w:rPr>
                <w:rFonts w:ascii="Arial" w:hAnsi="Arial" w:cs="Arial"/>
                <w:i/>
              </w:rPr>
              <w:t>Pseudococcus aurantiacus</w:t>
            </w:r>
          </w:p>
          <w:p w14:paraId="0A4A6F3E" w14:textId="77777777" w:rsidR="009D3DC8" w:rsidRDefault="009D3DC8">
            <w:pPr>
              <w:pStyle w:val="TableText1"/>
              <w:rPr>
                <w:rFonts w:ascii="Arial" w:hAnsi="Arial" w:cs="Arial"/>
                <w:i/>
              </w:rPr>
            </w:pPr>
            <w:r>
              <w:rPr>
                <w:rFonts w:ascii="Arial" w:hAnsi="Arial" w:cs="Arial"/>
                <w:i/>
              </w:rPr>
              <w:t>Pseudococcus baliteus</w:t>
            </w:r>
          </w:p>
          <w:p w14:paraId="649A57BE" w14:textId="77777777" w:rsidR="009D3DC8" w:rsidRDefault="009D3DC8">
            <w:pPr>
              <w:pStyle w:val="TableText1"/>
              <w:rPr>
                <w:rFonts w:ascii="Arial" w:hAnsi="Arial" w:cs="Arial"/>
                <w:i/>
              </w:rPr>
            </w:pPr>
            <w:r>
              <w:rPr>
                <w:rFonts w:ascii="Arial" w:hAnsi="Arial" w:cs="Arial"/>
                <w:i/>
              </w:rPr>
              <w:t>Pseudococcus cryptus</w:t>
            </w:r>
            <w:r>
              <w:rPr>
                <w:rFonts w:ascii="Arial" w:hAnsi="Arial" w:cs="Arial"/>
                <w:vertAlign w:val="superscript"/>
              </w:rPr>
              <w:t>EP</w:t>
            </w:r>
          </w:p>
          <w:p w14:paraId="1024F309" w14:textId="77777777" w:rsidR="009D3DC8" w:rsidRDefault="009D3DC8">
            <w:pPr>
              <w:pStyle w:val="TableText1"/>
              <w:rPr>
                <w:rFonts w:cs="Arial"/>
                <w:i/>
                <w:szCs w:val="16"/>
                <w:highlight w:val="yellow"/>
                <w:vertAlign w:val="superscript"/>
              </w:rPr>
            </w:pPr>
            <w:r>
              <w:rPr>
                <w:rFonts w:ascii="Arial" w:hAnsi="Arial" w:cs="Arial"/>
                <w:i/>
              </w:rPr>
              <w:t>Rastrococcus spinosus</w:t>
            </w:r>
            <w:r>
              <w:rPr>
                <w:rFonts w:ascii="Arial" w:hAnsi="Arial" w:cs="Arial"/>
                <w:vertAlign w:val="superscript"/>
              </w:rPr>
              <w:t>EP</w:t>
            </w:r>
          </w:p>
        </w:tc>
        <w:tc>
          <w:tcPr>
            <w:tcW w:w="1962" w:type="dxa"/>
            <w:tcBorders>
              <w:top w:val="single" w:sz="4" w:space="0" w:color="auto"/>
              <w:left w:val="single" w:sz="4" w:space="0" w:color="auto"/>
              <w:bottom w:val="single" w:sz="4" w:space="0" w:color="auto"/>
              <w:right w:val="single" w:sz="4" w:space="0" w:color="auto"/>
            </w:tcBorders>
          </w:tcPr>
          <w:p w14:paraId="748C6008" w14:textId="77777777" w:rsidR="009D3DC8" w:rsidRDefault="009D3DC8">
            <w:pPr>
              <w:pStyle w:val="TableText1"/>
              <w:keepNext w:val="0"/>
              <w:rPr>
                <w:rFonts w:cs="Arial"/>
                <w:szCs w:val="16"/>
                <w:highlight w:val="yellow"/>
              </w:rPr>
            </w:pPr>
            <w:r>
              <w:rPr>
                <w:rFonts w:ascii="Arial" w:hAnsi="Arial" w:cs="Arial"/>
                <w:szCs w:val="16"/>
              </w:rPr>
              <w:t>mealybugs</w:t>
            </w:r>
          </w:p>
        </w:tc>
        <w:tc>
          <w:tcPr>
            <w:tcW w:w="4715" w:type="dxa"/>
            <w:vMerge/>
            <w:tcBorders>
              <w:left w:val="single" w:sz="4" w:space="0" w:color="auto"/>
              <w:right w:val="single" w:sz="4" w:space="0" w:color="auto"/>
            </w:tcBorders>
          </w:tcPr>
          <w:p w14:paraId="484D02D9" w14:textId="77777777" w:rsidR="009D3DC8" w:rsidRDefault="009D3DC8">
            <w:pPr>
              <w:pStyle w:val="Bullet"/>
              <w:numPr>
                <w:ilvl w:val="0"/>
                <w:numId w:val="9"/>
              </w:numPr>
              <w:tabs>
                <w:tab w:val="clear" w:pos="340"/>
                <w:tab w:val="num" w:pos="-360"/>
              </w:tabs>
              <w:spacing w:before="60" w:after="60"/>
              <w:ind w:left="357" w:hanging="357"/>
              <w:rPr>
                <w:rFonts w:ascii="Arial" w:hAnsi="Arial" w:cs="Arial"/>
                <w:sz w:val="16"/>
                <w:szCs w:val="16"/>
              </w:rPr>
            </w:pPr>
          </w:p>
        </w:tc>
      </w:tr>
      <w:tr w:rsidR="009D3DC8" w14:paraId="200ED4FC" w14:textId="77777777">
        <w:trPr>
          <w:cantSplit/>
          <w:trHeight w:val="70"/>
        </w:trPr>
        <w:tc>
          <w:tcPr>
            <w:tcW w:w="2579" w:type="dxa"/>
            <w:tcBorders>
              <w:top w:val="single" w:sz="4" w:space="0" w:color="auto"/>
              <w:left w:val="single" w:sz="4" w:space="0" w:color="auto"/>
              <w:bottom w:val="single" w:sz="4" w:space="0" w:color="auto"/>
              <w:right w:val="single" w:sz="4" w:space="0" w:color="auto"/>
            </w:tcBorders>
          </w:tcPr>
          <w:p w14:paraId="55AE3753" w14:textId="77777777" w:rsidR="009D3DC8" w:rsidRDefault="009D3DC8">
            <w:pPr>
              <w:pStyle w:val="TableText1"/>
              <w:rPr>
                <w:rFonts w:ascii="Arial" w:hAnsi="Arial" w:cs="Arial"/>
                <w:i/>
              </w:rPr>
            </w:pPr>
            <w:r>
              <w:rPr>
                <w:rFonts w:ascii="Arial" w:hAnsi="Arial" w:cs="Arial"/>
                <w:i/>
              </w:rPr>
              <w:t>Camponotus sp.</w:t>
            </w:r>
          </w:p>
          <w:p w14:paraId="178D52EE" w14:textId="77777777" w:rsidR="009D3DC8" w:rsidRDefault="009D3DC8">
            <w:pPr>
              <w:pStyle w:val="TableText1"/>
              <w:rPr>
                <w:rFonts w:ascii="Arial" w:hAnsi="Arial" w:cs="Arial"/>
                <w:i/>
              </w:rPr>
            </w:pPr>
            <w:r>
              <w:rPr>
                <w:rFonts w:ascii="Arial" w:hAnsi="Arial" w:cs="Arial"/>
                <w:i/>
              </w:rPr>
              <w:t>Cardiocondyla sp.</w:t>
            </w:r>
          </w:p>
          <w:p w14:paraId="23B33DE5" w14:textId="77777777" w:rsidR="009D3DC8" w:rsidRDefault="009D3DC8">
            <w:pPr>
              <w:pStyle w:val="TableText1"/>
              <w:rPr>
                <w:rFonts w:ascii="Arial" w:hAnsi="Arial" w:cs="Arial"/>
                <w:i/>
              </w:rPr>
            </w:pPr>
            <w:r>
              <w:rPr>
                <w:rFonts w:ascii="Arial" w:hAnsi="Arial" w:cs="Arial"/>
                <w:i/>
              </w:rPr>
              <w:t>Crematogaster sp.</w:t>
            </w:r>
          </w:p>
          <w:p w14:paraId="2E5A2DF8" w14:textId="77777777" w:rsidR="009D3DC8" w:rsidRDefault="009D3DC8">
            <w:pPr>
              <w:pStyle w:val="TableText1"/>
              <w:rPr>
                <w:rFonts w:ascii="Arial" w:hAnsi="Arial" w:cs="Arial"/>
                <w:i/>
              </w:rPr>
            </w:pPr>
            <w:r>
              <w:rPr>
                <w:rFonts w:ascii="Arial" w:hAnsi="Arial" w:cs="Arial"/>
                <w:i/>
              </w:rPr>
              <w:t xml:space="preserve">Dolichoderus sp. </w:t>
            </w:r>
            <w:r>
              <w:rPr>
                <w:rFonts w:ascii="Arial" w:hAnsi="Arial" w:cs="Arial"/>
                <w:i/>
                <w:vertAlign w:val="superscript"/>
              </w:rPr>
              <w:t>EP</w:t>
            </w:r>
          </w:p>
          <w:p w14:paraId="54A24A46" w14:textId="77777777" w:rsidR="009D3DC8" w:rsidRDefault="009D3DC8">
            <w:pPr>
              <w:pStyle w:val="TableText1"/>
              <w:rPr>
                <w:rFonts w:ascii="Arial" w:hAnsi="Arial" w:cs="Arial"/>
                <w:i/>
              </w:rPr>
            </w:pPr>
            <w:r>
              <w:rPr>
                <w:rFonts w:ascii="Arial" w:hAnsi="Arial" w:cs="Arial"/>
                <w:i/>
              </w:rPr>
              <w:t xml:space="preserve">Iridomyrmex </w:t>
            </w:r>
            <w:r>
              <w:rPr>
                <w:rFonts w:ascii="Arial" w:hAnsi="Arial" w:cs="Arial"/>
              </w:rPr>
              <w:t>sp.</w:t>
            </w:r>
          </w:p>
          <w:p w14:paraId="71084EB2" w14:textId="77777777" w:rsidR="009D3DC8" w:rsidRDefault="009D3DC8">
            <w:pPr>
              <w:pStyle w:val="TableText1"/>
              <w:rPr>
                <w:rFonts w:ascii="Arial" w:hAnsi="Arial" w:cs="Arial"/>
                <w:i/>
              </w:rPr>
            </w:pPr>
            <w:r>
              <w:rPr>
                <w:rFonts w:ascii="Arial" w:hAnsi="Arial" w:cs="Arial"/>
                <w:i/>
              </w:rPr>
              <w:t xml:space="preserve">Monomorium </w:t>
            </w:r>
            <w:r>
              <w:rPr>
                <w:rFonts w:ascii="Arial" w:hAnsi="Arial" w:cs="Arial"/>
              </w:rPr>
              <w:t>sp.</w:t>
            </w:r>
          </w:p>
          <w:p w14:paraId="66BFF8C0" w14:textId="77777777" w:rsidR="009D3DC8" w:rsidRDefault="009D3DC8">
            <w:pPr>
              <w:pStyle w:val="TableText1"/>
              <w:rPr>
                <w:rFonts w:ascii="Arial" w:hAnsi="Arial" w:cs="Arial"/>
                <w:i/>
              </w:rPr>
            </w:pPr>
            <w:r>
              <w:rPr>
                <w:rFonts w:ascii="Arial" w:hAnsi="Arial" w:cs="Arial"/>
                <w:i/>
              </w:rPr>
              <w:t xml:space="preserve">Paratrechina </w:t>
            </w:r>
            <w:r>
              <w:rPr>
                <w:rFonts w:ascii="Arial" w:hAnsi="Arial" w:cs="Arial"/>
              </w:rPr>
              <w:t>sp.</w:t>
            </w:r>
          </w:p>
          <w:p w14:paraId="6DB6C1C7" w14:textId="77777777" w:rsidR="009D3DC8" w:rsidRDefault="009D3DC8">
            <w:pPr>
              <w:pStyle w:val="TableText1"/>
              <w:rPr>
                <w:rFonts w:ascii="Arial" w:hAnsi="Arial" w:cs="Arial"/>
                <w:i/>
              </w:rPr>
            </w:pPr>
            <w:r>
              <w:rPr>
                <w:rFonts w:ascii="Arial" w:hAnsi="Arial" w:cs="Arial"/>
                <w:i/>
              </w:rPr>
              <w:t xml:space="preserve">Pheidole </w:t>
            </w:r>
            <w:r>
              <w:rPr>
                <w:rFonts w:ascii="Arial" w:hAnsi="Arial" w:cs="Arial"/>
              </w:rPr>
              <w:t>sp.</w:t>
            </w:r>
          </w:p>
          <w:p w14:paraId="1734DBF1" w14:textId="77777777" w:rsidR="009D3DC8" w:rsidRDefault="009D3DC8">
            <w:pPr>
              <w:pStyle w:val="TableText1"/>
              <w:rPr>
                <w:rFonts w:ascii="Arial" w:hAnsi="Arial" w:cs="Arial"/>
                <w:i/>
              </w:rPr>
            </w:pPr>
            <w:r>
              <w:rPr>
                <w:rFonts w:ascii="Arial" w:hAnsi="Arial" w:cs="Arial"/>
                <w:i/>
              </w:rPr>
              <w:t xml:space="preserve">Plagiolepis </w:t>
            </w:r>
            <w:r>
              <w:rPr>
                <w:rFonts w:ascii="Arial" w:hAnsi="Arial" w:cs="Arial"/>
              </w:rPr>
              <w:t>sp.</w:t>
            </w:r>
          </w:p>
          <w:p w14:paraId="61E66EB6" w14:textId="77777777" w:rsidR="009D3DC8" w:rsidRDefault="009D3DC8">
            <w:pPr>
              <w:pStyle w:val="TableText1"/>
              <w:rPr>
                <w:rFonts w:ascii="Arial" w:hAnsi="Arial" w:cs="Arial"/>
                <w:i/>
              </w:rPr>
            </w:pPr>
            <w:r>
              <w:rPr>
                <w:rFonts w:ascii="Arial" w:hAnsi="Arial" w:cs="Arial"/>
                <w:i/>
              </w:rPr>
              <w:t xml:space="preserve">Polyrhachis </w:t>
            </w:r>
            <w:r>
              <w:rPr>
                <w:rFonts w:ascii="Arial" w:hAnsi="Arial" w:cs="Arial"/>
              </w:rPr>
              <w:t>sp.</w:t>
            </w:r>
          </w:p>
          <w:p w14:paraId="603224DE" w14:textId="77777777" w:rsidR="009D3DC8" w:rsidRDefault="009D3DC8">
            <w:pPr>
              <w:pStyle w:val="TableText1"/>
              <w:rPr>
                <w:rFonts w:ascii="Arial" w:hAnsi="Arial" w:cs="Arial"/>
                <w:i/>
              </w:rPr>
            </w:pPr>
            <w:r>
              <w:rPr>
                <w:rFonts w:ascii="Arial" w:hAnsi="Arial" w:cs="Arial"/>
                <w:i/>
              </w:rPr>
              <w:t xml:space="preserve">Tapinoma </w:t>
            </w:r>
            <w:r>
              <w:rPr>
                <w:rFonts w:ascii="Arial" w:hAnsi="Arial" w:cs="Arial"/>
              </w:rPr>
              <w:t>sp.</w:t>
            </w:r>
          </w:p>
          <w:p w14:paraId="7EBD2FF0" w14:textId="77777777" w:rsidR="009D3DC8" w:rsidRDefault="009D3DC8">
            <w:pPr>
              <w:pStyle w:val="TableText1"/>
              <w:rPr>
                <w:rFonts w:ascii="Arial" w:hAnsi="Arial" w:cs="Arial"/>
                <w:vertAlign w:val="superscript"/>
              </w:rPr>
            </w:pPr>
            <w:r>
              <w:rPr>
                <w:rFonts w:ascii="Arial" w:hAnsi="Arial" w:cs="Arial"/>
                <w:i/>
              </w:rPr>
              <w:t xml:space="preserve">Technomyrmex </w:t>
            </w:r>
            <w:r>
              <w:rPr>
                <w:rFonts w:ascii="Arial" w:hAnsi="Arial" w:cs="Arial"/>
              </w:rPr>
              <w:t xml:space="preserve">sp. </w:t>
            </w:r>
            <w:r>
              <w:rPr>
                <w:rFonts w:ascii="Arial" w:hAnsi="Arial" w:cs="Arial"/>
                <w:vertAlign w:val="superscript"/>
              </w:rPr>
              <w:t>EP</w:t>
            </w:r>
          </w:p>
          <w:p w14:paraId="3AE4FB7B" w14:textId="77777777" w:rsidR="009D3DC8" w:rsidRDefault="009D3DC8">
            <w:pPr>
              <w:pStyle w:val="TableText1"/>
              <w:rPr>
                <w:rFonts w:ascii="Arial" w:hAnsi="Arial" w:cs="Arial"/>
                <w:i/>
              </w:rPr>
            </w:pPr>
            <w:r>
              <w:rPr>
                <w:rFonts w:ascii="Arial" w:hAnsi="Arial" w:cs="Arial"/>
                <w:i/>
              </w:rPr>
              <w:t xml:space="preserve">Tetramorium </w:t>
            </w:r>
            <w:r>
              <w:rPr>
                <w:rFonts w:ascii="Arial" w:hAnsi="Arial" w:cs="Arial"/>
              </w:rPr>
              <w:t>sp.</w:t>
            </w:r>
          </w:p>
          <w:p w14:paraId="7D9069BB" w14:textId="77777777" w:rsidR="009D3DC8" w:rsidRDefault="009D3DC8">
            <w:pPr>
              <w:pStyle w:val="TableText1"/>
              <w:rPr>
                <w:rFonts w:ascii="Arial" w:hAnsi="Arial" w:cs="Arial"/>
                <w:i/>
              </w:rPr>
            </w:pPr>
            <w:r>
              <w:rPr>
                <w:rFonts w:ascii="Arial" w:hAnsi="Arial" w:cs="Arial"/>
                <w:i/>
              </w:rPr>
              <w:t xml:space="preserve">Wasmannia auropunctata </w:t>
            </w:r>
            <w:r>
              <w:rPr>
                <w:rFonts w:ascii="Arial" w:hAnsi="Arial" w:cs="Arial"/>
                <w:vertAlign w:val="superscript"/>
              </w:rPr>
              <w:t>EP</w:t>
            </w:r>
          </w:p>
        </w:tc>
        <w:tc>
          <w:tcPr>
            <w:tcW w:w="1962" w:type="dxa"/>
            <w:tcBorders>
              <w:top w:val="single" w:sz="4" w:space="0" w:color="auto"/>
              <w:left w:val="single" w:sz="4" w:space="0" w:color="auto"/>
              <w:bottom w:val="single" w:sz="4" w:space="0" w:color="auto"/>
              <w:right w:val="single" w:sz="4" w:space="0" w:color="auto"/>
            </w:tcBorders>
          </w:tcPr>
          <w:p w14:paraId="28353926" w14:textId="77777777" w:rsidR="009D3DC8" w:rsidRDefault="009D3DC8">
            <w:pPr>
              <w:pStyle w:val="TableText1"/>
              <w:keepNext w:val="0"/>
              <w:rPr>
                <w:rFonts w:ascii="Arial" w:hAnsi="Arial" w:cs="Arial"/>
                <w:szCs w:val="16"/>
              </w:rPr>
            </w:pPr>
            <w:r>
              <w:rPr>
                <w:rFonts w:ascii="Arial" w:hAnsi="Arial" w:cs="Arial"/>
                <w:szCs w:val="16"/>
              </w:rPr>
              <w:t>ants</w:t>
            </w:r>
          </w:p>
          <w:p w14:paraId="1CDE375B" w14:textId="77777777" w:rsidR="009D3DC8" w:rsidRDefault="009D3DC8">
            <w:pPr>
              <w:pStyle w:val="TableText1"/>
              <w:keepNext w:val="0"/>
              <w:rPr>
                <w:rFonts w:cs="Arial"/>
                <w:szCs w:val="16"/>
                <w:highlight w:val="yellow"/>
              </w:rPr>
            </w:pPr>
          </w:p>
        </w:tc>
        <w:tc>
          <w:tcPr>
            <w:tcW w:w="4715" w:type="dxa"/>
            <w:vMerge/>
            <w:tcBorders>
              <w:left w:val="single" w:sz="4" w:space="0" w:color="auto"/>
              <w:right w:val="single" w:sz="4" w:space="0" w:color="auto"/>
            </w:tcBorders>
          </w:tcPr>
          <w:p w14:paraId="13FE5BA7" w14:textId="77777777" w:rsidR="009D3DC8" w:rsidRDefault="009D3DC8">
            <w:pPr>
              <w:pStyle w:val="Bullet"/>
              <w:numPr>
                <w:ilvl w:val="0"/>
                <w:numId w:val="9"/>
              </w:numPr>
              <w:tabs>
                <w:tab w:val="clear" w:pos="340"/>
                <w:tab w:val="num" w:pos="-360"/>
              </w:tabs>
              <w:spacing w:before="60" w:after="60"/>
              <w:ind w:left="357" w:hanging="357"/>
              <w:rPr>
                <w:rFonts w:cs="Arial"/>
                <w:szCs w:val="16"/>
              </w:rPr>
            </w:pPr>
          </w:p>
        </w:tc>
      </w:tr>
      <w:tr w:rsidR="009D3DC8" w14:paraId="05BC3515" w14:textId="77777777">
        <w:tc>
          <w:tcPr>
            <w:tcW w:w="9256" w:type="dxa"/>
            <w:gridSpan w:val="3"/>
            <w:tcBorders>
              <w:top w:val="single" w:sz="4" w:space="0" w:color="auto"/>
              <w:bottom w:val="single" w:sz="4" w:space="0" w:color="auto"/>
            </w:tcBorders>
          </w:tcPr>
          <w:p w14:paraId="740D8DAD" w14:textId="77777777" w:rsidR="009D3DC8" w:rsidRDefault="009D3DC8">
            <w:pPr>
              <w:pStyle w:val="TableText1"/>
              <w:rPr>
                <w:rFonts w:ascii="Arial" w:hAnsi="Arial" w:cs="Arial"/>
                <w:szCs w:val="16"/>
              </w:rPr>
            </w:pPr>
            <w:r>
              <w:rPr>
                <w:rFonts w:ascii="Arial" w:hAnsi="Arial" w:cs="Arial"/>
                <w:szCs w:val="16"/>
              </w:rPr>
              <w:t>*: Remedial action (depending on the location of the inspection) may include: treatment of the consignment to ensure that the pest is no longer viable or withdrawing the consignment from export to Australia.</w:t>
            </w:r>
          </w:p>
          <w:p w14:paraId="470126A6" w14:textId="77777777" w:rsidR="009D3DC8" w:rsidRDefault="009D3DC8">
            <w:pPr>
              <w:pStyle w:val="TableText1"/>
              <w:rPr>
                <w:rFonts w:ascii="Arial" w:hAnsi="Arial" w:cs="Arial"/>
                <w:szCs w:val="16"/>
              </w:rPr>
            </w:pPr>
            <w:r>
              <w:rPr>
                <w:rFonts w:ascii="Arial" w:hAnsi="Arial" w:cs="Arial"/>
                <w:szCs w:val="16"/>
                <w:vertAlign w:val="superscript"/>
              </w:rPr>
              <w:t>EP</w:t>
            </w:r>
            <w:r>
              <w:rPr>
                <w:rFonts w:ascii="Arial" w:hAnsi="Arial" w:cs="Arial"/>
                <w:szCs w:val="16"/>
              </w:rPr>
              <w:t>: Species has been assessed previously and import policy already exists.</w:t>
            </w:r>
          </w:p>
          <w:p w14:paraId="12349170" w14:textId="77777777" w:rsidR="009D3DC8" w:rsidRDefault="009D3DC8">
            <w:pPr>
              <w:pStyle w:val="TableText1"/>
              <w:rPr>
                <w:rFonts w:ascii="Arial" w:hAnsi="Arial" w:cs="Arial"/>
                <w:szCs w:val="16"/>
              </w:rPr>
            </w:pPr>
            <w:r>
              <w:rPr>
                <w:rFonts w:ascii="Arial" w:hAnsi="Arial" w:cs="Arial"/>
                <w:szCs w:val="16"/>
                <w:vertAlign w:val="superscript"/>
              </w:rPr>
              <w:t>WA</w:t>
            </w:r>
            <w:r>
              <w:rPr>
                <w:rFonts w:ascii="Arial" w:hAnsi="Arial" w:cs="Arial"/>
                <w:szCs w:val="16"/>
              </w:rPr>
              <w:t>: Pests of regional concern for Western Australia only</w:t>
            </w:r>
          </w:p>
        </w:tc>
      </w:tr>
    </w:tbl>
    <w:p w14:paraId="204D0D5E" w14:textId="77777777" w:rsidR="009D3DC8" w:rsidRDefault="009D3DC8">
      <w:pPr>
        <w:pStyle w:val="Heanding5"/>
        <w:spacing w:before="360" w:after="120" w:line="280" w:lineRule="atLeast"/>
        <w:rPr>
          <w:b/>
          <w:szCs w:val="24"/>
        </w:rPr>
      </w:pPr>
      <w:r>
        <w:rPr>
          <w:b/>
          <w:szCs w:val="24"/>
        </w:rPr>
        <w:t>Physical cleaning</w:t>
      </w:r>
    </w:p>
    <w:p w14:paraId="4706A577" w14:textId="77777777" w:rsidR="009D3DC8" w:rsidRDefault="009D3DC8">
      <w:pPr>
        <w:pStyle w:val="Bullet"/>
        <w:rPr>
          <w:rFonts w:ascii="Times New Roman" w:hAnsi="Times New Roman"/>
        </w:rPr>
      </w:pPr>
      <w:r>
        <w:rPr>
          <w:rFonts w:ascii="Times New Roman" w:hAnsi="Times New Roman"/>
        </w:rPr>
        <w:t>Mangosteen fruit must be individually cleaned using pressurised air blasting and brushing. Each sepal of the calyx must be carefully lifted and cleaned, first with pressurised air jets, then with a brush, suitable in size to effectively clean under the calyx, to remove any quarantine pests. To prevent reinfestation of fruit, the cleaning area is to be equipped with sticky traps or other approved measures, such as insect zappers and traps.</w:t>
      </w:r>
    </w:p>
    <w:p w14:paraId="6506A9A9" w14:textId="77777777" w:rsidR="009D3DC8" w:rsidRDefault="009D3DC8">
      <w:pPr>
        <w:pStyle w:val="Heanding5"/>
        <w:spacing w:after="120"/>
        <w:rPr>
          <w:b/>
        </w:rPr>
      </w:pPr>
      <w:r>
        <w:rPr>
          <w:b/>
        </w:rPr>
        <w:t>Methyl bromide fumigation</w:t>
      </w:r>
    </w:p>
    <w:p w14:paraId="4BA793A8"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Methyl bromide fumigation is a measure that is recommended to manage the risk posed by the listed spider mites, mealybugs and ants. The fumigation must take place in Indonesia by an </w:t>
      </w:r>
      <w:r>
        <w:rPr>
          <w:rFonts w:ascii="Times New Roman" w:hAnsi="Times New Roman"/>
          <w:sz w:val="24"/>
        </w:rPr>
        <w:lastRenderedPageBreak/>
        <w:t xml:space="preserve">acceptable treatment provider registered by IAQA in accordance with the </w:t>
      </w:r>
      <w:r>
        <w:rPr>
          <w:rFonts w:ascii="Times New Roman" w:hAnsi="Times New Roman"/>
          <w:i/>
          <w:sz w:val="24"/>
        </w:rPr>
        <w:t>AQIS Methyl Bromide Fumigation Standard</w:t>
      </w:r>
      <w:r>
        <w:rPr>
          <w:rFonts w:ascii="Times New Roman" w:hAnsi="Times New Roman"/>
          <w:sz w:val="24"/>
        </w:rPr>
        <w:t xml:space="preserve"> (www.daff.gov.au) or equivalent.</w:t>
      </w:r>
    </w:p>
    <w:p w14:paraId="76D87702" w14:textId="77777777" w:rsidR="009D3DC8" w:rsidRDefault="009D3DC8">
      <w:pPr>
        <w:spacing w:before="180" w:line="280" w:lineRule="atLeast"/>
        <w:rPr>
          <w:rFonts w:ascii="Times New Roman" w:hAnsi="Times New Roman"/>
          <w:sz w:val="24"/>
        </w:rPr>
      </w:pPr>
      <w:r>
        <w:rPr>
          <w:rFonts w:ascii="Times New Roman" w:hAnsi="Times New Roman"/>
          <w:sz w:val="24"/>
        </w:rPr>
        <w:t>All mangosteen consignments are to be fumigated with methyl bromide gas for duration of 2 hours at 32 g/m</w:t>
      </w:r>
      <w:r>
        <w:rPr>
          <w:rFonts w:ascii="Times New Roman" w:hAnsi="Times New Roman"/>
          <w:sz w:val="24"/>
          <w:vertAlign w:val="superscript"/>
        </w:rPr>
        <w:t>3</w:t>
      </w:r>
      <w:r>
        <w:rPr>
          <w:rFonts w:ascii="Times New Roman" w:hAnsi="Times New Roman"/>
          <w:sz w:val="24"/>
        </w:rPr>
        <w:t xml:space="preserve"> at a temperature of 21 °C or greater.</w:t>
      </w:r>
    </w:p>
    <w:p w14:paraId="695A85E7" w14:textId="77777777" w:rsidR="009D3DC8" w:rsidRDefault="009D3DC8">
      <w:pPr>
        <w:pStyle w:val="Bullet"/>
        <w:spacing w:before="180" w:after="0" w:line="280" w:lineRule="atLeast"/>
        <w:rPr>
          <w:rFonts w:ascii="Times New Roman" w:hAnsi="Times New Roman"/>
        </w:rPr>
      </w:pPr>
      <w:r>
        <w:rPr>
          <w:rFonts w:ascii="Times New Roman" w:hAnsi="Times New Roman"/>
        </w:rPr>
        <w:t>The phytosanitary certificate must contain the following fumigation details:</w:t>
      </w:r>
    </w:p>
    <w:p w14:paraId="50CFEAA0" w14:textId="77777777" w:rsidR="009D3DC8" w:rsidRDefault="009D3DC8">
      <w:pPr>
        <w:pStyle w:val="Bullet"/>
        <w:numPr>
          <w:ilvl w:val="0"/>
          <w:numId w:val="35"/>
        </w:numPr>
        <w:spacing w:before="120" w:after="60" w:line="280" w:lineRule="atLeast"/>
        <w:rPr>
          <w:rFonts w:ascii="Times New Roman" w:hAnsi="Times New Roman"/>
        </w:rPr>
      </w:pPr>
      <w:r>
        <w:rPr>
          <w:rFonts w:ascii="Times New Roman" w:hAnsi="Times New Roman"/>
        </w:rPr>
        <w:t>the name of the fumigation facility</w:t>
      </w:r>
    </w:p>
    <w:p w14:paraId="5368D1B1" w14:textId="77777777" w:rsidR="009D3DC8" w:rsidRDefault="009D3DC8">
      <w:pPr>
        <w:pStyle w:val="Bullet"/>
        <w:numPr>
          <w:ilvl w:val="0"/>
          <w:numId w:val="35"/>
        </w:numPr>
        <w:spacing w:before="120" w:after="60" w:line="280" w:lineRule="atLeast"/>
        <w:rPr>
          <w:rFonts w:ascii="Times New Roman" w:hAnsi="Times New Roman"/>
        </w:rPr>
      </w:pPr>
      <w:r>
        <w:rPr>
          <w:rFonts w:ascii="Times New Roman" w:hAnsi="Times New Roman"/>
        </w:rPr>
        <w:t>the date of fumigation</w:t>
      </w:r>
    </w:p>
    <w:p w14:paraId="77415DC5" w14:textId="77777777" w:rsidR="009D3DC8" w:rsidRDefault="009D3DC8">
      <w:pPr>
        <w:pStyle w:val="Bullet"/>
        <w:numPr>
          <w:ilvl w:val="0"/>
          <w:numId w:val="35"/>
        </w:numPr>
        <w:spacing w:before="120" w:after="60" w:line="280" w:lineRule="atLeast"/>
        <w:rPr>
          <w:rFonts w:ascii="Times New Roman" w:hAnsi="Times New Roman"/>
        </w:rPr>
      </w:pPr>
      <w:r>
        <w:rPr>
          <w:rFonts w:ascii="Times New Roman" w:hAnsi="Times New Roman"/>
        </w:rPr>
        <w:t>rate of methyl bromide used, that is initial dosage (g/m</w:t>
      </w:r>
      <w:r>
        <w:rPr>
          <w:rFonts w:ascii="Times New Roman" w:hAnsi="Times New Roman"/>
          <w:vertAlign w:val="superscript"/>
        </w:rPr>
        <w:t>3</w:t>
      </w:r>
      <w:r>
        <w:rPr>
          <w:rFonts w:ascii="Times New Roman" w:hAnsi="Times New Roman"/>
        </w:rPr>
        <w:t>)</w:t>
      </w:r>
    </w:p>
    <w:p w14:paraId="21B7530B" w14:textId="77777777" w:rsidR="009D3DC8" w:rsidRDefault="009D3DC8">
      <w:pPr>
        <w:pStyle w:val="Bullet"/>
        <w:numPr>
          <w:ilvl w:val="0"/>
          <w:numId w:val="35"/>
        </w:numPr>
        <w:spacing w:before="120" w:after="60" w:line="280" w:lineRule="atLeast"/>
        <w:rPr>
          <w:rFonts w:ascii="Times New Roman" w:hAnsi="Times New Roman"/>
        </w:rPr>
      </w:pPr>
      <w:r>
        <w:rPr>
          <w:rFonts w:ascii="Times New Roman" w:hAnsi="Times New Roman"/>
        </w:rPr>
        <w:t>the fumigation duration (hours) and</w:t>
      </w:r>
    </w:p>
    <w:p w14:paraId="10F985DF" w14:textId="77777777" w:rsidR="009D3DC8" w:rsidRDefault="009D3DC8">
      <w:pPr>
        <w:pStyle w:val="Bullet"/>
        <w:numPr>
          <w:ilvl w:val="0"/>
          <w:numId w:val="35"/>
        </w:numPr>
        <w:spacing w:before="120" w:after="60" w:line="280" w:lineRule="atLeast"/>
        <w:rPr>
          <w:rFonts w:ascii="Times New Roman" w:hAnsi="Times New Roman"/>
        </w:rPr>
      </w:pPr>
      <w:r>
        <w:rPr>
          <w:rFonts w:ascii="Times New Roman" w:hAnsi="Times New Roman"/>
        </w:rPr>
        <w:t>ambient air temperature during fumigation (°C)</w:t>
      </w:r>
    </w:p>
    <w:p w14:paraId="4F916A51" w14:textId="77777777" w:rsidR="009D3DC8" w:rsidRDefault="009D3DC8">
      <w:pPr>
        <w:pStyle w:val="Heanding5"/>
        <w:spacing w:after="120"/>
        <w:rPr>
          <w:b/>
        </w:rPr>
      </w:pPr>
      <w:r>
        <w:rPr>
          <w:b/>
        </w:rPr>
        <w:t>Regulatory visual inspection and remedial action</w:t>
      </w:r>
    </w:p>
    <w:p w14:paraId="18A88902" w14:textId="77777777" w:rsidR="009D3DC8" w:rsidRDefault="009D3DC8">
      <w:pPr>
        <w:spacing w:before="180" w:line="280" w:lineRule="atLeast"/>
        <w:rPr>
          <w:rFonts w:ascii="Times New Roman" w:hAnsi="Times New Roman"/>
          <w:sz w:val="24"/>
        </w:rPr>
      </w:pPr>
      <w:r>
        <w:rPr>
          <w:rFonts w:ascii="Times New Roman" w:hAnsi="Times New Roman"/>
          <w:sz w:val="24"/>
        </w:rPr>
        <w:t>The objective of regulatory visual inspection and remedial action as components of this systems approach is to ensure that any consignments of fresh mangosteen fruit from Indonesia infested with the listed quarantine pests are identified and subjected to appropriate remedial action. The remedial action will reduce the risk associated with spider mites, mealybugs and ants to a very low level to meet Australia’s ALOP.</w:t>
      </w:r>
    </w:p>
    <w:p w14:paraId="149CD491" w14:textId="77777777" w:rsidR="009D3DC8" w:rsidRDefault="009D3DC8">
      <w:pPr>
        <w:spacing w:before="180" w:line="280" w:lineRule="atLeast"/>
        <w:rPr>
          <w:rFonts w:ascii="Times New Roman" w:hAnsi="Times New Roman"/>
          <w:sz w:val="24"/>
        </w:rPr>
      </w:pPr>
      <w:r>
        <w:rPr>
          <w:rFonts w:ascii="Times New Roman" w:hAnsi="Times New Roman"/>
          <w:sz w:val="24"/>
        </w:rPr>
        <w:t>Following mandatory methyl bromide fumigation, a minimum of 600 units of fruit (one unit is one mangosteen fruit), as a representative sample across the entire consignment, must be inspected by IAQA and found free of damaged fruit, quarantine pests and trash (e.g. leaf material, seeds, soil, animal matter/parts or other extraneous material). Each sepal of the calyx must be lifted and inspected for spider mites, mealybugs and ants. All consignmenst must be inspected for any fruit that is damaged, such as cracked skin or puncture marks. Consignments found to fail this requirement will be withdrawn from export to Australia.</w:t>
      </w:r>
    </w:p>
    <w:p w14:paraId="5F93730D" w14:textId="77777777" w:rsidR="009D3DC8" w:rsidRDefault="009D3DC8">
      <w:pPr>
        <w:pStyle w:val="Heading4"/>
        <w:keepLines w:val="0"/>
        <w:spacing w:before="240" w:line="280" w:lineRule="atLeast"/>
        <w:rPr>
          <w:rFonts w:ascii="Times New Roman" w:hAnsi="Times New Roman" w:cs="Arial"/>
          <w:i w:val="0"/>
          <w:iCs w:val="0"/>
          <w:color w:val="000000"/>
          <w:sz w:val="24"/>
          <w:szCs w:val="28"/>
        </w:rPr>
      </w:pPr>
      <w:r>
        <w:rPr>
          <w:rFonts w:ascii="Times New Roman" w:hAnsi="Times New Roman" w:cs="Arial"/>
          <w:i w:val="0"/>
          <w:iCs w:val="0"/>
          <w:color w:val="000000"/>
          <w:sz w:val="24"/>
          <w:szCs w:val="28"/>
        </w:rPr>
        <w:t>Conclusion</w:t>
      </w:r>
    </w:p>
    <w:p w14:paraId="36B1924A" w14:textId="77777777" w:rsidR="009D3DC8" w:rsidRDefault="009D3DC8">
      <w:pPr>
        <w:spacing w:before="180" w:line="280" w:lineRule="atLeast"/>
        <w:rPr>
          <w:rFonts w:ascii="Times New Roman" w:hAnsi="Times New Roman"/>
          <w:sz w:val="24"/>
        </w:rPr>
      </w:pPr>
      <w:r>
        <w:rPr>
          <w:rFonts w:ascii="Times New Roman" w:hAnsi="Times New Roman"/>
          <w:sz w:val="24"/>
        </w:rPr>
        <w:t>The objective of this measure (a systems approach) is to reduce the likelihood of importation for the listed spider mites, mealybugs and ants to at least ‘very low’. The restricted risk would then be reduced to at least ‘very low’, which would achieve Australia’s ALOP.</w:t>
      </w:r>
    </w:p>
    <w:p w14:paraId="5545EF2F" w14:textId="77777777" w:rsidR="009D3DC8" w:rsidRDefault="009D3DC8">
      <w:pPr>
        <w:pStyle w:val="Heading3"/>
        <w:numPr>
          <w:ilvl w:val="2"/>
          <w:numId w:val="8"/>
        </w:numPr>
        <w:spacing w:line="240" w:lineRule="auto"/>
      </w:pPr>
      <w:r>
        <w:t>Consideration of alternative measures</w:t>
      </w:r>
    </w:p>
    <w:p w14:paraId="76F5B0CB"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Consistent with the principle of equivalence detailed in ISPM 11: </w:t>
      </w:r>
      <w:r>
        <w:rPr>
          <w:rFonts w:ascii="Times New Roman" w:hAnsi="Times New Roman"/>
          <w:i/>
          <w:sz w:val="24"/>
        </w:rPr>
        <w:t xml:space="preserve">Pest risk analysis for quarantine pests including analysis of environmental risks and living modified organisms </w:t>
      </w:r>
      <w:r>
        <w:rPr>
          <w:rFonts w:ascii="Times New Roman" w:hAnsi="Times New Roman"/>
          <w:sz w:val="24"/>
        </w:rPr>
        <w:t>(FAO 2004), DAFF Biosecurity will consider any alternative measure proposed by IAQA, providing that it achieves an equivalent level of quarantine protection. Evaluation of such measures or treatments will require a technical submission from IAQA that details the proposed measures or treatments, including data from suitable trials to demonstrate efficacy.</w:t>
      </w:r>
    </w:p>
    <w:p w14:paraId="4A8C49F7" w14:textId="77777777" w:rsidR="009D3DC8" w:rsidRDefault="009D3DC8">
      <w:pPr>
        <w:pStyle w:val="Heading2"/>
        <w:numPr>
          <w:ilvl w:val="1"/>
          <w:numId w:val="8"/>
        </w:numPr>
        <w:spacing w:line="240" w:lineRule="auto"/>
      </w:pPr>
      <w:bookmarkStart w:id="95" w:name="_Toc325618451"/>
      <w:bookmarkEnd w:id="93"/>
      <w:r>
        <w:lastRenderedPageBreak/>
        <w:t>Operational system for the maintenance and verification of phytosanitary status</w:t>
      </w:r>
      <w:bookmarkEnd w:id="95"/>
    </w:p>
    <w:p w14:paraId="02FE6A11" w14:textId="77777777" w:rsidR="009D3DC8" w:rsidRDefault="009D3DC8">
      <w:pPr>
        <w:pStyle w:val="Body"/>
        <w:spacing w:before="180"/>
        <w:jc w:val="left"/>
        <w:rPr>
          <w:rFonts w:ascii="Times New Roman" w:hAnsi="Times New Roman"/>
        </w:rPr>
      </w:pPr>
      <w:r>
        <w:rPr>
          <w:rFonts w:ascii="Times New Roman" w:hAnsi="Times New Roman"/>
          <w:lang w:val="en-US"/>
        </w:rPr>
        <w:t xml:space="preserve">A system of operational procedures is necessary to maintain and verify the phytosanitary status of mangosteen fruit from Indonesia. </w:t>
      </w:r>
      <w:r>
        <w:rPr>
          <w:rFonts w:ascii="Times New Roman" w:hAnsi="Times New Roman"/>
        </w:rPr>
        <w:t>This is to ensure that the proposed risk management measures have been met and are maintained.</w:t>
      </w:r>
    </w:p>
    <w:p w14:paraId="7537BFC7" w14:textId="77777777" w:rsidR="009D3DC8" w:rsidRDefault="009D3DC8">
      <w:pPr>
        <w:pStyle w:val="Body"/>
        <w:spacing w:before="180"/>
        <w:jc w:val="left"/>
        <w:rPr>
          <w:rFonts w:ascii="Times New Roman" w:hAnsi="Times New Roman"/>
        </w:rPr>
      </w:pPr>
      <w:r>
        <w:rPr>
          <w:rFonts w:ascii="Times New Roman" w:hAnsi="Times New Roman"/>
        </w:rPr>
        <w:t>Details of the operational system, or equivalent, will be determined by agreement between DAFF Biosecurity and IAQA.</w:t>
      </w:r>
    </w:p>
    <w:p w14:paraId="76C51893" w14:textId="77777777" w:rsidR="009D3DC8" w:rsidRDefault="009D3DC8">
      <w:pPr>
        <w:pStyle w:val="Heading3"/>
        <w:numPr>
          <w:ilvl w:val="2"/>
          <w:numId w:val="8"/>
        </w:numPr>
        <w:spacing w:line="240" w:lineRule="auto"/>
      </w:pPr>
      <w:r>
        <w:t>Audit and verification</w:t>
      </w:r>
    </w:p>
    <w:p w14:paraId="024CA3BC" w14:textId="77777777" w:rsidR="009D3DC8" w:rsidRDefault="009D3DC8">
      <w:pPr>
        <w:pStyle w:val="Body"/>
        <w:spacing w:before="180"/>
        <w:jc w:val="left"/>
      </w:pPr>
      <w:r>
        <w:rPr>
          <w:rFonts w:ascii="Times New Roman" w:hAnsi="Times New Roman"/>
        </w:rPr>
        <w:t xml:space="preserve">The objective of the recommended requirement for audit and verification is to ensure that the agreed biosecurity measures are functioning </w:t>
      </w:r>
      <w:r>
        <w:t>effectively.</w:t>
      </w:r>
    </w:p>
    <w:p w14:paraId="51321F2A" w14:textId="77777777" w:rsidR="009D3DC8" w:rsidRDefault="009D3DC8">
      <w:pPr>
        <w:pStyle w:val="Body"/>
        <w:spacing w:before="180"/>
        <w:jc w:val="left"/>
        <w:rPr>
          <w:rFonts w:ascii="Times New Roman" w:hAnsi="Times New Roman"/>
        </w:rPr>
      </w:pPr>
      <w:r>
        <w:rPr>
          <w:rFonts w:ascii="Times New Roman" w:hAnsi="Times New Roman"/>
        </w:rPr>
        <w:t>DAFF Biosecurity reserves the right to audit the entire phytosanitary system for mangosteen imports from Indonesia, including packing house processing, mandatory methyl bromide fumigation and pre-export inspection and certification. DAFF Biosecurity reserves the right to conduct these audits before issuing import permits and at any time during the entire production cycle.</w:t>
      </w:r>
    </w:p>
    <w:p w14:paraId="0AE26D1F" w14:textId="77777777" w:rsidR="009D3DC8" w:rsidRDefault="009D3DC8">
      <w:pPr>
        <w:pStyle w:val="Heading3"/>
        <w:numPr>
          <w:ilvl w:val="2"/>
          <w:numId w:val="8"/>
        </w:numPr>
        <w:spacing w:line="240" w:lineRule="auto"/>
      </w:pPr>
      <w:r>
        <w:t>Registration of export orchards by IAQA</w:t>
      </w:r>
    </w:p>
    <w:p w14:paraId="2B810718" w14:textId="77777777" w:rsidR="009D3DC8" w:rsidRDefault="009D3DC8">
      <w:pPr>
        <w:pStyle w:val="Body"/>
        <w:spacing w:before="180"/>
        <w:jc w:val="left"/>
      </w:pPr>
      <w:r>
        <w:rPr>
          <w:rFonts w:ascii="Times New Roman" w:hAnsi="Times New Roman"/>
        </w:rPr>
        <w:t xml:space="preserve">The objective of this procedure is to ensure that </w:t>
      </w:r>
      <w:r>
        <w:t>mangosteen fruit is sourced from registered export orchards producing export quality fruit, as the pest risk assessments are based on existing commercial production practices.</w:t>
      </w:r>
    </w:p>
    <w:p w14:paraId="0FF9EC7A" w14:textId="77777777" w:rsidR="009D3DC8" w:rsidRDefault="009D3DC8">
      <w:pPr>
        <w:pStyle w:val="Body"/>
        <w:spacing w:before="180"/>
        <w:jc w:val="left"/>
        <w:rPr>
          <w:rFonts w:ascii="Times New Roman" w:hAnsi="Times New Roman"/>
        </w:rPr>
      </w:pPr>
      <w:r>
        <w:rPr>
          <w:rFonts w:ascii="Times New Roman" w:hAnsi="Times New Roman"/>
        </w:rPr>
        <w:t>It is recommended that participating export orchards be registered before commencement of harvest each season. IAQA should maintain a current list of registered orchards in order to facilitate trace-back of any consignment.</w:t>
      </w:r>
    </w:p>
    <w:p w14:paraId="01F1C61D" w14:textId="77777777" w:rsidR="009D3DC8" w:rsidRDefault="009D3DC8">
      <w:pPr>
        <w:pStyle w:val="Heading3"/>
        <w:numPr>
          <w:ilvl w:val="2"/>
          <w:numId w:val="8"/>
        </w:numPr>
        <w:spacing w:line="240" w:lineRule="auto"/>
      </w:pPr>
      <w:r>
        <w:t>Registration of packing house and treatment providers and auditing of procedures</w:t>
      </w:r>
    </w:p>
    <w:p w14:paraId="3349E615" w14:textId="77777777" w:rsidR="009D3DC8" w:rsidRDefault="009D3DC8">
      <w:pPr>
        <w:pStyle w:val="Body"/>
        <w:spacing w:before="180"/>
        <w:jc w:val="left"/>
        <w:rPr>
          <w:rFonts w:ascii="Times New Roman" w:hAnsi="Times New Roman"/>
        </w:rPr>
      </w:pPr>
      <w:r>
        <w:rPr>
          <w:rFonts w:ascii="Times New Roman" w:hAnsi="Times New Roman"/>
        </w:rPr>
        <w:t>The objectives of this procedure are to ensure that:</w:t>
      </w:r>
    </w:p>
    <w:p w14:paraId="350C792A" w14:textId="77777777" w:rsidR="009D3DC8" w:rsidRDefault="009D3DC8">
      <w:pPr>
        <w:pStyle w:val="Bullets"/>
        <w:numPr>
          <w:ilvl w:val="0"/>
          <w:numId w:val="9"/>
        </w:numPr>
        <w:spacing w:before="120"/>
        <w:jc w:val="left"/>
      </w:pPr>
      <w:r>
        <w:t>mangosteen fruit is packed only in registered packing houses, processing export quality fruit, as the pest risk assessments are based on existing commercial packing procedures</w:t>
      </w:r>
    </w:p>
    <w:p w14:paraId="3A912051" w14:textId="77777777" w:rsidR="009D3DC8" w:rsidRDefault="009D3DC8">
      <w:pPr>
        <w:pStyle w:val="Bullets"/>
        <w:numPr>
          <w:ilvl w:val="0"/>
          <w:numId w:val="9"/>
        </w:numPr>
        <w:spacing w:before="120"/>
        <w:jc w:val="left"/>
      </w:pPr>
      <w:r>
        <w:t>mangosteen fruit are fumigated by a treatment provider registered by IAQA</w:t>
      </w:r>
    </w:p>
    <w:p w14:paraId="6C919804" w14:textId="77777777" w:rsidR="009D3DC8" w:rsidRDefault="009D3DC8">
      <w:pPr>
        <w:pStyle w:val="Bullets"/>
        <w:numPr>
          <w:ilvl w:val="0"/>
          <w:numId w:val="9"/>
        </w:numPr>
        <w:spacing w:before="120"/>
        <w:jc w:val="left"/>
      </w:pPr>
      <w:r>
        <w:t>references to the packing house (by registration number or reference code and packing house name) are clearly stated on crates destined for export of mangosteen fruit to Australia for trace</w:t>
      </w:r>
      <w:r>
        <w:rPr>
          <w:b/>
        </w:rPr>
        <w:t>-</w:t>
      </w:r>
      <w:r>
        <w:t>back and auditing purposes.</w:t>
      </w:r>
    </w:p>
    <w:p w14:paraId="2881D46E"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It is recommended that the packing houses and treatment providers be registered before the commencement of harvest each season. IAQA must provide DAFF </w:t>
      </w:r>
      <w:r>
        <w:rPr>
          <w:rFonts w:ascii="Times New Roman" w:hAnsi="Times New Roman"/>
          <w:sz w:val="24"/>
          <w:szCs w:val="24"/>
        </w:rPr>
        <w:t>Biosecurity</w:t>
      </w:r>
      <w:r>
        <w:rPr>
          <w:rFonts w:ascii="Times New Roman" w:hAnsi="Times New Roman"/>
          <w:sz w:val="24"/>
        </w:rPr>
        <w:t xml:space="preserve"> with a list of registered packing houses and treatment providers prior to season commencement each year and inform DAFF </w:t>
      </w:r>
      <w:r>
        <w:rPr>
          <w:rFonts w:ascii="Times New Roman" w:hAnsi="Times New Roman"/>
          <w:sz w:val="24"/>
          <w:szCs w:val="24"/>
        </w:rPr>
        <w:t>Biosecurity</w:t>
      </w:r>
      <w:r>
        <w:rPr>
          <w:rFonts w:ascii="Times New Roman" w:hAnsi="Times New Roman"/>
          <w:sz w:val="24"/>
        </w:rPr>
        <w:t xml:space="preserve"> of any changes to registrations during the season. This list must be maintained as current by IAQA in order to facilitate trace-back of any consignment. </w:t>
      </w:r>
    </w:p>
    <w:p w14:paraId="17BF46E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Prior to the commencement of each export season, IAQA or an authorised agency should audit registered packing houses and treatment facilities to ensure that that the facilities are </w:t>
      </w:r>
      <w:r>
        <w:rPr>
          <w:rFonts w:ascii="Times New Roman" w:hAnsi="Times New Roman"/>
          <w:sz w:val="24"/>
        </w:rPr>
        <w:lastRenderedPageBreak/>
        <w:t>suitably equipped to meet Australia’s import conditions. The audit should include registration requirements, packing house processes, product handling, product security and delivery of phytosanitary treatments. Records from these audits must be made available to DAFF Biosecurity on request.</w:t>
      </w:r>
    </w:p>
    <w:p w14:paraId="20107FBD" w14:textId="77777777" w:rsidR="009D3DC8" w:rsidRDefault="009D3DC8">
      <w:pPr>
        <w:pStyle w:val="Heading3"/>
        <w:numPr>
          <w:ilvl w:val="2"/>
          <w:numId w:val="8"/>
        </w:numPr>
        <w:spacing w:line="240" w:lineRule="auto"/>
      </w:pPr>
      <w:r>
        <w:t>Packaging and labelling</w:t>
      </w:r>
    </w:p>
    <w:p w14:paraId="34012B63" w14:textId="77777777" w:rsidR="009D3DC8" w:rsidRDefault="009D3DC8">
      <w:pPr>
        <w:pStyle w:val="Body"/>
        <w:spacing w:before="180"/>
        <w:jc w:val="left"/>
        <w:rPr>
          <w:rFonts w:ascii="Times New Roman" w:hAnsi="Times New Roman"/>
          <w:highlight w:val="yellow"/>
        </w:rPr>
      </w:pPr>
      <w:r>
        <w:rPr>
          <w:rFonts w:ascii="Times New Roman" w:hAnsi="Times New Roman"/>
        </w:rPr>
        <w:t>The objectives of this recommended procedure are to ensure that:</w:t>
      </w:r>
    </w:p>
    <w:p w14:paraId="2BEA3182" w14:textId="77777777" w:rsidR="009D3DC8" w:rsidRDefault="009D3DC8">
      <w:pPr>
        <w:pStyle w:val="Bullets"/>
        <w:numPr>
          <w:ilvl w:val="0"/>
          <w:numId w:val="9"/>
        </w:numPr>
        <w:spacing w:before="120"/>
        <w:jc w:val="left"/>
      </w:pPr>
      <w:r>
        <w:t>mangosteen fruit recommended for export to Australia and all associated packaging is not contaminated by quarantine pests or regulated articles (e.g. trash, soil and weed seeds)</w:t>
      </w:r>
    </w:p>
    <w:p w14:paraId="527A1913" w14:textId="77777777" w:rsidR="009D3DC8" w:rsidRDefault="009D3DC8">
      <w:pPr>
        <w:pStyle w:val="Bullets"/>
        <w:numPr>
          <w:ilvl w:val="0"/>
          <w:numId w:val="9"/>
        </w:numPr>
        <w:spacing w:before="120"/>
        <w:jc w:val="left"/>
      </w:pPr>
      <w:r>
        <w:t>unprocessed packing material (which may vector pests not identified as being on the pathway) is not imported with fresh mangosteen fruit</w:t>
      </w:r>
    </w:p>
    <w:p w14:paraId="3120C75E" w14:textId="77777777" w:rsidR="009D3DC8" w:rsidRDefault="009D3DC8">
      <w:pPr>
        <w:pStyle w:val="Bullets"/>
        <w:numPr>
          <w:ilvl w:val="0"/>
          <w:numId w:val="9"/>
        </w:numPr>
        <w:spacing w:before="120"/>
        <w:jc w:val="left"/>
      </w:pPr>
      <w:r>
        <w:t xml:space="preserve">all wood material used in packaging of the commodity complies with AQIS conditions (see AQIS publication </w:t>
      </w:r>
      <w:r>
        <w:rPr>
          <w:i/>
        </w:rPr>
        <w:t>Cargo Containers: Quarantine aspects and procedures</w:t>
      </w:r>
      <w:r>
        <w:t>)</w:t>
      </w:r>
    </w:p>
    <w:p w14:paraId="518D3657" w14:textId="77777777" w:rsidR="009D3DC8" w:rsidRDefault="009D3DC8">
      <w:pPr>
        <w:pStyle w:val="Bullets"/>
        <w:numPr>
          <w:ilvl w:val="0"/>
          <w:numId w:val="9"/>
        </w:numPr>
        <w:spacing w:before="120"/>
        <w:jc w:val="left"/>
      </w:pPr>
      <w:r>
        <w:t xml:space="preserve">secure packaging is used during storage and transport for export to Australia and </w:t>
      </w:r>
      <w:r>
        <w:rPr>
          <w:bCs/>
        </w:rPr>
        <w:t>must meet Australia’s general import conditions for fresh fruits and vegetables (</w:t>
      </w:r>
      <w:r>
        <w:rPr>
          <w:bCs/>
          <w:i/>
        </w:rPr>
        <w:t>C6000 General requirements for all fruit and vegetables</w:t>
      </w:r>
      <w:r>
        <w:rPr>
          <w:bCs/>
        </w:rPr>
        <w:t>, available at http://www.aqis.gov.au/icon/)</w:t>
      </w:r>
    </w:p>
    <w:p w14:paraId="316A959A" w14:textId="77777777" w:rsidR="009D3DC8" w:rsidRDefault="009D3DC8">
      <w:pPr>
        <w:pStyle w:val="Bullets"/>
        <w:numPr>
          <w:ilvl w:val="0"/>
          <w:numId w:val="9"/>
        </w:numPr>
        <w:spacing w:before="120"/>
        <w:jc w:val="left"/>
      </w:pPr>
      <w:r>
        <w:t>the packaged mangosteen fruit is labelled with the packing house name for the purposes of trace</w:t>
      </w:r>
      <w:r>
        <w:rPr>
          <w:b/>
        </w:rPr>
        <w:t>-</w:t>
      </w:r>
      <w:r>
        <w:t>back</w:t>
      </w:r>
    </w:p>
    <w:p w14:paraId="60FA014C" w14:textId="77777777" w:rsidR="009D3DC8" w:rsidRDefault="009D3DC8">
      <w:pPr>
        <w:pStyle w:val="Bullets"/>
        <w:numPr>
          <w:ilvl w:val="0"/>
          <w:numId w:val="9"/>
        </w:numPr>
        <w:spacing w:before="120"/>
        <w:jc w:val="left"/>
      </w:pPr>
      <w:r>
        <w:t>the phytosanitary status of fruit must be clearly identified.</w:t>
      </w:r>
    </w:p>
    <w:p w14:paraId="72109DF8" w14:textId="77777777" w:rsidR="009D3DC8" w:rsidRDefault="009D3DC8">
      <w:pPr>
        <w:pStyle w:val="Heading3"/>
        <w:numPr>
          <w:ilvl w:val="2"/>
          <w:numId w:val="8"/>
        </w:numPr>
        <w:spacing w:line="240" w:lineRule="auto"/>
      </w:pPr>
      <w:r>
        <w:t>Specific conditions for storage and movement</w:t>
      </w:r>
    </w:p>
    <w:p w14:paraId="02891960" w14:textId="77777777" w:rsidR="009D3DC8" w:rsidRDefault="009D3DC8">
      <w:pPr>
        <w:spacing w:before="180" w:line="280" w:lineRule="atLeast"/>
        <w:rPr>
          <w:rFonts w:ascii="Times New Roman" w:hAnsi="Times New Roman"/>
          <w:sz w:val="24"/>
        </w:rPr>
      </w:pPr>
      <w:r>
        <w:rPr>
          <w:rFonts w:ascii="Times New Roman" w:hAnsi="Times New Roman"/>
          <w:sz w:val="24"/>
        </w:rPr>
        <w:t>The objectives of this recommended procedure are to ensure that:</w:t>
      </w:r>
    </w:p>
    <w:p w14:paraId="609F291A" w14:textId="77777777" w:rsidR="009D3DC8" w:rsidRDefault="009D3DC8">
      <w:pPr>
        <w:pStyle w:val="Bullets"/>
        <w:numPr>
          <w:ilvl w:val="0"/>
          <w:numId w:val="9"/>
        </w:numPr>
        <w:spacing w:before="120"/>
        <w:jc w:val="left"/>
      </w:pPr>
      <w:r>
        <w:t>product for export to Australia that has been treated and/or inspected is kept secure and segregated at all times from any fruit for domestic or other markets, untreated product to prevent mixing or cross-contamination elsewhere</w:t>
      </w:r>
    </w:p>
    <w:p w14:paraId="54F8B140" w14:textId="77777777" w:rsidR="009D3DC8" w:rsidRDefault="009D3DC8">
      <w:pPr>
        <w:pStyle w:val="Bullets"/>
        <w:numPr>
          <w:ilvl w:val="0"/>
          <w:numId w:val="9"/>
        </w:numPr>
        <w:spacing w:before="120"/>
        <w:jc w:val="left"/>
      </w:pPr>
      <w:r>
        <w:t>the quarantine integrity of the commodity during storage and movement is maintained.</w:t>
      </w:r>
    </w:p>
    <w:p w14:paraId="63B4B6D2" w14:textId="77777777" w:rsidR="009D3DC8" w:rsidRDefault="009D3DC8">
      <w:pPr>
        <w:pStyle w:val="Heading3"/>
        <w:numPr>
          <w:ilvl w:val="2"/>
          <w:numId w:val="8"/>
        </w:numPr>
        <w:spacing w:line="240" w:lineRule="auto"/>
      </w:pPr>
      <w:r>
        <w:t>Freedom from trash</w:t>
      </w:r>
    </w:p>
    <w:p w14:paraId="26D67693" w14:textId="77777777" w:rsidR="009D3DC8" w:rsidRDefault="009D3DC8">
      <w:pPr>
        <w:pStyle w:val="Bullet"/>
        <w:spacing w:before="180" w:after="0" w:line="280" w:lineRule="atLeast"/>
        <w:rPr>
          <w:rFonts w:ascii="Times New Roman" w:hAnsi="Times New Roman"/>
          <w:color w:val="auto"/>
        </w:rPr>
      </w:pPr>
      <w:r>
        <w:rPr>
          <w:rFonts w:ascii="Times New Roman" w:hAnsi="Times New Roman"/>
          <w:color w:val="auto"/>
        </w:rPr>
        <w:t>All mangosteen fruit must be free from trash (e.g. extraneous stem and leaf material, seeds, soil, animal matter/parts or other extraneous material), foreign matter and pests of quarantine concern to Australia. Freedom from trash will be confirmed by the inspection procedures. Export lots or consignments found to contain trash, foreign matter, or pests of quarantine concern to Australia should be withdrawn from export unless approved remedial action is available and applied to the export consignment.</w:t>
      </w:r>
    </w:p>
    <w:p w14:paraId="0C8FA88B" w14:textId="77777777" w:rsidR="009D3DC8" w:rsidRDefault="009D3DC8">
      <w:pPr>
        <w:pStyle w:val="Heading3"/>
        <w:numPr>
          <w:ilvl w:val="2"/>
          <w:numId w:val="8"/>
        </w:numPr>
        <w:spacing w:line="240" w:lineRule="auto"/>
      </w:pPr>
      <w:r>
        <w:t>Pre-export phytosanitary inspection and certification by IAQA</w:t>
      </w:r>
    </w:p>
    <w:p w14:paraId="7E418661" w14:textId="77777777" w:rsidR="009D3DC8" w:rsidRDefault="009D3DC8">
      <w:pPr>
        <w:pStyle w:val="Bullet"/>
        <w:spacing w:before="180" w:after="0" w:line="280" w:lineRule="atLeast"/>
        <w:rPr>
          <w:rFonts w:ascii="Times New Roman" w:hAnsi="Times New Roman"/>
          <w:color w:val="auto"/>
        </w:rPr>
      </w:pPr>
      <w:r>
        <w:rPr>
          <w:rFonts w:ascii="Times New Roman" w:hAnsi="Times New Roman"/>
          <w:color w:val="auto"/>
        </w:rPr>
        <w:t>The objectives of this recommended procedure are to ensure that:</w:t>
      </w:r>
    </w:p>
    <w:p w14:paraId="32CD25AF" w14:textId="77777777" w:rsidR="009D3DC8" w:rsidRDefault="009D3DC8">
      <w:pPr>
        <w:pStyle w:val="Bullets"/>
        <w:numPr>
          <w:ilvl w:val="0"/>
          <w:numId w:val="9"/>
        </w:numPr>
        <w:spacing w:before="120"/>
        <w:jc w:val="left"/>
      </w:pPr>
      <w:r>
        <w:t>all consignments have been inspected in accordance with official procedures for all visually detectable quarantine pests and other regulated articles (including soil, animal and plant debris) at a standard 600 unit sampling rate per phytosanitary certificate</w:t>
      </w:r>
    </w:p>
    <w:p w14:paraId="032B7A87" w14:textId="77777777" w:rsidR="009D3DC8" w:rsidRDefault="009D3DC8">
      <w:pPr>
        <w:pStyle w:val="Bullets"/>
        <w:numPr>
          <w:ilvl w:val="0"/>
          <w:numId w:val="9"/>
        </w:numPr>
        <w:spacing w:before="120"/>
        <w:jc w:val="left"/>
      </w:pPr>
      <w:r>
        <w:t>each sepal of the calyx must be lifted and inspected for quarantine pests</w:t>
      </w:r>
    </w:p>
    <w:p w14:paraId="36083940" w14:textId="77777777" w:rsidR="009D3DC8" w:rsidRDefault="009D3DC8">
      <w:pPr>
        <w:pStyle w:val="Bullets"/>
        <w:numPr>
          <w:ilvl w:val="0"/>
          <w:numId w:val="9"/>
        </w:numPr>
        <w:spacing w:before="120"/>
        <w:jc w:val="left"/>
      </w:pPr>
      <w:r>
        <w:lastRenderedPageBreak/>
        <w:t>consignments that contain live quarantine pests or fruit that is damaged, such as with cracked skin or puncture marks, will be rejected</w:t>
      </w:r>
    </w:p>
    <w:p w14:paraId="74892C88" w14:textId="77777777" w:rsidR="009D3DC8" w:rsidRDefault="009D3DC8">
      <w:pPr>
        <w:pStyle w:val="Bullets"/>
        <w:numPr>
          <w:ilvl w:val="0"/>
          <w:numId w:val="9"/>
        </w:numPr>
        <w:spacing w:before="120"/>
        <w:jc w:val="left"/>
      </w:pPr>
      <w:r>
        <w:t>an international phytosanitary certificate (IPC) is issued for each consignment upon completion of pre-export inspection and treatment to verify that the relevant measures have been undertaken offshore</w:t>
      </w:r>
    </w:p>
    <w:p w14:paraId="4D7E5DE8" w14:textId="77777777" w:rsidR="009D3DC8" w:rsidRDefault="009D3DC8">
      <w:pPr>
        <w:pStyle w:val="Bullets"/>
        <w:numPr>
          <w:ilvl w:val="0"/>
          <w:numId w:val="9"/>
        </w:numPr>
        <w:spacing w:before="120"/>
        <w:jc w:val="left"/>
      </w:pPr>
      <w:r>
        <w:t>each IPC includes:</w:t>
      </w:r>
    </w:p>
    <w:p w14:paraId="03E57AE8" w14:textId="77777777" w:rsidR="009D3DC8" w:rsidRDefault="009D3DC8">
      <w:pPr>
        <w:pStyle w:val="Body"/>
        <w:numPr>
          <w:ilvl w:val="0"/>
          <w:numId w:val="28"/>
        </w:numPr>
        <w:spacing w:before="120" w:after="120"/>
        <w:ind w:left="1134"/>
        <w:jc w:val="left"/>
        <w:rPr>
          <w:rFonts w:ascii="Times New Roman" w:hAnsi="Times New Roman"/>
        </w:rPr>
      </w:pPr>
      <w:r>
        <w:rPr>
          <w:rFonts w:ascii="Times New Roman" w:hAnsi="Times New Roman"/>
        </w:rPr>
        <w:t>a description of the consignment (including packing house details)</w:t>
      </w:r>
    </w:p>
    <w:p w14:paraId="15A8BFCB" w14:textId="77777777" w:rsidR="009D3DC8" w:rsidRDefault="009D3DC8">
      <w:pPr>
        <w:pStyle w:val="Body"/>
        <w:numPr>
          <w:ilvl w:val="0"/>
          <w:numId w:val="28"/>
        </w:numPr>
        <w:spacing w:before="120" w:after="120"/>
        <w:ind w:left="1134"/>
        <w:jc w:val="left"/>
        <w:rPr>
          <w:rFonts w:ascii="Times New Roman" w:hAnsi="Times New Roman"/>
        </w:rPr>
      </w:pPr>
      <w:r>
        <w:rPr>
          <w:rFonts w:ascii="Times New Roman" w:hAnsi="Times New Roman"/>
        </w:rPr>
        <w:t>details of disinfestation treatments (e.g. methyl bromide fumigation) which includes date, concentration, temperature, duration, and/or attach fumigation certificate (as appropriate)</w:t>
      </w:r>
    </w:p>
    <w:p w14:paraId="05D29A5A" w14:textId="77777777" w:rsidR="009D3DC8" w:rsidRDefault="009D3DC8">
      <w:pPr>
        <w:pStyle w:val="Body"/>
        <w:spacing w:before="120" w:after="120"/>
        <w:ind w:left="720" w:hanging="11"/>
        <w:jc w:val="left"/>
        <w:rPr>
          <w:rFonts w:ascii="Times New Roman" w:hAnsi="Times New Roman"/>
        </w:rPr>
      </w:pPr>
      <w:r>
        <w:rPr>
          <w:rFonts w:ascii="Times New Roman" w:hAnsi="Times New Roman"/>
        </w:rPr>
        <w:t>and</w:t>
      </w:r>
    </w:p>
    <w:p w14:paraId="7B782CBC" w14:textId="77777777" w:rsidR="009D3DC8" w:rsidRDefault="009D3DC8">
      <w:pPr>
        <w:pStyle w:val="Body"/>
        <w:numPr>
          <w:ilvl w:val="0"/>
          <w:numId w:val="28"/>
        </w:numPr>
        <w:spacing w:before="120" w:after="120"/>
        <w:ind w:left="1134"/>
        <w:jc w:val="left"/>
        <w:rPr>
          <w:rFonts w:ascii="Times New Roman" w:hAnsi="Times New Roman"/>
        </w:rPr>
      </w:pPr>
      <w:r>
        <w:rPr>
          <w:rFonts w:ascii="Times New Roman" w:hAnsi="Times New Roman"/>
        </w:rPr>
        <w:t>an additional declaration that ‘</w:t>
      </w:r>
      <w:r>
        <w:rPr>
          <w:rFonts w:ascii="Times New Roman" w:hAnsi="Times New Roman"/>
          <w:i/>
        </w:rPr>
        <w:t>The fruit in this consignment has been produced in Indonesia in accordance with the conditions governing entry of fresh mangosteen fruit to Australia and inspected and found free of quarantine pests</w:t>
      </w:r>
      <w:r>
        <w:rPr>
          <w:rFonts w:ascii="Times New Roman" w:hAnsi="Times New Roman"/>
        </w:rPr>
        <w:t>’.</w:t>
      </w:r>
    </w:p>
    <w:p w14:paraId="4C59116C" w14:textId="77777777" w:rsidR="009D3DC8" w:rsidRDefault="009D3DC8">
      <w:pPr>
        <w:pStyle w:val="Heading3"/>
        <w:numPr>
          <w:ilvl w:val="2"/>
          <w:numId w:val="8"/>
        </w:numPr>
        <w:spacing w:line="240" w:lineRule="auto"/>
      </w:pPr>
      <w:r>
        <w:t>On-arrival phytosanitary inspection by DAFF Biosecurity</w:t>
      </w:r>
    </w:p>
    <w:p w14:paraId="0FFE3015" w14:textId="77777777" w:rsidR="009D3DC8" w:rsidRDefault="009D3DC8">
      <w:pPr>
        <w:pStyle w:val="Body"/>
        <w:spacing w:before="180"/>
        <w:jc w:val="left"/>
        <w:rPr>
          <w:rFonts w:ascii="Times New Roman" w:hAnsi="Times New Roman"/>
        </w:rPr>
      </w:pPr>
      <w:r>
        <w:rPr>
          <w:rFonts w:ascii="Times New Roman" w:hAnsi="Times New Roman"/>
        </w:rPr>
        <w:t>The objectives of this recommended procedure are to ensure that:</w:t>
      </w:r>
    </w:p>
    <w:p w14:paraId="258752EC" w14:textId="77777777" w:rsidR="009D3DC8" w:rsidRDefault="009D3DC8">
      <w:pPr>
        <w:pStyle w:val="Bullets"/>
        <w:numPr>
          <w:ilvl w:val="0"/>
          <w:numId w:val="9"/>
        </w:numPr>
        <w:spacing w:before="120"/>
        <w:jc w:val="left"/>
      </w:pPr>
      <w:r>
        <w:t>all consignments comply with Australian import requirements</w:t>
      </w:r>
    </w:p>
    <w:p w14:paraId="5384F18A" w14:textId="77777777" w:rsidR="009D3DC8" w:rsidRDefault="009D3DC8">
      <w:pPr>
        <w:pStyle w:val="Bullets"/>
        <w:numPr>
          <w:ilvl w:val="0"/>
          <w:numId w:val="9"/>
        </w:numPr>
        <w:spacing w:before="120"/>
        <w:jc w:val="left"/>
      </w:pPr>
      <w:r>
        <w:t>consignments are as described on the phytosanitary certificate and quarantine integrity has been maintained.</w:t>
      </w:r>
    </w:p>
    <w:p w14:paraId="2E3311C0" w14:textId="77777777" w:rsidR="009D3DC8" w:rsidRDefault="009D3DC8">
      <w:pPr>
        <w:pStyle w:val="Body"/>
        <w:spacing w:before="180"/>
        <w:jc w:val="left"/>
        <w:rPr>
          <w:rFonts w:ascii="Times New Roman" w:hAnsi="Times New Roman"/>
        </w:rPr>
      </w:pPr>
      <w:r>
        <w:rPr>
          <w:rFonts w:ascii="Times New Roman" w:hAnsi="Times New Roman"/>
        </w:rPr>
        <w:t>To ensure that phytosanitary status of consignments of mangosteen fruit from Indonesia meets Australia’s import conditions it is recommended that DAFF Biosecurity complete a verification inspection of all consignments of mangosteens. It is recommended that DAFF Biosecurity randomly sample 600 fruit from each consignment for quarantine pests.</w:t>
      </w:r>
    </w:p>
    <w:p w14:paraId="783CCBB0" w14:textId="77777777" w:rsidR="009D3DC8" w:rsidRDefault="009D3DC8">
      <w:pPr>
        <w:pStyle w:val="Body"/>
        <w:spacing w:before="180"/>
        <w:jc w:val="left"/>
        <w:rPr>
          <w:rFonts w:ascii="Times New Roman" w:hAnsi="Times New Roman"/>
        </w:rPr>
      </w:pPr>
      <w:r>
        <w:rPr>
          <w:rFonts w:ascii="Times New Roman" w:hAnsi="Times New Roman"/>
        </w:rPr>
        <w:t>DAFF Biosecurity will undertake a documentation compliance examination to verify that the consignment is as described on the phytosanitary certificated, that required phytosanitary actions have been undertaken and that product security has been maintained.</w:t>
      </w:r>
    </w:p>
    <w:p w14:paraId="4F5F1014" w14:textId="77777777" w:rsidR="009D3DC8" w:rsidRDefault="009D3DC8">
      <w:pPr>
        <w:pStyle w:val="Heading3"/>
        <w:numPr>
          <w:ilvl w:val="2"/>
          <w:numId w:val="8"/>
        </w:numPr>
        <w:spacing w:line="240" w:lineRule="auto"/>
      </w:pPr>
      <w:r>
        <w:t>Remedial action(s) for non-compliance</w:t>
      </w:r>
    </w:p>
    <w:p w14:paraId="0CF8B3E6" w14:textId="77777777" w:rsidR="009D3DC8" w:rsidRDefault="009D3DC8">
      <w:pPr>
        <w:pStyle w:val="Body"/>
        <w:spacing w:before="180"/>
        <w:jc w:val="left"/>
        <w:rPr>
          <w:rFonts w:ascii="Times New Roman" w:hAnsi="Times New Roman"/>
        </w:rPr>
      </w:pPr>
      <w:r>
        <w:rPr>
          <w:rFonts w:ascii="Times New Roman" w:hAnsi="Times New Roman"/>
        </w:rPr>
        <w:t>The objectives of remedial action(s) for non-compliance are to ensure that:</w:t>
      </w:r>
    </w:p>
    <w:p w14:paraId="3C1A2FDC" w14:textId="77777777" w:rsidR="009D3DC8" w:rsidRDefault="009D3DC8">
      <w:pPr>
        <w:pStyle w:val="Bullets"/>
        <w:numPr>
          <w:ilvl w:val="0"/>
          <w:numId w:val="9"/>
        </w:numPr>
        <w:spacing w:before="120"/>
        <w:jc w:val="left"/>
      </w:pPr>
      <w:r>
        <w:t>any quarantine risk is addressed by remedial action, as appropriate</w:t>
      </w:r>
    </w:p>
    <w:p w14:paraId="53AAD254" w14:textId="77777777" w:rsidR="009D3DC8" w:rsidRDefault="009D3DC8">
      <w:pPr>
        <w:pStyle w:val="Bullets"/>
        <w:numPr>
          <w:ilvl w:val="0"/>
          <w:numId w:val="9"/>
        </w:numPr>
        <w:spacing w:before="120"/>
        <w:jc w:val="left"/>
      </w:pPr>
      <w:r>
        <w:t>non-compliance with import requirements is addressed, as appropriate.</w:t>
      </w:r>
    </w:p>
    <w:p w14:paraId="5B53BE53" w14:textId="77777777" w:rsidR="009D3DC8" w:rsidRDefault="009D3DC8">
      <w:pPr>
        <w:pStyle w:val="Body"/>
        <w:spacing w:before="180"/>
        <w:jc w:val="left"/>
        <w:rPr>
          <w:rFonts w:ascii="Times New Roman" w:hAnsi="Times New Roman"/>
        </w:rPr>
      </w:pPr>
      <w:r>
        <w:rPr>
          <w:rFonts w:ascii="Times New Roman" w:hAnsi="Times New Roman"/>
        </w:rPr>
        <w:t>Any consignment that fails to meet Australia’s import conditions must be subject to a suitable remedial treatment, if one is available, re-exported from Australia, or destroyed.</w:t>
      </w:r>
    </w:p>
    <w:p w14:paraId="36B95FE1" w14:textId="77777777" w:rsidR="009D3DC8" w:rsidRDefault="009D3DC8">
      <w:pPr>
        <w:pStyle w:val="Body"/>
        <w:spacing w:before="180"/>
        <w:jc w:val="left"/>
        <w:rPr>
          <w:rFonts w:ascii="Times New Roman" w:hAnsi="Times New Roman"/>
        </w:rPr>
      </w:pPr>
      <w:r>
        <w:rPr>
          <w:rFonts w:ascii="Times New Roman" w:hAnsi="Times New Roman"/>
        </w:rPr>
        <w:t>Separate to the corrective measures mentioned above, there may be other breach actions necessary depending on the specific pest intercepted and the risk management strategy put in place against that pest in the protocol.</w:t>
      </w:r>
    </w:p>
    <w:p w14:paraId="009FF988" w14:textId="77777777" w:rsidR="009D3DC8" w:rsidRDefault="009D3DC8">
      <w:pPr>
        <w:pStyle w:val="Body"/>
        <w:spacing w:before="180"/>
        <w:jc w:val="left"/>
        <w:rPr>
          <w:rFonts w:ascii="Times New Roman" w:hAnsi="Times New Roman"/>
        </w:rPr>
      </w:pPr>
      <w:r>
        <w:rPr>
          <w:rFonts w:ascii="Times New Roman" w:hAnsi="Times New Roman"/>
        </w:rPr>
        <w:t xml:space="preserve">If product repeatedly fails inspection, DAFF Biosecurity reserves the right to suspend the export program and conduct an audit of the risk management systems. The program will </w:t>
      </w:r>
      <w:r>
        <w:rPr>
          <w:rFonts w:ascii="Times New Roman" w:hAnsi="Times New Roman"/>
        </w:rPr>
        <w:lastRenderedPageBreak/>
        <w:t>recommence only when DAFF Biosecurity is satisfied that appropriate corrective action has been taken.</w:t>
      </w:r>
    </w:p>
    <w:p w14:paraId="14349221" w14:textId="77777777" w:rsidR="009D3DC8" w:rsidRDefault="009D3DC8">
      <w:pPr>
        <w:pStyle w:val="Heading2"/>
        <w:numPr>
          <w:ilvl w:val="1"/>
          <w:numId w:val="8"/>
        </w:numPr>
        <w:spacing w:line="240" w:lineRule="auto"/>
      </w:pPr>
      <w:bookmarkStart w:id="96" w:name="_Toc325618452"/>
      <w:r>
        <w:t>Uncategorised pests</w:t>
      </w:r>
      <w:bookmarkEnd w:id="96"/>
    </w:p>
    <w:p w14:paraId="3FD6A68D" w14:textId="77777777" w:rsidR="009D3DC8" w:rsidRDefault="009D3DC8">
      <w:pPr>
        <w:pStyle w:val="Body"/>
        <w:spacing w:before="180"/>
        <w:jc w:val="left"/>
        <w:rPr>
          <w:rFonts w:ascii="Times New Roman" w:hAnsi="Times New Roman"/>
        </w:rPr>
      </w:pPr>
      <w:r>
        <w:rPr>
          <w:rFonts w:ascii="Times New Roman" w:hAnsi="Times New Roman"/>
        </w:rPr>
        <w:t>If an organism, including contaminant pests/pathogens, is detected on mangosteen fruit either in Indonesia or on-arrival in Australia that has not been categorised, it will require assessment by DAFF Biosecurity to determine its quarantine status and whether phytosanitary action is required. Assessment is also required if the detected species was categorised as not likely to be on the import pathway. If the detected species was categorised as on the pathway but assessed as having an unrestricted risk that achieves Australia’s ALOP due to the rating for likelihood of importation, then it would require reassessment. The detection of any pests of quarantine concern not already identified in the analysis may result in remedial action and/or temporary suspension of trade while a review is conducted to ensure that existing measures continue to provide the appropriate level of protection for Australia.</w:t>
      </w:r>
    </w:p>
    <w:p w14:paraId="28C034CC" w14:textId="77777777" w:rsidR="009D3DC8" w:rsidRDefault="009D3DC8">
      <w:pPr>
        <w:pStyle w:val="Heading2"/>
        <w:numPr>
          <w:ilvl w:val="1"/>
          <w:numId w:val="8"/>
        </w:numPr>
        <w:spacing w:line="240" w:lineRule="auto"/>
      </w:pPr>
      <w:bookmarkStart w:id="97" w:name="_Toc325618453"/>
      <w:r>
        <w:t>Audit of protocol</w:t>
      </w:r>
      <w:bookmarkEnd w:id="97"/>
    </w:p>
    <w:p w14:paraId="70B62F80" w14:textId="77777777" w:rsidR="009D3DC8" w:rsidRDefault="009D3DC8">
      <w:pPr>
        <w:spacing w:before="180" w:line="280" w:lineRule="atLeast"/>
        <w:rPr>
          <w:rFonts w:ascii="Times New Roman" w:hAnsi="Times New Roman"/>
        </w:rPr>
      </w:pPr>
      <w:r>
        <w:rPr>
          <w:rFonts w:ascii="Times New Roman" w:hAnsi="Times New Roman"/>
          <w:sz w:val="24"/>
        </w:rPr>
        <w:t xml:space="preserve">Prior to the first season of trade, representatives from DAFF </w:t>
      </w:r>
      <w:r>
        <w:rPr>
          <w:rFonts w:ascii="Times New Roman" w:hAnsi="Times New Roman"/>
          <w:sz w:val="24"/>
          <w:szCs w:val="24"/>
        </w:rPr>
        <w:t>Biosecurity</w:t>
      </w:r>
      <w:r>
        <w:rPr>
          <w:rFonts w:ascii="Times New Roman" w:hAnsi="Times New Roman"/>
          <w:sz w:val="24"/>
        </w:rPr>
        <w:t xml:space="preserve"> will visit areas in Indonesia that produce mangosteen fruit for export to Australia. They will audit the implementation of agreed import conditions and phytosanitary systems.</w:t>
      </w:r>
    </w:p>
    <w:p w14:paraId="184946F3" w14:textId="77777777" w:rsidR="009D3DC8" w:rsidRDefault="009D3DC8">
      <w:pPr>
        <w:pStyle w:val="Heading2"/>
        <w:numPr>
          <w:ilvl w:val="1"/>
          <w:numId w:val="8"/>
        </w:numPr>
        <w:spacing w:line="240" w:lineRule="auto"/>
      </w:pPr>
      <w:bookmarkStart w:id="98" w:name="_Toc325618454"/>
      <w:r>
        <w:t>Review of policy</w:t>
      </w:r>
      <w:bookmarkEnd w:id="98"/>
    </w:p>
    <w:p w14:paraId="4E339F16" w14:textId="77777777" w:rsidR="009D3DC8" w:rsidRDefault="009D3DC8">
      <w:pPr>
        <w:pStyle w:val="Body"/>
        <w:spacing w:before="180"/>
        <w:jc w:val="left"/>
        <w:rPr>
          <w:rFonts w:ascii="Times New Roman" w:hAnsi="Times New Roman"/>
        </w:rPr>
      </w:pPr>
      <w:r>
        <w:rPr>
          <w:rFonts w:ascii="Times New Roman" w:hAnsi="Times New Roman"/>
        </w:rPr>
        <w:t>DAFF Biosecurity reserves the right to review the import policy after the first year of trade or when there is reason to believe that the pest or phytosanitary status in Indonesia has changed.</w:t>
      </w:r>
    </w:p>
    <w:p w14:paraId="2D6ADB6C" w14:textId="77777777" w:rsidR="009D3DC8" w:rsidRDefault="009D3DC8">
      <w:pPr>
        <w:pStyle w:val="Body"/>
        <w:spacing w:before="180"/>
        <w:jc w:val="left"/>
        <w:rPr>
          <w:rFonts w:ascii="Times New Roman" w:hAnsi="Times New Roman"/>
        </w:rPr>
      </w:pPr>
      <w:r>
        <w:rPr>
          <w:rFonts w:ascii="Times New Roman" w:hAnsi="Times New Roman"/>
        </w:rPr>
        <w:t>IAQA must inform DAFF Biosecurity immediately on detection in Indonesia of any new pests of mangosteen fruit that are of potential quarantine concern to Australia or a significant change in the application of existing commercial practices considered in this report.</w:t>
      </w:r>
    </w:p>
    <w:p w14:paraId="77707C32" w14:textId="77777777" w:rsidR="009D3DC8" w:rsidRDefault="009D3DC8">
      <w:pPr>
        <w:pStyle w:val="Body"/>
        <w:spacing w:before="180"/>
        <w:jc w:val="left"/>
        <w:rPr>
          <w:rFonts w:ascii="Times New Roman" w:hAnsi="Times New Roman"/>
        </w:rPr>
      </w:pPr>
    </w:p>
    <w:p w14:paraId="315992AF" w14:textId="77777777" w:rsidR="009D3DC8" w:rsidRDefault="009D3DC8">
      <w:pPr>
        <w:pStyle w:val="Body"/>
        <w:spacing w:before="120" w:after="120"/>
        <w:jc w:val="left"/>
        <w:sectPr w:rsidR="009D3DC8">
          <w:headerReference w:type="default" r:id="rId49"/>
          <w:footerReference w:type="default" r:id="rId50"/>
          <w:type w:val="oddPage"/>
          <w:pgSz w:w="11906" w:h="16838"/>
          <w:pgMar w:top="1411" w:right="1411" w:bottom="1411" w:left="1411" w:header="706" w:footer="706" w:gutter="0"/>
          <w:cols w:space="708"/>
          <w:formProt w:val="0"/>
          <w:docGrid w:linePitch="360"/>
        </w:sectPr>
      </w:pPr>
    </w:p>
    <w:p w14:paraId="545D1B9D" w14:textId="77777777" w:rsidR="009D3DC8" w:rsidRDefault="009D3DC8">
      <w:pPr>
        <w:pStyle w:val="Body"/>
        <w:spacing w:before="120" w:after="120"/>
        <w:jc w:val="left"/>
      </w:pPr>
    </w:p>
    <w:p w14:paraId="12F94049" w14:textId="77777777" w:rsidR="009D3DC8" w:rsidRDefault="009D3DC8">
      <w:pPr>
        <w:pStyle w:val="Body"/>
        <w:spacing w:before="120" w:after="120"/>
        <w:jc w:val="left"/>
      </w:pPr>
    </w:p>
    <w:p w14:paraId="7F23F9B9" w14:textId="77777777" w:rsidR="009D3DC8" w:rsidRDefault="009D3DC8">
      <w:pPr>
        <w:pStyle w:val="Body"/>
        <w:spacing w:before="120" w:after="120"/>
        <w:jc w:val="left"/>
      </w:pPr>
    </w:p>
    <w:p w14:paraId="223019CE" w14:textId="77777777" w:rsidR="009D3DC8" w:rsidRDefault="009D3DC8">
      <w:pPr>
        <w:pStyle w:val="Title"/>
      </w:pPr>
    </w:p>
    <w:p w14:paraId="2A5AC762" w14:textId="77777777" w:rsidR="009D3DC8" w:rsidRDefault="009D3DC8">
      <w:pPr>
        <w:pStyle w:val="Title"/>
      </w:pPr>
    </w:p>
    <w:p w14:paraId="779FC261" w14:textId="77777777" w:rsidR="009D3DC8" w:rsidRDefault="009D3DC8">
      <w:pPr>
        <w:pStyle w:val="Title"/>
        <w:rPr>
          <w:rFonts w:ascii="Arial" w:hAnsi="Arial" w:cs="Arial"/>
        </w:rPr>
      </w:pPr>
      <w:r>
        <w:rPr>
          <w:rFonts w:ascii="Arial" w:hAnsi="Arial" w:cs="Arial"/>
        </w:rPr>
        <w:t>Appendices</w:t>
      </w:r>
    </w:p>
    <w:p w14:paraId="46F103E4" w14:textId="77777777" w:rsidR="009D3DC8" w:rsidRDefault="009D3DC8">
      <w:pPr>
        <w:pStyle w:val="Body"/>
        <w:spacing w:before="120" w:after="120"/>
        <w:jc w:val="left"/>
      </w:pPr>
    </w:p>
    <w:p w14:paraId="272F1706" w14:textId="77777777" w:rsidR="009D3DC8" w:rsidRDefault="009D3DC8">
      <w:pPr>
        <w:pStyle w:val="Body"/>
        <w:spacing w:before="120" w:after="120"/>
        <w:jc w:val="left"/>
      </w:pPr>
    </w:p>
    <w:p w14:paraId="549308CF" w14:textId="77777777" w:rsidR="009D3DC8" w:rsidRDefault="009D3DC8">
      <w:pPr>
        <w:pStyle w:val="Body"/>
        <w:spacing w:before="120" w:after="120"/>
        <w:jc w:val="left"/>
      </w:pPr>
    </w:p>
    <w:p w14:paraId="27C5DFEB" w14:textId="77777777" w:rsidR="009D3DC8" w:rsidRDefault="009D3DC8">
      <w:pPr>
        <w:pStyle w:val="Body"/>
        <w:spacing w:before="120" w:after="120"/>
        <w:jc w:val="left"/>
      </w:pPr>
    </w:p>
    <w:p w14:paraId="6D2BF15E" w14:textId="77777777" w:rsidR="009D3DC8" w:rsidRDefault="009D3DC8">
      <w:pPr>
        <w:pStyle w:val="Body"/>
        <w:spacing w:before="120" w:after="120"/>
        <w:jc w:val="left"/>
      </w:pPr>
    </w:p>
    <w:p w14:paraId="49D7896D" w14:textId="77777777" w:rsidR="009D3DC8" w:rsidRDefault="009D3DC8">
      <w:pPr>
        <w:pStyle w:val="Body"/>
        <w:spacing w:before="120" w:after="120"/>
        <w:jc w:val="left"/>
      </w:pPr>
    </w:p>
    <w:p w14:paraId="6CBFF230" w14:textId="77777777" w:rsidR="009D3DC8" w:rsidRDefault="009D3DC8">
      <w:pPr>
        <w:pStyle w:val="Body"/>
        <w:spacing w:before="120" w:after="120"/>
        <w:jc w:val="left"/>
      </w:pPr>
    </w:p>
    <w:p w14:paraId="1ABB023E" w14:textId="77777777" w:rsidR="009D3DC8" w:rsidRDefault="009D3DC8">
      <w:pPr>
        <w:pStyle w:val="Body"/>
        <w:spacing w:before="120" w:after="120"/>
        <w:jc w:val="left"/>
      </w:pPr>
    </w:p>
    <w:p w14:paraId="1351C018" w14:textId="77777777" w:rsidR="009D3DC8" w:rsidRDefault="009D3DC8">
      <w:pPr>
        <w:sectPr w:rsidR="009D3DC8">
          <w:headerReference w:type="default" r:id="rId51"/>
          <w:type w:val="oddPage"/>
          <w:pgSz w:w="11906" w:h="16838"/>
          <w:pgMar w:top="1411" w:right="1411" w:bottom="1411" w:left="1411" w:header="706" w:footer="706" w:gutter="0"/>
          <w:cols w:space="708"/>
          <w:formProt w:val="0"/>
          <w:docGrid w:linePitch="360"/>
        </w:sectPr>
      </w:pPr>
    </w:p>
    <w:p w14:paraId="42431BB4" w14:textId="77777777" w:rsidR="009D3DC8" w:rsidRDefault="009D3DC8">
      <w:pPr>
        <w:pStyle w:val="Heading1appendix"/>
        <w:ind w:left="1350"/>
        <w:rPr>
          <w:color w:val="auto"/>
        </w:rPr>
      </w:pPr>
      <w:bookmarkStart w:id="99" w:name="_Toc236615814"/>
      <w:bookmarkStart w:id="100" w:name="_Toc325618455"/>
      <w:r>
        <w:rPr>
          <w:rStyle w:val="Heading1Char"/>
        </w:rPr>
        <w:lastRenderedPageBreak/>
        <w:t>Appendix A</w:t>
      </w:r>
      <w:r>
        <w:rPr>
          <w:rStyle w:val="Heading1Char"/>
        </w:rPr>
        <w:tab/>
        <w:t>Initiation and categorisation for pests of fresh mangosteen fruit from Indonesia</w:t>
      </w:r>
      <w:bookmarkEnd w:id="99"/>
      <w:bookmarkEnd w:id="100"/>
      <w:r>
        <w:rPr>
          <w:rStyle w:val="FootnoteReference"/>
          <w:color w:val="auto"/>
        </w:rPr>
        <w:footnoteReference w:id="5"/>
      </w:r>
    </w:p>
    <w:p w14:paraId="238AB111" w14:textId="77777777" w:rsidR="009D3DC8" w:rsidRDefault="009D3DC8">
      <w:pPr>
        <w:pStyle w:val="TableText1"/>
        <w:ind w:left="-851"/>
        <w:rPr>
          <w:rFonts w:ascii="Arial" w:hAnsi="Arial" w:cs="Arial"/>
          <w:color w:val="auto"/>
          <w:szCs w:val="16"/>
        </w:rPr>
      </w:pPr>
      <w:bookmarkStart w:id="101" w:name="_Toc93402124"/>
      <w:bookmarkStart w:id="102" w:name="_Toc93912050"/>
      <w:bookmarkStart w:id="103" w:name="_Toc96241861"/>
      <w:bookmarkStart w:id="104" w:name="_Toc152496134"/>
      <w:bookmarkStart w:id="105" w:name="_Toc216512010"/>
      <w:bookmarkStart w:id="106" w:name="_Toc227475810"/>
      <w:r>
        <w:rPr>
          <w:rFonts w:ascii="Arial" w:hAnsi="Arial" w:cs="Arial"/>
          <w:color w:val="auto"/>
          <w:szCs w:val="16"/>
        </w:rPr>
        <w:t>Initiation (columns 1 – 3) identifies the pests of mangosteens that have the potential to be on mangosteen fruit produced in Indonesia using commercial production and packing procedures.</w:t>
      </w:r>
    </w:p>
    <w:p w14:paraId="1AB7A980" w14:textId="77777777" w:rsidR="009D3DC8" w:rsidRDefault="009D3DC8">
      <w:pPr>
        <w:pStyle w:val="TableText1"/>
        <w:ind w:left="-851"/>
        <w:rPr>
          <w:rFonts w:ascii="Arial" w:hAnsi="Arial" w:cs="Arial"/>
          <w:color w:val="auto"/>
          <w:szCs w:val="16"/>
        </w:rPr>
      </w:pPr>
      <w:r>
        <w:rPr>
          <w:rFonts w:ascii="Arial" w:hAnsi="Arial" w:cs="Arial"/>
          <w:color w:val="auto"/>
          <w:szCs w:val="16"/>
        </w:rPr>
        <w:t xml:space="preserve">Pest categorisation (columns 4 - 7) identifies which of the pests with the potential to be on mangosteen fruit are quarantine pests for Australia and require a pest risk assessment. </w:t>
      </w:r>
    </w:p>
    <w:p w14:paraId="12EE628D" w14:textId="77777777" w:rsidR="009D3DC8" w:rsidRDefault="009D3DC8">
      <w:pPr>
        <w:pStyle w:val="TableText1"/>
        <w:ind w:left="-851"/>
        <w:rPr>
          <w:rFonts w:ascii="Arial" w:hAnsi="Arial" w:cs="Arial"/>
          <w:color w:val="auto"/>
          <w:szCs w:val="16"/>
        </w:rPr>
      </w:pPr>
      <w:r>
        <w:rPr>
          <w:rFonts w:ascii="Arial" w:hAnsi="Arial" w:cs="Arial"/>
          <w:color w:val="auto"/>
          <w:szCs w:val="16"/>
        </w:rPr>
        <w:t>The steps in the initiation and categorisation processes are considered sequentially, with the assessment terminating at the first ‘No’ for columns 3, 5 or 6 or ‘Yes’ for column 4.</w:t>
      </w:r>
    </w:p>
    <w:p w14:paraId="5E4786E6" w14:textId="77777777" w:rsidR="009D3DC8" w:rsidRDefault="009D3DC8">
      <w:pPr>
        <w:pStyle w:val="TableText1"/>
        <w:spacing w:after="120"/>
        <w:ind w:left="-851"/>
        <w:rPr>
          <w:rFonts w:ascii="Arial" w:hAnsi="Arial" w:cs="Arial"/>
          <w:color w:val="auto"/>
          <w:szCs w:val="16"/>
        </w:rPr>
      </w:pPr>
      <w:r>
        <w:rPr>
          <w:rFonts w:ascii="Arial" w:hAnsi="Arial" w:cs="Arial"/>
          <w:color w:val="auto"/>
          <w:szCs w:val="16"/>
        </w:rPr>
        <w:t>Details of the method used in this report are given in Section 2: Method for pest risk analysis.</w:t>
      </w:r>
    </w:p>
    <w:tbl>
      <w:tblPr>
        <w:tblW w:w="158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F" w:firstRow="1" w:lastRow="0" w:firstColumn="1" w:lastColumn="0" w:noHBand="0" w:noVBand="0"/>
      </w:tblPr>
      <w:tblGrid>
        <w:gridCol w:w="3039"/>
        <w:gridCol w:w="8"/>
        <w:gridCol w:w="2146"/>
        <w:gridCol w:w="2670"/>
        <w:gridCol w:w="2007"/>
        <w:gridCol w:w="2537"/>
        <w:gridCol w:w="2254"/>
        <w:gridCol w:w="16"/>
        <w:gridCol w:w="1163"/>
      </w:tblGrid>
      <w:tr w:rsidR="009D3DC8" w14:paraId="64CF5BB2" w14:textId="77777777">
        <w:trPr>
          <w:cantSplit/>
          <w:tblHeader/>
          <w:jc w:val="center"/>
        </w:trPr>
        <w:tc>
          <w:tcPr>
            <w:tcW w:w="3039" w:type="dxa"/>
            <w:tcBorders>
              <w:bottom w:val="single" w:sz="2" w:space="0" w:color="auto"/>
            </w:tcBorders>
            <w:shd w:val="clear" w:color="auto" w:fill="B3B3B3"/>
            <w:vAlign w:val="bottom"/>
          </w:tcPr>
          <w:bookmarkEnd w:id="101"/>
          <w:bookmarkEnd w:id="102"/>
          <w:bookmarkEnd w:id="103"/>
          <w:bookmarkEnd w:id="104"/>
          <w:bookmarkEnd w:id="105"/>
          <w:bookmarkEnd w:id="106"/>
          <w:p w14:paraId="790F10EC" w14:textId="77777777" w:rsidR="009D3DC8" w:rsidRDefault="009D3DC8">
            <w:pPr>
              <w:pStyle w:val="TableText1"/>
              <w:rPr>
                <w:rFonts w:ascii="Arial" w:hAnsi="Arial" w:cs="Arial"/>
                <w:b/>
                <w:bCs/>
                <w:color w:val="auto"/>
                <w:szCs w:val="16"/>
              </w:rPr>
            </w:pPr>
            <w:r>
              <w:rPr>
                <w:rFonts w:ascii="Arial" w:hAnsi="Arial" w:cs="Arial"/>
                <w:b/>
                <w:bCs/>
                <w:color w:val="auto"/>
                <w:szCs w:val="16"/>
              </w:rPr>
              <w:t>Pest</w:t>
            </w:r>
          </w:p>
        </w:tc>
        <w:tc>
          <w:tcPr>
            <w:tcW w:w="2154" w:type="dxa"/>
            <w:gridSpan w:val="2"/>
            <w:tcBorders>
              <w:bottom w:val="single" w:sz="2" w:space="0" w:color="auto"/>
            </w:tcBorders>
            <w:shd w:val="clear" w:color="auto" w:fill="B3B3B3"/>
            <w:vAlign w:val="bottom"/>
          </w:tcPr>
          <w:p w14:paraId="5209391A" w14:textId="77777777" w:rsidR="009D3DC8" w:rsidRDefault="009D3DC8">
            <w:pPr>
              <w:pStyle w:val="TableText1"/>
              <w:rPr>
                <w:rFonts w:ascii="Arial" w:hAnsi="Arial" w:cs="Arial"/>
                <w:b/>
                <w:bCs/>
                <w:color w:val="auto"/>
                <w:szCs w:val="16"/>
              </w:rPr>
            </w:pPr>
            <w:r>
              <w:rPr>
                <w:rFonts w:ascii="Arial" w:hAnsi="Arial" w:cs="Arial"/>
                <w:b/>
                <w:bCs/>
                <w:color w:val="auto"/>
                <w:szCs w:val="16"/>
              </w:rPr>
              <w:t xml:space="preserve">Present in Indonesia </w:t>
            </w:r>
          </w:p>
        </w:tc>
        <w:tc>
          <w:tcPr>
            <w:tcW w:w="2670" w:type="dxa"/>
            <w:tcBorders>
              <w:bottom w:val="single" w:sz="2" w:space="0" w:color="auto"/>
            </w:tcBorders>
            <w:shd w:val="clear" w:color="auto" w:fill="B3B3B3"/>
            <w:vAlign w:val="bottom"/>
          </w:tcPr>
          <w:p w14:paraId="46E06E97" w14:textId="77777777" w:rsidR="009D3DC8" w:rsidRDefault="009D3DC8">
            <w:pPr>
              <w:pStyle w:val="TableText1"/>
              <w:rPr>
                <w:rFonts w:ascii="Arial" w:hAnsi="Arial" w:cs="Arial"/>
                <w:b/>
                <w:bCs/>
                <w:color w:val="auto"/>
                <w:szCs w:val="16"/>
              </w:rPr>
            </w:pPr>
            <w:r>
              <w:rPr>
                <w:rFonts w:ascii="Arial" w:hAnsi="Arial" w:cs="Arial"/>
                <w:b/>
                <w:bCs/>
                <w:color w:val="auto"/>
                <w:szCs w:val="16"/>
              </w:rPr>
              <w:t>Potential to be on the pathway</w:t>
            </w:r>
          </w:p>
        </w:tc>
        <w:tc>
          <w:tcPr>
            <w:tcW w:w="2007" w:type="dxa"/>
            <w:tcBorders>
              <w:bottom w:val="single" w:sz="2" w:space="0" w:color="auto"/>
            </w:tcBorders>
            <w:shd w:val="clear" w:color="auto" w:fill="B3B3B3"/>
            <w:vAlign w:val="bottom"/>
          </w:tcPr>
          <w:p w14:paraId="2AFF7006" w14:textId="77777777" w:rsidR="009D3DC8" w:rsidRDefault="009D3DC8">
            <w:pPr>
              <w:pStyle w:val="TableText1"/>
              <w:rPr>
                <w:rFonts w:ascii="Arial" w:hAnsi="Arial" w:cs="Arial"/>
                <w:b/>
                <w:bCs/>
                <w:color w:val="auto"/>
                <w:szCs w:val="16"/>
              </w:rPr>
            </w:pPr>
            <w:r>
              <w:rPr>
                <w:rFonts w:ascii="Arial" w:hAnsi="Arial" w:cs="Arial"/>
                <w:b/>
                <w:bCs/>
                <w:color w:val="auto"/>
                <w:szCs w:val="16"/>
              </w:rPr>
              <w:t>Present within Australia</w:t>
            </w:r>
          </w:p>
        </w:tc>
        <w:tc>
          <w:tcPr>
            <w:tcW w:w="2537" w:type="dxa"/>
            <w:tcBorders>
              <w:bottom w:val="single" w:sz="2" w:space="0" w:color="auto"/>
            </w:tcBorders>
            <w:shd w:val="clear" w:color="auto" w:fill="B3B3B3"/>
            <w:vAlign w:val="bottom"/>
          </w:tcPr>
          <w:p w14:paraId="24794F80" w14:textId="77777777" w:rsidR="009D3DC8" w:rsidRDefault="009D3DC8">
            <w:pPr>
              <w:pStyle w:val="TableText1"/>
              <w:rPr>
                <w:rFonts w:ascii="Arial" w:hAnsi="Arial" w:cs="Arial"/>
                <w:b/>
                <w:bCs/>
                <w:color w:val="auto"/>
                <w:szCs w:val="16"/>
              </w:rPr>
            </w:pPr>
            <w:r>
              <w:rPr>
                <w:rFonts w:ascii="Arial" w:hAnsi="Arial" w:cs="Arial"/>
                <w:b/>
                <w:bCs/>
                <w:color w:val="auto"/>
                <w:szCs w:val="16"/>
              </w:rPr>
              <w:t>Potential for establishment and spread</w:t>
            </w:r>
          </w:p>
        </w:tc>
        <w:tc>
          <w:tcPr>
            <w:tcW w:w="2254" w:type="dxa"/>
            <w:tcBorders>
              <w:bottom w:val="single" w:sz="2" w:space="0" w:color="auto"/>
            </w:tcBorders>
            <w:shd w:val="clear" w:color="auto" w:fill="B3B3B3"/>
            <w:vAlign w:val="bottom"/>
          </w:tcPr>
          <w:p w14:paraId="5CEBB99D" w14:textId="77777777" w:rsidR="009D3DC8" w:rsidRDefault="009D3DC8">
            <w:pPr>
              <w:pStyle w:val="TableText1"/>
              <w:rPr>
                <w:rFonts w:ascii="Arial" w:hAnsi="Arial" w:cs="Arial"/>
                <w:b/>
                <w:bCs/>
                <w:color w:val="auto"/>
                <w:szCs w:val="16"/>
              </w:rPr>
            </w:pPr>
            <w:r>
              <w:rPr>
                <w:rFonts w:ascii="Arial" w:hAnsi="Arial" w:cs="Arial"/>
                <w:b/>
                <w:bCs/>
                <w:color w:val="auto"/>
                <w:szCs w:val="16"/>
              </w:rPr>
              <w:t>Potential for economic consequences</w:t>
            </w:r>
          </w:p>
        </w:tc>
        <w:tc>
          <w:tcPr>
            <w:tcW w:w="1179" w:type="dxa"/>
            <w:gridSpan w:val="2"/>
            <w:tcBorders>
              <w:bottom w:val="single" w:sz="2" w:space="0" w:color="auto"/>
            </w:tcBorders>
            <w:shd w:val="clear" w:color="auto" w:fill="B3B3B3"/>
            <w:vAlign w:val="bottom"/>
          </w:tcPr>
          <w:p w14:paraId="5A3CAD40" w14:textId="77777777" w:rsidR="009D3DC8" w:rsidRDefault="009D3DC8">
            <w:pPr>
              <w:pStyle w:val="TableText1"/>
              <w:rPr>
                <w:rFonts w:ascii="Arial" w:hAnsi="Arial" w:cs="Arial"/>
                <w:b/>
                <w:bCs/>
                <w:color w:val="auto"/>
                <w:szCs w:val="16"/>
              </w:rPr>
            </w:pPr>
            <w:r>
              <w:rPr>
                <w:rFonts w:ascii="Arial" w:hAnsi="Arial" w:cs="Arial"/>
                <w:b/>
                <w:bCs/>
                <w:color w:val="auto"/>
                <w:szCs w:val="16"/>
              </w:rPr>
              <w:t>Consider further in PRA</w:t>
            </w:r>
          </w:p>
        </w:tc>
      </w:tr>
      <w:tr w:rsidR="009D3DC8" w14:paraId="7B14E83C" w14:textId="77777777">
        <w:trPr>
          <w:cantSplit/>
          <w:jc w:val="center"/>
        </w:trPr>
        <w:tc>
          <w:tcPr>
            <w:tcW w:w="15840" w:type="dxa"/>
            <w:gridSpan w:val="9"/>
            <w:tcBorders>
              <w:bottom w:val="single" w:sz="2" w:space="0" w:color="auto"/>
            </w:tcBorders>
            <w:shd w:val="clear" w:color="auto" w:fill="CCCCCC"/>
          </w:tcPr>
          <w:p w14:paraId="01FDA7A4" w14:textId="77777777" w:rsidR="009D3DC8" w:rsidRDefault="009D3DC8">
            <w:pPr>
              <w:pStyle w:val="TableText1"/>
              <w:rPr>
                <w:rFonts w:ascii="Arial" w:hAnsi="Arial" w:cs="Arial"/>
                <w:b/>
                <w:bCs/>
                <w:color w:val="auto"/>
                <w:szCs w:val="16"/>
              </w:rPr>
            </w:pPr>
            <w:r>
              <w:rPr>
                <w:rFonts w:ascii="Arial" w:hAnsi="Arial" w:cs="Arial"/>
                <w:b/>
                <w:bCs/>
                <w:color w:val="auto"/>
                <w:szCs w:val="16"/>
              </w:rPr>
              <w:t>DOMAIN EUKARYA</w:t>
            </w:r>
          </w:p>
        </w:tc>
      </w:tr>
      <w:tr w:rsidR="009D3DC8" w14:paraId="6064D731" w14:textId="77777777">
        <w:trPr>
          <w:cantSplit/>
          <w:jc w:val="center"/>
        </w:trPr>
        <w:tc>
          <w:tcPr>
            <w:tcW w:w="15840" w:type="dxa"/>
            <w:gridSpan w:val="9"/>
            <w:tcBorders>
              <w:bottom w:val="single" w:sz="2" w:space="0" w:color="auto"/>
            </w:tcBorders>
            <w:shd w:val="clear" w:color="auto" w:fill="E0E0E0"/>
          </w:tcPr>
          <w:p w14:paraId="6C1E45B3" w14:textId="77777777" w:rsidR="009D3DC8" w:rsidRDefault="009D3DC8">
            <w:pPr>
              <w:pStyle w:val="TableText1"/>
              <w:rPr>
                <w:rFonts w:ascii="Arial" w:hAnsi="Arial" w:cs="Arial"/>
                <w:b/>
                <w:bCs/>
                <w:color w:val="auto"/>
                <w:szCs w:val="16"/>
              </w:rPr>
            </w:pPr>
            <w:r>
              <w:rPr>
                <w:rFonts w:ascii="Arial" w:hAnsi="Arial" w:cs="Arial"/>
                <w:b/>
                <w:bCs/>
                <w:color w:val="auto"/>
                <w:szCs w:val="16"/>
              </w:rPr>
              <w:t>ANIMALIA</w:t>
            </w:r>
          </w:p>
        </w:tc>
      </w:tr>
      <w:tr w:rsidR="009D3DC8" w14:paraId="7CB73517" w14:textId="77777777">
        <w:trPr>
          <w:cantSplit/>
          <w:jc w:val="center"/>
        </w:trPr>
        <w:tc>
          <w:tcPr>
            <w:tcW w:w="15840" w:type="dxa"/>
            <w:gridSpan w:val="9"/>
            <w:tcBorders>
              <w:bottom w:val="single" w:sz="4" w:space="0" w:color="auto"/>
            </w:tcBorders>
            <w:shd w:val="clear" w:color="auto" w:fill="E0E0E0"/>
          </w:tcPr>
          <w:p w14:paraId="17A053B0" w14:textId="77777777" w:rsidR="009D3DC8" w:rsidRDefault="009D3DC8">
            <w:pPr>
              <w:pStyle w:val="TableText1"/>
              <w:rPr>
                <w:rFonts w:ascii="Arial" w:hAnsi="Arial" w:cs="Arial"/>
                <w:color w:val="auto"/>
                <w:szCs w:val="16"/>
                <w:lang w:val="pt-BR"/>
              </w:rPr>
            </w:pPr>
            <w:r>
              <w:rPr>
                <w:rFonts w:ascii="Arial" w:hAnsi="Arial" w:cs="Arial"/>
                <w:b/>
                <w:color w:val="auto"/>
                <w:szCs w:val="16"/>
                <w:lang w:val="pt-BR"/>
              </w:rPr>
              <w:t>ARTHROPODA: Arachnidia</w:t>
            </w:r>
          </w:p>
        </w:tc>
      </w:tr>
      <w:tr w:rsidR="009D3DC8" w14:paraId="19604DF1" w14:textId="77777777">
        <w:trPr>
          <w:cantSplit/>
          <w:jc w:val="center"/>
        </w:trPr>
        <w:tc>
          <w:tcPr>
            <w:tcW w:w="15840" w:type="dxa"/>
            <w:gridSpan w:val="9"/>
            <w:tcBorders>
              <w:top w:val="single" w:sz="4" w:space="0" w:color="auto"/>
              <w:bottom w:val="single" w:sz="2" w:space="0" w:color="auto"/>
            </w:tcBorders>
            <w:shd w:val="clear" w:color="auto" w:fill="E6E6E6"/>
          </w:tcPr>
          <w:p w14:paraId="1B7CAF5D" w14:textId="77777777" w:rsidR="009D3DC8" w:rsidRDefault="009D3DC8">
            <w:pPr>
              <w:pStyle w:val="TableText1"/>
              <w:rPr>
                <w:rFonts w:ascii="Arial" w:hAnsi="Arial" w:cs="Arial"/>
                <w:b/>
                <w:color w:val="auto"/>
                <w:szCs w:val="16"/>
              </w:rPr>
            </w:pPr>
            <w:r>
              <w:rPr>
                <w:rFonts w:ascii="Arial" w:hAnsi="Arial" w:cs="Arial"/>
                <w:b/>
                <w:color w:val="auto"/>
                <w:szCs w:val="16"/>
              </w:rPr>
              <w:t xml:space="preserve">Order </w:t>
            </w:r>
            <w:r>
              <w:rPr>
                <w:rFonts w:ascii="Arial" w:hAnsi="Arial" w:cs="Arial"/>
                <w:b/>
                <w:color w:val="auto"/>
                <w:szCs w:val="16"/>
                <w:lang w:val="pt-BR"/>
              </w:rPr>
              <w:t>Prostigmata</w:t>
            </w:r>
          </w:p>
        </w:tc>
      </w:tr>
      <w:tr w:rsidR="009D3DC8" w14:paraId="45B90959" w14:textId="77777777">
        <w:trPr>
          <w:cantSplit/>
          <w:trHeight w:val="75"/>
          <w:jc w:val="center"/>
        </w:trPr>
        <w:tc>
          <w:tcPr>
            <w:tcW w:w="3047" w:type="dxa"/>
            <w:gridSpan w:val="2"/>
            <w:tcBorders>
              <w:right w:val="single" w:sz="2" w:space="0" w:color="999999"/>
            </w:tcBorders>
            <w:shd w:val="clear" w:color="auto" w:fill="FFFFFF"/>
          </w:tcPr>
          <w:p w14:paraId="1E9AD126" w14:textId="77777777" w:rsidR="009D3DC8" w:rsidRDefault="009D3DC8">
            <w:pPr>
              <w:pStyle w:val="TableText1"/>
              <w:keepNext w:val="0"/>
              <w:rPr>
                <w:rFonts w:ascii="Arial" w:hAnsi="Arial" w:cs="Arial"/>
                <w:color w:val="auto"/>
                <w:szCs w:val="16"/>
                <w:lang w:val="pt-BR"/>
              </w:rPr>
            </w:pPr>
            <w:r>
              <w:rPr>
                <w:rFonts w:ascii="Arial" w:hAnsi="Arial" w:cs="Arial"/>
                <w:i/>
                <w:color w:val="auto"/>
                <w:szCs w:val="16"/>
                <w:lang w:val="pt-BR"/>
              </w:rPr>
              <w:t xml:space="preserve">Polyphagotarsonemus latus </w:t>
            </w:r>
            <w:r>
              <w:rPr>
                <w:rFonts w:ascii="Arial" w:hAnsi="Arial" w:cs="Arial"/>
                <w:color w:val="auto"/>
                <w:szCs w:val="16"/>
                <w:lang w:val="pt-BR"/>
              </w:rPr>
              <w:t>(Banks, 1904)</w:t>
            </w:r>
          </w:p>
          <w:p w14:paraId="345653EE"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w:t>
            </w:r>
            <w:r>
              <w:rPr>
                <w:rFonts w:ascii="Arial" w:hAnsi="Arial" w:cs="Arial"/>
                <w:color w:val="auto"/>
                <w:szCs w:val="16"/>
              </w:rPr>
              <w:t xml:space="preserve">Prostigmata: </w:t>
            </w:r>
            <w:r>
              <w:rPr>
                <w:rFonts w:ascii="Arial" w:hAnsi="Arial" w:cs="Arial"/>
                <w:color w:val="auto"/>
                <w:szCs w:val="16"/>
                <w:lang w:val="pt-BR"/>
              </w:rPr>
              <w:t>Tarsonemidae]</w:t>
            </w:r>
          </w:p>
          <w:p w14:paraId="6EDEA2FB"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Broad mite</w:t>
            </w:r>
          </w:p>
        </w:tc>
        <w:tc>
          <w:tcPr>
            <w:tcW w:w="2146" w:type="dxa"/>
            <w:tcBorders>
              <w:left w:val="single" w:sz="2" w:space="0" w:color="999999"/>
              <w:right w:val="single" w:sz="2" w:space="0" w:color="999999"/>
            </w:tcBorders>
            <w:shd w:val="clear" w:color="auto" w:fill="FFFFFF"/>
          </w:tcPr>
          <w:p w14:paraId="6E1F68FF"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Yes</w:t>
            </w:r>
          </w:p>
          <w:p w14:paraId="460BFB8B"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(Waterhouse 1993)</w:t>
            </w:r>
          </w:p>
        </w:tc>
        <w:tc>
          <w:tcPr>
            <w:tcW w:w="2670" w:type="dxa"/>
            <w:tcBorders>
              <w:left w:val="single" w:sz="2" w:space="0" w:color="999999"/>
              <w:right w:val="single" w:sz="2" w:space="0" w:color="999999"/>
            </w:tcBorders>
            <w:shd w:val="clear" w:color="auto" w:fill="FFFFFF"/>
          </w:tcPr>
          <w:p w14:paraId="54BDD58B"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1B60B5E" w14:textId="77777777" w:rsidR="009D3DC8" w:rsidRDefault="009D3DC8">
            <w:pPr>
              <w:pStyle w:val="TableText1"/>
              <w:keepNext w:val="0"/>
              <w:rPr>
                <w:rFonts w:ascii="Arial" w:hAnsi="Arial" w:cs="Arial"/>
                <w:color w:val="auto"/>
                <w:szCs w:val="16"/>
              </w:rPr>
            </w:pPr>
            <w:r>
              <w:rPr>
                <w:rFonts w:ascii="Arial" w:hAnsi="Arial" w:cs="Arial"/>
                <w:color w:val="auto"/>
                <w:szCs w:val="16"/>
              </w:rPr>
              <w:t>Intercepted in Australia on fresh mangosteen fruit from Thailand.</w:t>
            </w:r>
          </w:p>
        </w:tc>
        <w:tc>
          <w:tcPr>
            <w:tcW w:w="2007" w:type="dxa"/>
            <w:tcBorders>
              <w:left w:val="single" w:sz="2" w:space="0" w:color="999999"/>
              <w:right w:val="single" w:sz="2" w:space="0" w:color="999999"/>
            </w:tcBorders>
            <w:shd w:val="clear" w:color="auto" w:fill="FFFFFF"/>
          </w:tcPr>
          <w:p w14:paraId="0FDECEC6" w14:textId="77777777" w:rsidR="009D3DC8" w:rsidRDefault="009D3DC8">
            <w:pPr>
              <w:spacing w:before="60" w:after="60" w:line="240" w:lineRule="auto"/>
              <w:rPr>
                <w:rFonts w:ascii="Arial" w:hAnsi="Arial" w:cs="Arial"/>
                <w:sz w:val="16"/>
                <w:szCs w:val="16"/>
                <w:lang w:val="pt-BR"/>
              </w:rPr>
            </w:pPr>
            <w:r>
              <w:rPr>
                <w:rFonts w:ascii="Arial" w:hAnsi="Arial" w:cs="Arial"/>
                <w:sz w:val="16"/>
                <w:szCs w:val="16"/>
                <w:lang w:val="pt-BR"/>
              </w:rPr>
              <w:t>Yes</w:t>
            </w:r>
          </w:p>
          <w:p w14:paraId="71AF2930"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All states and territories (APPD 2011)</w:t>
            </w:r>
          </w:p>
        </w:tc>
        <w:tc>
          <w:tcPr>
            <w:tcW w:w="2537" w:type="dxa"/>
            <w:tcBorders>
              <w:left w:val="single" w:sz="2" w:space="0" w:color="999999"/>
              <w:right w:val="single" w:sz="2" w:space="0" w:color="999999"/>
            </w:tcBorders>
            <w:shd w:val="clear" w:color="auto" w:fill="FFFFFF"/>
          </w:tcPr>
          <w:p w14:paraId="67CC1D88"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right w:val="single" w:sz="2" w:space="0" w:color="999999"/>
            </w:tcBorders>
            <w:shd w:val="clear" w:color="auto" w:fill="FFFFFF"/>
          </w:tcPr>
          <w:p w14:paraId="1C95D76E"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tcBorders>
            <w:shd w:val="clear" w:color="auto" w:fill="FFFFFF"/>
          </w:tcPr>
          <w:p w14:paraId="3B765574"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4945F161" w14:textId="77777777">
        <w:trPr>
          <w:cantSplit/>
          <w:trHeight w:val="75"/>
          <w:jc w:val="center"/>
        </w:trPr>
        <w:tc>
          <w:tcPr>
            <w:tcW w:w="3047" w:type="dxa"/>
            <w:gridSpan w:val="2"/>
            <w:tcBorders>
              <w:right w:val="single" w:sz="2" w:space="0" w:color="999999"/>
            </w:tcBorders>
            <w:shd w:val="clear" w:color="auto" w:fill="FFFFFF"/>
          </w:tcPr>
          <w:p w14:paraId="66A87CBD" w14:textId="77777777" w:rsidR="009D3DC8" w:rsidRDefault="009D3DC8">
            <w:pPr>
              <w:pStyle w:val="TableText1"/>
              <w:keepNext w:val="0"/>
              <w:rPr>
                <w:rFonts w:ascii="Arial" w:hAnsi="Arial" w:cs="Arial"/>
                <w:color w:val="auto"/>
                <w:szCs w:val="16"/>
              </w:rPr>
            </w:pPr>
            <w:r>
              <w:rPr>
                <w:rFonts w:ascii="Arial" w:hAnsi="Arial" w:cs="Arial"/>
                <w:i/>
                <w:color w:val="auto"/>
                <w:szCs w:val="16"/>
              </w:rPr>
              <w:t>Tetranychus</w:t>
            </w:r>
            <w:r>
              <w:rPr>
                <w:rFonts w:ascii="Arial" w:hAnsi="Arial" w:cs="Arial"/>
                <w:color w:val="auto"/>
                <w:szCs w:val="16"/>
              </w:rPr>
              <w:t xml:space="preserve"> spp.</w:t>
            </w:r>
          </w:p>
          <w:p w14:paraId="68C63D98" w14:textId="77777777" w:rsidR="009D3DC8" w:rsidRDefault="009D3DC8">
            <w:pPr>
              <w:pStyle w:val="TableText1"/>
              <w:keepNext w:val="0"/>
              <w:rPr>
                <w:rFonts w:ascii="Arial" w:hAnsi="Arial" w:cs="Arial"/>
                <w:color w:val="auto"/>
                <w:szCs w:val="16"/>
              </w:rPr>
            </w:pPr>
            <w:r>
              <w:rPr>
                <w:rFonts w:ascii="Arial" w:hAnsi="Arial" w:cs="Arial"/>
                <w:color w:val="auto"/>
                <w:szCs w:val="16"/>
              </w:rPr>
              <w:t>[Prostigmata: Tetranychidae]</w:t>
            </w:r>
          </w:p>
          <w:p w14:paraId="1835CF61" w14:textId="77777777" w:rsidR="009D3DC8" w:rsidRDefault="009D3DC8">
            <w:pPr>
              <w:pStyle w:val="TableText1"/>
              <w:keepNext w:val="0"/>
              <w:rPr>
                <w:rFonts w:ascii="Arial" w:hAnsi="Arial" w:cs="Arial"/>
                <w:color w:val="auto"/>
                <w:szCs w:val="16"/>
              </w:rPr>
            </w:pPr>
            <w:r>
              <w:rPr>
                <w:rFonts w:ascii="Arial" w:hAnsi="Arial" w:cs="Arial"/>
                <w:color w:val="auto"/>
                <w:szCs w:val="16"/>
              </w:rPr>
              <w:t>Spider mites</w:t>
            </w:r>
          </w:p>
        </w:tc>
        <w:tc>
          <w:tcPr>
            <w:tcW w:w="2146" w:type="dxa"/>
            <w:tcBorders>
              <w:left w:val="single" w:sz="2" w:space="0" w:color="999999"/>
              <w:right w:val="single" w:sz="2" w:space="0" w:color="999999"/>
            </w:tcBorders>
            <w:shd w:val="clear" w:color="auto" w:fill="FFFFFF"/>
          </w:tcPr>
          <w:p w14:paraId="636189F0" w14:textId="77777777" w:rsidR="009D3DC8" w:rsidRDefault="009D3DC8">
            <w:pPr>
              <w:pStyle w:val="TableText1"/>
              <w:rPr>
                <w:rFonts w:ascii="Arial" w:hAnsi="Arial" w:cs="Arial"/>
                <w:color w:val="auto"/>
                <w:szCs w:val="16"/>
                <w:lang w:val="pt-BR"/>
              </w:rPr>
            </w:pPr>
            <w:r>
              <w:rPr>
                <w:rFonts w:ascii="Arial" w:hAnsi="Arial" w:cs="Arial"/>
                <w:color w:val="auto"/>
                <w:szCs w:val="16"/>
                <w:lang w:val="pt-BR"/>
              </w:rPr>
              <w:t>Yes</w:t>
            </w:r>
          </w:p>
          <w:p w14:paraId="2FF5A3E4" w14:textId="77777777" w:rsidR="009D3DC8" w:rsidRDefault="009D3DC8">
            <w:pPr>
              <w:pStyle w:val="TableText1"/>
              <w:rPr>
                <w:rFonts w:ascii="Arial" w:hAnsi="Arial" w:cs="Arial"/>
                <w:color w:val="auto"/>
                <w:szCs w:val="16"/>
                <w:lang w:val="pt-BR"/>
              </w:rPr>
            </w:pPr>
            <w:r>
              <w:rPr>
                <w:rFonts w:ascii="Arial" w:hAnsi="Arial" w:cs="Arial"/>
                <w:color w:val="auto"/>
                <w:szCs w:val="16"/>
                <w:lang w:val="pt-BR"/>
              </w:rPr>
              <w:t>(Waterhouse 1993; Migeon and Dorkeld 2010)</w:t>
            </w:r>
          </w:p>
        </w:tc>
        <w:tc>
          <w:tcPr>
            <w:tcW w:w="2670" w:type="dxa"/>
            <w:tcBorders>
              <w:left w:val="single" w:sz="2" w:space="0" w:color="999999"/>
              <w:right w:val="single" w:sz="2" w:space="0" w:color="999999"/>
            </w:tcBorders>
            <w:shd w:val="clear" w:color="auto" w:fill="FFFFFF"/>
          </w:tcPr>
          <w:p w14:paraId="7D9D244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0860925" w14:textId="77777777" w:rsidR="009D3DC8" w:rsidRDefault="009D3DC8">
            <w:pPr>
              <w:pStyle w:val="TableText1"/>
              <w:keepNext w:val="0"/>
              <w:rPr>
                <w:rFonts w:ascii="Arial" w:hAnsi="Arial" w:cs="Arial"/>
                <w:color w:val="auto"/>
                <w:szCs w:val="16"/>
              </w:rPr>
            </w:pPr>
            <w:r>
              <w:rPr>
                <w:rFonts w:ascii="Arial" w:hAnsi="Arial" w:cs="Arial"/>
                <w:i/>
                <w:color w:val="auto"/>
                <w:szCs w:val="16"/>
              </w:rPr>
              <w:t>Tetranychus</w:t>
            </w:r>
            <w:r>
              <w:rPr>
                <w:rFonts w:ascii="Arial" w:hAnsi="Arial" w:cs="Arial"/>
                <w:color w:val="auto"/>
                <w:szCs w:val="16"/>
              </w:rPr>
              <w:t xml:space="preserve"> spp. can attack flowers and feed on fruit surfaces, leaving fruit unsuitable for export (Yaacob and Tindall 1995).</w:t>
            </w:r>
          </w:p>
        </w:tc>
        <w:tc>
          <w:tcPr>
            <w:tcW w:w="2007" w:type="dxa"/>
            <w:tcBorders>
              <w:left w:val="single" w:sz="2" w:space="0" w:color="999999"/>
              <w:right w:val="single" w:sz="2" w:space="0" w:color="999999"/>
            </w:tcBorders>
            <w:shd w:val="clear" w:color="auto" w:fill="FFFFFF"/>
          </w:tcPr>
          <w:p w14:paraId="01199767"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 xml:space="preserve">Many species of the genus </w:t>
            </w:r>
            <w:r>
              <w:rPr>
                <w:rFonts w:ascii="Arial" w:hAnsi="Arial" w:cs="Arial"/>
                <w:i/>
                <w:color w:val="auto"/>
                <w:szCs w:val="16"/>
                <w:lang w:val="pt-BR"/>
              </w:rPr>
              <w:t xml:space="preserve">Tetranychus </w:t>
            </w:r>
            <w:r>
              <w:rPr>
                <w:rFonts w:ascii="Arial" w:hAnsi="Arial" w:cs="Arial"/>
                <w:color w:val="auto"/>
                <w:szCs w:val="16"/>
                <w:lang w:val="pt-BR"/>
              </w:rPr>
              <w:t>are present in Australia. However, there are also many species that are absent from Australia.</w:t>
            </w:r>
          </w:p>
        </w:tc>
        <w:tc>
          <w:tcPr>
            <w:tcW w:w="2537" w:type="dxa"/>
            <w:tcBorders>
              <w:left w:val="single" w:sz="2" w:space="0" w:color="999999"/>
              <w:right w:val="single" w:sz="2" w:space="0" w:color="999999"/>
            </w:tcBorders>
            <w:shd w:val="clear" w:color="auto" w:fill="FFFFFF"/>
          </w:tcPr>
          <w:p w14:paraId="4DD1FE6B"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C1A2AF6"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 xml:space="preserve">Spider mites have well developed dispersal mechanisms that enable their populations to spread and exploit a wide range of host plants over large areas (Godfrey 2011). For example, </w:t>
            </w:r>
            <w:r>
              <w:rPr>
                <w:rFonts w:ascii="Arial" w:hAnsi="Arial" w:cs="Arial"/>
                <w:i/>
                <w:color w:val="auto"/>
                <w:szCs w:val="16"/>
                <w:lang w:val="pt-BR"/>
              </w:rPr>
              <w:t xml:space="preserve">T. kanzawai </w:t>
            </w:r>
            <w:r>
              <w:rPr>
                <w:rFonts w:ascii="Arial" w:hAnsi="Arial" w:cs="Arial"/>
                <w:color w:val="auto"/>
                <w:szCs w:val="16"/>
                <w:lang w:val="pt-BR"/>
              </w:rPr>
              <w:t>has been introduced and established in Queensland.</w:t>
            </w:r>
          </w:p>
        </w:tc>
        <w:tc>
          <w:tcPr>
            <w:tcW w:w="2270" w:type="dxa"/>
            <w:gridSpan w:val="2"/>
            <w:tcBorders>
              <w:left w:val="single" w:sz="2" w:space="0" w:color="999999"/>
              <w:right w:val="single" w:sz="2" w:space="0" w:color="999999"/>
            </w:tcBorders>
            <w:shd w:val="clear" w:color="auto" w:fill="FFFFFF"/>
          </w:tcPr>
          <w:p w14:paraId="62EEE75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22F16B6" w14:textId="77777777" w:rsidR="009D3DC8" w:rsidRDefault="009D3DC8">
            <w:pPr>
              <w:pStyle w:val="TableText1"/>
              <w:keepNext w:val="0"/>
              <w:rPr>
                <w:rFonts w:ascii="Arial" w:hAnsi="Arial" w:cs="Arial"/>
                <w:color w:val="auto"/>
                <w:szCs w:val="16"/>
              </w:rPr>
            </w:pPr>
            <w:r>
              <w:rPr>
                <w:rFonts w:ascii="Arial" w:hAnsi="Arial" w:cs="Arial"/>
                <w:i/>
                <w:color w:val="auto"/>
                <w:szCs w:val="16"/>
              </w:rPr>
              <w:t>Tetranychus</w:t>
            </w:r>
            <w:r>
              <w:rPr>
                <w:rFonts w:ascii="Arial" w:hAnsi="Arial" w:cs="Arial"/>
                <w:color w:val="auto"/>
                <w:szCs w:val="16"/>
              </w:rPr>
              <w:t xml:space="preserve"> spp. are polyphagous pests (Bolland</w:t>
            </w:r>
            <w:r>
              <w:rPr>
                <w:rFonts w:ascii="Arial" w:hAnsi="Arial" w:cs="Arial"/>
                <w:i/>
                <w:color w:val="auto"/>
                <w:szCs w:val="16"/>
              </w:rPr>
              <w:t xml:space="preserve"> et al.</w:t>
            </w:r>
            <w:r>
              <w:rPr>
                <w:rFonts w:ascii="Arial" w:hAnsi="Arial" w:cs="Arial"/>
                <w:color w:val="auto"/>
                <w:szCs w:val="16"/>
              </w:rPr>
              <w:t xml:space="preserve"> 1998). Some species, including </w:t>
            </w:r>
            <w:r>
              <w:rPr>
                <w:rFonts w:ascii="Arial" w:hAnsi="Arial" w:cs="Arial"/>
                <w:i/>
                <w:color w:val="auto"/>
                <w:szCs w:val="16"/>
                <w:lang w:val="pt-BR"/>
              </w:rPr>
              <w:t>T. kanzawai</w:t>
            </w:r>
            <w:r>
              <w:rPr>
                <w:rFonts w:ascii="Arial" w:hAnsi="Arial" w:cs="Arial"/>
                <w:color w:val="auto"/>
                <w:szCs w:val="16"/>
              </w:rPr>
              <w:t>, are subject to quarantine measures in many parts of the world (Navajas</w:t>
            </w:r>
            <w:r>
              <w:rPr>
                <w:rFonts w:ascii="Arial" w:hAnsi="Arial" w:cs="Arial"/>
                <w:i/>
                <w:color w:val="auto"/>
                <w:szCs w:val="16"/>
              </w:rPr>
              <w:t xml:space="preserve"> et al.</w:t>
            </w:r>
            <w:r>
              <w:rPr>
                <w:rFonts w:ascii="Arial" w:hAnsi="Arial" w:cs="Arial"/>
                <w:color w:val="auto"/>
                <w:szCs w:val="16"/>
              </w:rPr>
              <w:t xml:space="preserve"> 2001).</w:t>
            </w:r>
          </w:p>
        </w:tc>
        <w:tc>
          <w:tcPr>
            <w:tcW w:w="1163" w:type="dxa"/>
            <w:tcBorders>
              <w:left w:val="single" w:sz="2" w:space="0" w:color="999999"/>
            </w:tcBorders>
            <w:shd w:val="clear" w:color="auto" w:fill="FFFFFF"/>
          </w:tcPr>
          <w:p w14:paraId="6386E68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7F01DBA2" w14:textId="77777777">
        <w:trPr>
          <w:cantSplit/>
          <w:trHeight w:val="75"/>
          <w:jc w:val="center"/>
        </w:trPr>
        <w:tc>
          <w:tcPr>
            <w:tcW w:w="15840" w:type="dxa"/>
            <w:gridSpan w:val="9"/>
            <w:tcBorders>
              <w:bottom w:val="single" w:sz="2" w:space="0" w:color="auto"/>
            </w:tcBorders>
            <w:shd w:val="clear" w:color="auto" w:fill="E6E6E6"/>
          </w:tcPr>
          <w:p w14:paraId="1B49F327" w14:textId="77777777" w:rsidR="009D3DC8" w:rsidRDefault="009D3DC8">
            <w:pPr>
              <w:pStyle w:val="TableText1"/>
              <w:rPr>
                <w:rFonts w:ascii="Arial" w:hAnsi="Arial" w:cs="Arial"/>
                <w:color w:val="auto"/>
                <w:szCs w:val="16"/>
              </w:rPr>
            </w:pPr>
            <w:r>
              <w:rPr>
                <w:rFonts w:ascii="Arial" w:hAnsi="Arial" w:cs="Arial"/>
                <w:b/>
                <w:color w:val="auto"/>
                <w:szCs w:val="16"/>
              </w:rPr>
              <w:lastRenderedPageBreak/>
              <w:t xml:space="preserve">Order </w:t>
            </w:r>
            <w:r>
              <w:rPr>
                <w:rFonts w:ascii="Arial" w:hAnsi="Arial" w:cs="Arial"/>
                <w:b/>
                <w:color w:val="auto"/>
                <w:szCs w:val="16"/>
                <w:lang w:val="pt-BR"/>
              </w:rPr>
              <w:t>Sarcoptiformes</w:t>
            </w:r>
          </w:p>
        </w:tc>
      </w:tr>
      <w:tr w:rsidR="009D3DC8" w14:paraId="412A6D3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553C619" w14:textId="77777777" w:rsidR="009D3DC8" w:rsidRDefault="009D3DC8">
            <w:pPr>
              <w:pStyle w:val="TableText1"/>
              <w:keepNext w:val="0"/>
              <w:rPr>
                <w:rFonts w:ascii="Arial" w:hAnsi="Arial" w:cs="Arial"/>
                <w:color w:val="auto"/>
                <w:szCs w:val="16"/>
              </w:rPr>
            </w:pPr>
            <w:r>
              <w:rPr>
                <w:rFonts w:ascii="Arial" w:hAnsi="Arial" w:cs="Arial"/>
                <w:i/>
                <w:color w:val="auto"/>
                <w:szCs w:val="16"/>
              </w:rPr>
              <w:t>Afronothrus incisivus</w:t>
            </w:r>
            <w:r>
              <w:rPr>
                <w:rFonts w:ascii="Arial" w:hAnsi="Arial" w:cs="Arial"/>
                <w:color w:val="auto"/>
                <w:szCs w:val="16"/>
              </w:rPr>
              <w:t xml:space="preserve"> Wallwork, 1961</w:t>
            </w:r>
          </w:p>
          <w:p w14:paraId="79E3647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[Sarcoptiformes: Trhypochthoniidae]</w:t>
            </w:r>
          </w:p>
        </w:tc>
        <w:tc>
          <w:tcPr>
            <w:tcW w:w="2146" w:type="dxa"/>
            <w:tcBorders>
              <w:left w:val="single" w:sz="2" w:space="0" w:color="999999"/>
              <w:bottom w:val="single" w:sz="2" w:space="0" w:color="auto"/>
              <w:right w:val="single" w:sz="2" w:space="0" w:color="999999"/>
            </w:tcBorders>
            <w:shd w:val="clear" w:color="auto" w:fill="FFFFFF"/>
          </w:tcPr>
          <w:p w14:paraId="239198E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3A3729E"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Pantropical distribution (Subías 2004)</w:t>
            </w:r>
          </w:p>
        </w:tc>
        <w:tc>
          <w:tcPr>
            <w:tcW w:w="2670" w:type="dxa"/>
            <w:tcBorders>
              <w:left w:val="single" w:sz="2" w:space="0" w:color="999999"/>
              <w:bottom w:val="single" w:sz="2" w:space="0" w:color="auto"/>
              <w:right w:val="single" w:sz="2" w:space="0" w:color="999999"/>
            </w:tcBorders>
            <w:shd w:val="clear" w:color="auto" w:fill="FFFFFF"/>
          </w:tcPr>
          <w:p w14:paraId="5070E0A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5683F6A" w14:textId="77777777" w:rsidR="009D3DC8" w:rsidRDefault="009D3DC8">
            <w:pPr>
              <w:pStyle w:val="TableText1"/>
              <w:keepNext w:val="0"/>
              <w:rPr>
                <w:rFonts w:ascii="Arial" w:hAnsi="Arial" w:cs="Arial"/>
                <w:color w:val="auto"/>
                <w:szCs w:val="16"/>
              </w:rPr>
            </w:pPr>
            <w:r>
              <w:rPr>
                <w:rFonts w:ascii="Arial" w:hAnsi="Arial" w:cs="Arial"/>
                <w:color w:val="auto"/>
                <w:szCs w:val="16"/>
              </w:rPr>
              <w:t>Intercepted in Australia on fresh mangosteen fruit from Thailand.</w:t>
            </w:r>
          </w:p>
        </w:tc>
        <w:tc>
          <w:tcPr>
            <w:tcW w:w="2007" w:type="dxa"/>
            <w:tcBorders>
              <w:left w:val="single" w:sz="2" w:space="0" w:color="999999"/>
              <w:bottom w:val="single" w:sz="2" w:space="0" w:color="auto"/>
              <w:right w:val="single" w:sz="2" w:space="0" w:color="999999"/>
            </w:tcBorders>
            <w:shd w:val="clear" w:color="auto" w:fill="FFFFFF"/>
          </w:tcPr>
          <w:p w14:paraId="5B5594E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D3F5CFA"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(Wang</w:t>
            </w:r>
            <w:r>
              <w:rPr>
                <w:rFonts w:ascii="Arial" w:hAnsi="Arial" w:cs="Arial"/>
                <w:i/>
                <w:color w:val="auto"/>
                <w:szCs w:val="16"/>
                <w:lang w:val="pt-BR"/>
              </w:rPr>
              <w:t xml:space="preserve"> et al.</w:t>
            </w:r>
            <w:r>
              <w:rPr>
                <w:rFonts w:ascii="Arial" w:hAnsi="Arial" w:cs="Arial"/>
                <w:color w:val="auto"/>
                <w:szCs w:val="16"/>
                <w:lang w:val="pt-BR"/>
              </w:rPr>
              <w:t xml:space="preserve"> 1999; Schatz 2006)</w:t>
            </w:r>
          </w:p>
        </w:tc>
        <w:tc>
          <w:tcPr>
            <w:tcW w:w="2537" w:type="dxa"/>
            <w:tcBorders>
              <w:left w:val="single" w:sz="2" w:space="0" w:color="999999"/>
              <w:bottom w:val="single" w:sz="2" w:space="0" w:color="auto"/>
              <w:right w:val="single" w:sz="2" w:space="0" w:color="999999"/>
            </w:tcBorders>
            <w:shd w:val="clear" w:color="auto" w:fill="FFFFFF"/>
          </w:tcPr>
          <w:p w14:paraId="02DEDFF4"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3B42544E"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7AA904CF"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0E9F92B7"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3ABAB2C" w14:textId="77777777" w:rsidR="009D3DC8" w:rsidRDefault="009D3DC8">
            <w:pPr>
              <w:pStyle w:val="TableText1"/>
              <w:keepNext w:val="0"/>
              <w:rPr>
                <w:rFonts w:ascii="Arial" w:hAnsi="Arial" w:cs="Arial"/>
                <w:color w:val="auto"/>
                <w:szCs w:val="16"/>
              </w:rPr>
            </w:pPr>
            <w:r>
              <w:rPr>
                <w:rFonts w:ascii="Arial" w:hAnsi="Arial" w:cs="Arial"/>
                <w:i/>
                <w:color w:val="auto"/>
                <w:szCs w:val="16"/>
              </w:rPr>
              <w:t>Tyrophagus javensis</w:t>
            </w:r>
            <w:r>
              <w:rPr>
                <w:rFonts w:ascii="Arial" w:hAnsi="Arial" w:cs="Arial"/>
                <w:color w:val="auto"/>
                <w:szCs w:val="16"/>
              </w:rPr>
              <w:t xml:space="preserve"> (Oudemans, 1916)</w:t>
            </w:r>
          </w:p>
          <w:p w14:paraId="3BD27D91" w14:textId="77777777" w:rsidR="009D3DC8" w:rsidRDefault="009D3DC8">
            <w:pPr>
              <w:pStyle w:val="TableText1"/>
              <w:keepNext w:val="0"/>
              <w:rPr>
                <w:rFonts w:ascii="Arial" w:hAnsi="Arial" w:cs="Arial"/>
                <w:color w:val="auto"/>
                <w:szCs w:val="16"/>
              </w:rPr>
            </w:pPr>
            <w:r>
              <w:rPr>
                <w:rFonts w:ascii="Arial" w:hAnsi="Arial" w:cs="Arial"/>
                <w:color w:val="auto"/>
                <w:szCs w:val="16"/>
              </w:rPr>
              <w:t>[Sarcoptiformes: Acaridae]</w:t>
            </w:r>
          </w:p>
          <w:p w14:paraId="1528019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Mould mite</w:t>
            </w:r>
          </w:p>
        </w:tc>
        <w:tc>
          <w:tcPr>
            <w:tcW w:w="2146" w:type="dxa"/>
            <w:tcBorders>
              <w:left w:val="single" w:sz="2" w:space="0" w:color="999999"/>
              <w:bottom w:val="single" w:sz="2" w:space="0" w:color="auto"/>
              <w:right w:val="single" w:sz="2" w:space="0" w:color="999999"/>
            </w:tcBorders>
            <w:shd w:val="clear" w:color="auto" w:fill="FFFFFF"/>
          </w:tcPr>
          <w:p w14:paraId="3AD0BBA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4BB639B"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(Fan and Zhang 2007)</w:t>
            </w:r>
          </w:p>
        </w:tc>
        <w:tc>
          <w:tcPr>
            <w:tcW w:w="2670" w:type="dxa"/>
            <w:tcBorders>
              <w:left w:val="single" w:sz="2" w:space="0" w:color="999999"/>
              <w:bottom w:val="single" w:sz="2" w:space="0" w:color="auto"/>
              <w:right w:val="single" w:sz="2" w:space="0" w:color="999999"/>
            </w:tcBorders>
            <w:shd w:val="clear" w:color="auto" w:fill="FFFFFF"/>
          </w:tcPr>
          <w:p w14:paraId="53E93A2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567D18A"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Intercepted</w:t>
            </w:r>
            <w:r>
              <w:rPr>
                <w:rFonts w:ascii="Arial" w:hAnsi="Arial" w:cs="Arial"/>
                <w:color w:val="auto"/>
                <w:szCs w:val="16"/>
              </w:rPr>
              <w:t xml:space="preserve"> in Australia on fresh mangosteen fruit from Thailand.</w:t>
            </w:r>
          </w:p>
        </w:tc>
        <w:tc>
          <w:tcPr>
            <w:tcW w:w="2007" w:type="dxa"/>
            <w:tcBorders>
              <w:left w:val="single" w:sz="2" w:space="0" w:color="999999"/>
              <w:bottom w:val="single" w:sz="2" w:space="0" w:color="auto"/>
              <w:right w:val="single" w:sz="2" w:space="0" w:color="999999"/>
            </w:tcBorders>
            <w:shd w:val="clear" w:color="auto" w:fill="FFFFFF"/>
          </w:tcPr>
          <w:p w14:paraId="6ADE74E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3376641"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(Fan and Zhang 2007)</w:t>
            </w:r>
          </w:p>
        </w:tc>
        <w:tc>
          <w:tcPr>
            <w:tcW w:w="2537" w:type="dxa"/>
            <w:tcBorders>
              <w:left w:val="single" w:sz="2" w:space="0" w:color="999999"/>
              <w:bottom w:val="single" w:sz="2" w:space="0" w:color="auto"/>
              <w:right w:val="single" w:sz="2" w:space="0" w:color="999999"/>
            </w:tcBorders>
            <w:shd w:val="clear" w:color="auto" w:fill="FFFFFF"/>
          </w:tcPr>
          <w:p w14:paraId="2F5ACF90"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9D99C35"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3C4A6F60"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7EC641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ACC2BFB" w14:textId="77777777" w:rsidR="009D3DC8" w:rsidRDefault="009D3DC8">
            <w:pPr>
              <w:pStyle w:val="TableText1"/>
              <w:keepNext w:val="0"/>
              <w:rPr>
                <w:rFonts w:ascii="Arial" w:hAnsi="Arial" w:cs="Arial"/>
                <w:color w:val="auto"/>
                <w:szCs w:val="16"/>
                <w:lang w:val="pt-BR"/>
              </w:rPr>
            </w:pPr>
            <w:r>
              <w:rPr>
                <w:rFonts w:ascii="Arial" w:hAnsi="Arial" w:cs="Arial"/>
                <w:i/>
                <w:color w:val="auto"/>
                <w:szCs w:val="16"/>
                <w:lang w:val="pt-BR"/>
              </w:rPr>
              <w:t xml:space="preserve">Tyrophagus putrescentiae </w:t>
            </w:r>
            <w:r>
              <w:rPr>
                <w:rFonts w:ascii="Arial" w:hAnsi="Arial" w:cs="Arial"/>
                <w:color w:val="auto"/>
                <w:szCs w:val="16"/>
                <w:lang w:val="pt-BR"/>
              </w:rPr>
              <w:t>(Schrank, 1781)</w:t>
            </w:r>
          </w:p>
          <w:p w14:paraId="25C00A30"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[Sarcoptiformes: Acaridae]</w:t>
            </w:r>
          </w:p>
          <w:p w14:paraId="53538A4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lang w:val="pt-BR"/>
              </w:rPr>
              <w:t>Mould mite</w:t>
            </w:r>
          </w:p>
        </w:tc>
        <w:tc>
          <w:tcPr>
            <w:tcW w:w="2146" w:type="dxa"/>
            <w:tcBorders>
              <w:left w:val="single" w:sz="2" w:space="0" w:color="999999"/>
              <w:bottom w:val="single" w:sz="2" w:space="0" w:color="auto"/>
              <w:right w:val="single" w:sz="2" w:space="0" w:color="999999"/>
            </w:tcBorders>
            <w:shd w:val="clear" w:color="auto" w:fill="FFFFFF"/>
          </w:tcPr>
          <w:p w14:paraId="46ECEAD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9FAD9AF" w14:textId="77777777" w:rsidR="009D3DC8" w:rsidRDefault="009D3DC8">
            <w:pPr>
              <w:pStyle w:val="TableText1"/>
              <w:keepNext w:val="0"/>
              <w:rPr>
                <w:rFonts w:ascii="Arial" w:hAnsi="Arial" w:cs="Arial"/>
                <w:color w:val="auto"/>
                <w:szCs w:val="16"/>
              </w:rPr>
            </w:pPr>
            <w:r>
              <w:rPr>
                <w:rFonts w:ascii="Arial" w:hAnsi="Arial" w:cs="Arial"/>
                <w:color w:val="auto"/>
                <w:szCs w:val="16"/>
              </w:rPr>
              <w:t>(Mueller</w:t>
            </w:r>
            <w:r>
              <w:rPr>
                <w:rFonts w:ascii="Arial" w:hAnsi="Arial" w:cs="Arial"/>
                <w:i/>
                <w:color w:val="auto"/>
                <w:szCs w:val="16"/>
              </w:rPr>
              <w:t xml:space="preserve"> et al.</w:t>
            </w:r>
            <w:r>
              <w:rPr>
                <w:rFonts w:ascii="Arial" w:hAnsi="Arial" w:cs="Arial"/>
                <w:color w:val="auto"/>
                <w:szCs w:val="16"/>
              </w:rPr>
              <w:t xml:space="preserve"> 2006)</w:t>
            </w:r>
          </w:p>
        </w:tc>
        <w:tc>
          <w:tcPr>
            <w:tcW w:w="2670" w:type="dxa"/>
            <w:tcBorders>
              <w:left w:val="single" w:sz="2" w:space="0" w:color="999999"/>
              <w:bottom w:val="single" w:sz="2" w:space="0" w:color="auto"/>
              <w:right w:val="single" w:sz="2" w:space="0" w:color="999999"/>
            </w:tcBorders>
            <w:shd w:val="clear" w:color="auto" w:fill="FFFFFF"/>
          </w:tcPr>
          <w:p w14:paraId="777DC74B"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F537558"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Intercepted</w:t>
            </w:r>
            <w:r>
              <w:rPr>
                <w:rFonts w:ascii="Arial" w:hAnsi="Arial" w:cs="Arial"/>
                <w:color w:val="auto"/>
                <w:szCs w:val="16"/>
              </w:rPr>
              <w:t xml:space="preserve"> in Australia on fresh mangosteen fruit from Thailand.</w:t>
            </w:r>
          </w:p>
        </w:tc>
        <w:tc>
          <w:tcPr>
            <w:tcW w:w="2007" w:type="dxa"/>
            <w:tcBorders>
              <w:left w:val="single" w:sz="2" w:space="0" w:color="999999"/>
              <w:bottom w:val="single" w:sz="2" w:space="0" w:color="auto"/>
              <w:right w:val="single" w:sz="2" w:space="0" w:color="999999"/>
            </w:tcBorders>
            <w:shd w:val="clear" w:color="auto" w:fill="FFFFFF"/>
          </w:tcPr>
          <w:p w14:paraId="2FC9766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ED11C0C"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(Fan and Zhang 2007)</w:t>
            </w:r>
          </w:p>
        </w:tc>
        <w:tc>
          <w:tcPr>
            <w:tcW w:w="2537" w:type="dxa"/>
            <w:tcBorders>
              <w:left w:val="single" w:sz="2" w:space="0" w:color="999999"/>
              <w:bottom w:val="single" w:sz="2" w:space="0" w:color="auto"/>
              <w:right w:val="single" w:sz="2" w:space="0" w:color="999999"/>
            </w:tcBorders>
            <w:shd w:val="clear" w:color="auto" w:fill="FFFFFF"/>
          </w:tcPr>
          <w:p w14:paraId="172DDA25"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516727D"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59331653"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4526B64D" w14:textId="77777777">
        <w:trPr>
          <w:cantSplit/>
          <w:trHeight w:val="75"/>
          <w:jc w:val="center"/>
        </w:trPr>
        <w:tc>
          <w:tcPr>
            <w:tcW w:w="15840" w:type="dxa"/>
            <w:gridSpan w:val="9"/>
            <w:shd w:val="clear" w:color="auto" w:fill="E0E0E0"/>
          </w:tcPr>
          <w:p w14:paraId="62C89C72" w14:textId="77777777" w:rsidR="009D3DC8" w:rsidRDefault="009D3DC8">
            <w:pPr>
              <w:pStyle w:val="TableText1"/>
              <w:rPr>
                <w:rFonts w:ascii="Arial" w:hAnsi="Arial" w:cs="Arial"/>
                <w:color w:val="auto"/>
                <w:szCs w:val="16"/>
              </w:rPr>
            </w:pPr>
            <w:r>
              <w:rPr>
                <w:rFonts w:ascii="Arial" w:hAnsi="Arial" w:cs="Arial"/>
                <w:b/>
                <w:color w:val="auto"/>
                <w:szCs w:val="16"/>
              </w:rPr>
              <w:t>ARTHROPODA: Insecta</w:t>
            </w:r>
          </w:p>
        </w:tc>
      </w:tr>
      <w:tr w:rsidR="009D3DC8" w14:paraId="3D8DC270" w14:textId="77777777">
        <w:trPr>
          <w:cantSplit/>
          <w:trHeight w:val="75"/>
          <w:jc w:val="center"/>
        </w:trPr>
        <w:tc>
          <w:tcPr>
            <w:tcW w:w="15840" w:type="dxa"/>
            <w:gridSpan w:val="9"/>
            <w:tcBorders>
              <w:bottom w:val="single" w:sz="2" w:space="0" w:color="auto"/>
            </w:tcBorders>
            <w:shd w:val="clear" w:color="auto" w:fill="E6E6E6"/>
          </w:tcPr>
          <w:p w14:paraId="792C8F98" w14:textId="77777777" w:rsidR="009D3DC8" w:rsidRDefault="009D3DC8">
            <w:pPr>
              <w:pStyle w:val="TableText1"/>
              <w:rPr>
                <w:rFonts w:ascii="Arial" w:hAnsi="Arial" w:cs="Arial"/>
                <w:b/>
                <w:color w:val="auto"/>
                <w:szCs w:val="16"/>
              </w:rPr>
            </w:pPr>
            <w:r>
              <w:rPr>
                <w:rFonts w:ascii="Arial" w:hAnsi="Arial" w:cs="Arial"/>
                <w:b/>
                <w:color w:val="auto"/>
                <w:szCs w:val="16"/>
              </w:rPr>
              <w:t>Order Coleoptera</w:t>
            </w:r>
          </w:p>
        </w:tc>
      </w:tr>
      <w:tr w:rsidR="009D3DC8" w14:paraId="2C92DE21" w14:textId="77777777">
        <w:trPr>
          <w:cantSplit/>
          <w:trHeight w:val="75"/>
          <w:jc w:val="center"/>
        </w:trPr>
        <w:tc>
          <w:tcPr>
            <w:tcW w:w="3047" w:type="dxa"/>
            <w:gridSpan w:val="2"/>
            <w:tcBorders>
              <w:right w:val="single" w:sz="2" w:space="0" w:color="999999"/>
            </w:tcBorders>
            <w:shd w:val="clear" w:color="auto" w:fill="FFFFFF"/>
          </w:tcPr>
          <w:p w14:paraId="02692539" w14:textId="77777777" w:rsidR="009D3DC8" w:rsidRDefault="009D3DC8">
            <w:pPr>
              <w:pStyle w:val="TableText1"/>
              <w:keepNext w:val="0"/>
              <w:rPr>
                <w:rFonts w:ascii="Arial" w:hAnsi="Arial" w:cs="Arial"/>
                <w:color w:val="auto"/>
                <w:szCs w:val="16"/>
              </w:rPr>
            </w:pPr>
            <w:r>
              <w:rPr>
                <w:rFonts w:ascii="Arial" w:hAnsi="Arial" w:cs="Arial"/>
                <w:i/>
                <w:color w:val="auto"/>
                <w:szCs w:val="16"/>
              </w:rPr>
              <w:t xml:space="preserve">Carpophilus dimidiatus </w:t>
            </w:r>
            <w:r>
              <w:rPr>
                <w:rFonts w:ascii="Arial" w:hAnsi="Arial" w:cs="Arial"/>
                <w:color w:val="auto"/>
                <w:szCs w:val="16"/>
              </w:rPr>
              <w:t>(Fabricius, 1792)</w:t>
            </w:r>
          </w:p>
          <w:p w14:paraId="16C5A9B7" w14:textId="77777777" w:rsidR="009D3DC8" w:rsidRDefault="009D3DC8">
            <w:pPr>
              <w:pStyle w:val="TableText1"/>
              <w:keepNext w:val="0"/>
              <w:rPr>
                <w:rFonts w:ascii="Arial" w:hAnsi="Arial" w:cs="Arial"/>
                <w:color w:val="auto"/>
                <w:szCs w:val="16"/>
              </w:rPr>
            </w:pPr>
            <w:r>
              <w:rPr>
                <w:rFonts w:ascii="Arial" w:hAnsi="Arial" w:cs="Arial"/>
                <w:color w:val="auto"/>
                <w:szCs w:val="16"/>
              </w:rPr>
              <w:t>[Coleoptera: Nitidulidae]</w:t>
            </w:r>
          </w:p>
          <w:p w14:paraId="380C9931"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Corn</w:t>
            </w:r>
            <w:r>
              <w:rPr>
                <w:rFonts w:ascii="Arial" w:hAnsi="Arial" w:cs="Arial"/>
                <w:color w:val="auto"/>
                <w:szCs w:val="16"/>
              </w:rPr>
              <w:noBreakHyphen/>
              <w:t>sap beetle</w:t>
            </w:r>
          </w:p>
        </w:tc>
        <w:tc>
          <w:tcPr>
            <w:tcW w:w="2146" w:type="dxa"/>
            <w:tcBorders>
              <w:left w:val="single" w:sz="2" w:space="0" w:color="999999"/>
              <w:right w:val="single" w:sz="2" w:space="0" w:color="999999"/>
            </w:tcBorders>
            <w:shd w:val="clear" w:color="auto" w:fill="FFFFFF"/>
          </w:tcPr>
          <w:p w14:paraId="565DB0C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352F903" w14:textId="77777777" w:rsidR="009D3DC8" w:rsidRDefault="009D3DC8">
            <w:pPr>
              <w:pStyle w:val="TableText1"/>
              <w:keepNext w:val="0"/>
              <w:rPr>
                <w:rFonts w:ascii="Arial" w:hAnsi="Arial" w:cs="Arial"/>
                <w:color w:val="auto"/>
                <w:szCs w:val="16"/>
              </w:rPr>
            </w:pPr>
            <w:r>
              <w:rPr>
                <w:rFonts w:ascii="Arial" w:hAnsi="Arial" w:cs="Arial"/>
                <w:color w:val="auto"/>
                <w:szCs w:val="16"/>
              </w:rPr>
              <w:t>(Soekarna and Kilin 1981; CABI 2011)</w:t>
            </w:r>
          </w:p>
        </w:tc>
        <w:tc>
          <w:tcPr>
            <w:tcW w:w="2670" w:type="dxa"/>
            <w:tcBorders>
              <w:left w:val="single" w:sz="2" w:space="0" w:color="999999"/>
              <w:right w:val="single" w:sz="2" w:space="0" w:color="999999"/>
            </w:tcBorders>
            <w:shd w:val="clear" w:color="auto" w:fill="FFFFFF"/>
          </w:tcPr>
          <w:p w14:paraId="0127CF9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F52C198" w14:textId="77777777" w:rsidR="009D3DC8" w:rsidRDefault="009D3DC8">
            <w:pPr>
              <w:pStyle w:val="TableText1"/>
              <w:keepNext w:val="0"/>
              <w:rPr>
                <w:rFonts w:ascii="Arial" w:hAnsi="Arial" w:cs="Arial"/>
                <w:color w:val="auto"/>
                <w:szCs w:val="16"/>
              </w:rPr>
            </w:pPr>
            <w:r>
              <w:rPr>
                <w:rFonts w:ascii="Arial" w:hAnsi="Arial" w:cs="Arial"/>
                <w:color w:val="auto"/>
                <w:szCs w:val="16"/>
              </w:rPr>
              <w:t>Associated with mangosteen (Yunus and Ho 1980). External feeder on the fruit of hosts (CABI 2011).</w:t>
            </w:r>
          </w:p>
        </w:tc>
        <w:tc>
          <w:tcPr>
            <w:tcW w:w="2007" w:type="dxa"/>
            <w:tcBorders>
              <w:left w:val="single" w:sz="2" w:space="0" w:color="999999"/>
              <w:right w:val="single" w:sz="2" w:space="0" w:color="999999"/>
            </w:tcBorders>
            <w:shd w:val="clear" w:color="auto" w:fill="FFFFFF"/>
          </w:tcPr>
          <w:p w14:paraId="54D9CED8"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2E105C4"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All states and territories (CSIRO 2005; APPD 2011)</w:t>
            </w:r>
          </w:p>
        </w:tc>
        <w:tc>
          <w:tcPr>
            <w:tcW w:w="2537" w:type="dxa"/>
            <w:tcBorders>
              <w:left w:val="single" w:sz="2" w:space="0" w:color="999999"/>
              <w:right w:val="single" w:sz="2" w:space="0" w:color="999999"/>
            </w:tcBorders>
            <w:shd w:val="clear" w:color="auto" w:fill="FFFFFF"/>
          </w:tcPr>
          <w:p w14:paraId="4DA70D1D"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right w:val="single" w:sz="2" w:space="0" w:color="999999"/>
            </w:tcBorders>
            <w:shd w:val="clear" w:color="auto" w:fill="FFFFFF"/>
          </w:tcPr>
          <w:p w14:paraId="1CAEF45E"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tcBorders>
            <w:shd w:val="clear" w:color="auto" w:fill="FFFFFF"/>
          </w:tcPr>
          <w:p w14:paraId="7EE18406"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59A2AE37" w14:textId="77777777">
        <w:trPr>
          <w:cantSplit/>
          <w:trHeight w:val="75"/>
          <w:jc w:val="center"/>
        </w:trPr>
        <w:tc>
          <w:tcPr>
            <w:tcW w:w="3047" w:type="dxa"/>
            <w:gridSpan w:val="2"/>
            <w:tcBorders>
              <w:right w:val="single" w:sz="2" w:space="0" w:color="999999"/>
            </w:tcBorders>
            <w:shd w:val="clear" w:color="auto" w:fill="FFFFFF"/>
          </w:tcPr>
          <w:p w14:paraId="19606CE2" w14:textId="77777777" w:rsidR="009D3DC8" w:rsidRDefault="009D3DC8">
            <w:pPr>
              <w:pStyle w:val="TableText"/>
              <w:spacing w:line="240" w:lineRule="auto"/>
              <w:rPr>
                <w:rFonts w:cs="Arial"/>
                <w:szCs w:val="16"/>
              </w:rPr>
            </w:pPr>
            <w:r>
              <w:rPr>
                <w:rFonts w:cs="Arial"/>
                <w:i/>
                <w:szCs w:val="16"/>
              </w:rPr>
              <w:t xml:space="preserve">Curculio </w:t>
            </w:r>
            <w:r>
              <w:rPr>
                <w:rFonts w:cs="Arial"/>
                <w:szCs w:val="16"/>
              </w:rPr>
              <w:t>sp.</w:t>
            </w:r>
          </w:p>
          <w:p w14:paraId="233DEC3A" w14:textId="77777777" w:rsidR="009D3DC8" w:rsidRDefault="009D3DC8">
            <w:pPr>
              <w:pStyle w:val="TableText"/>
              <w:spacing w:line="240" w:lineRule="auto"/>
              <w:rPr>
                <w:rFonts w:cs="Arial"/>
                <w:szCs w:val="16"/>
              </w:rPr>
            </w:pPr>
            <w:r>
              <w:rPr>
                <w:rFonts w:cs="Arial"/>
                <w:szCs w:val="16"/>
              </w:rPr>
              <w:t>[Coleoptera: Curculionidae]</w:t>
            </w:r>
          </w:p>
          <w:p w14:paraId="199C238C" w14:textId="77777777" w:rsidR="009D3DC8" w:rsidRDefault="009D3DC8">
            <w:pPr>
              <w:spacing w:before="60" w:after="60" w:line="240" w:lineRule="auto"/>
              <w:rPr>
                <w:rFonts w:ascii="Arial" w:hAnsi="Arial" w:cs="Arial"/>
                <w:sz w:val="16"/>
                <w:szCs w:val="16"/>
              </w:rPr>
            </w:pPr>
            <w:r>
              <w:rPr>
                <w:rFonts w:ascii="Arial" w:hAnsi="Arial" w:cs="Arial"/>
                <w:sz w:val="16"/>
                <w:szCs w:val="16"/>
              </w:rPr>
              <w:t>Nut weevils</w:t>
            </w:r>
          </w:p>
        </w:tc>
        <w:tc>
          <w:tcPr>
            <w:tcW w:w="2146" w:type="dxa"/>
            <w:tcBorders>
              <w:left w:val="single" w:sz="2" w:space="0" w:color="999999"/>
              <w:right w:val="single" w:sz="2" w:space="0" w:color="999999"/>
            </w:tcBorders>
            <w:shd w:val="clear" w:color="auto" w:fill="FFFFFF"/>
          </w:tcPr>
          <w:p w14:paraId="160C675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4E6026B" w14:textId="77777777" w:rsidR="009D3DC8" w:rsidRDefault="009D3DC8">
            <w:pPr>
              <w:pStyle w:val="TableText1"/>
              <w:keepNext w:val="0"/>
              <w:rPr>
                <w:rFonts w:ascii="Arial" w:hAnsi="Arial" w:cs="Arial"/>
                <w:color w:val="auto"/>
                <w:szCs w:val="16"/>
              </w:rPr>
            </w:pPr>
            <w:r>
              <w:rPr>
                <w:rFonts w:ascii="Arial" w:hAnsi="Arial" w:cs="Arial"/>
                <w:color w:val="auto"/>
                <w:szCs w:val="16"/>
              </w:rPr>
              <w:t>(Kalshoven 1981)</w:t>
            </w:r>
          </w:p>
        </w:tc>
        <w:tc>
          <w:tcPr>
            <w:tcW w:w="2670" w:type="dxa"/>
            <w:tcBorders>
              <w:left w:val="single" w:sz="2" w:space="0" w:color="999999"/>
              <w:right w:val="single" w:sz="2" w:space="0" w:color="999999"/>
            </w:tcBorders>
            <w:shd w:val="clear" w:color="auto" w:fill="FFFFFF"/>
          </w:tcPr>
          <w:p w14:paraId="36F7C67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A84DBC1" w14:textId="77777777" w:rsidR="009D3DC8" w:rsidRDefault="009D3DC8">
            <w:pPr>
              <w:spacing w:before="60" w:after="60" w:line="240" w:lineRule="auto"/>
              <w:rPr>
                <w:rFonts w:ascii="Arial" w:hAnsi="Arial" w:cs="Arial"/>
                <w:sz w:val="16"/>
                <w:szCs w:val="16"/>
              </w:rPr>
            </w:pPr>
            <w:r>
              <w:rPr>
                <w:rFonts w:ascii="Arial" w:hAnsi="Arial" w:cs="Arial"/>
                <w:i/>
                <w:sz w:val="16"/>
                <w:szCs w:val="16"/>
              </w:rPr>
              <w:t xml:space="preserve">Curculio </w:t>
            </w:r>
            <w:r>
              <w:rPr>
                <w:rFonts w:ascii="Arial" w:hAnsi="Arial" w:cs="Arial"/>
                <w:sz w:val="16"/>
                <w:szCs w:val="16"/>
              </w:rPr>
              <w:t xml:space="preserve">fruit borers can infest mangosteen fruits and seeds. The larvae attack mangosteen fruit from the mature to ripe stages, and eat the mesocarp, aril and seed (Osman and Milan 2006). </w:t>
            </w:r>
          </w:p>
        </w:tc>
        <w:tc>
          <w:tcPr>
            <w:tcW w:w="2007" w:type="dxa"/>
            <w:tcBorders>
              <w:left w:val="single" w:sz="2" w:space="0" w:color="999999"/>
              <w:right w:val="single" w:sz="2" w:space="0" w:color="999999"/>
            </w:tcBorders>
            <w:shd w:val="clear" w:color="auto" w:fill="FFFFFF"/>
          </w:tcPr>
          <w:p w14:paraId="35EF5ADF"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Species of </w:t>
            </w:r>
            <w:r>
              <w:rPr>
                <w:rFonts w:ascii="Arial" w:hAnsi="Arial" w:cs="Arial"/>
                <w:i/>
                <w:sz w:val="16"/>
                <w:szCs w:val="16"/>
              </w:rPr>
              <w:t>Curculio</w:t>
            </w:r>
            <w:r>
              <w:rPr>
                <w:rFonts w:ascii="Arial" w:hAnsi="Arial" w:cs="Arial"/>
                <w:sz w:val="16"/>
                <w:szCs w:val="16"/>
              </w:rPr>
              <w:t xml:space="preserve"> are recorded in Australia (APPD 2011). However, the species assemblage may differ from that in Indonesia. </w:t>
            </w:r>
          </w:p>
        </w:tc>
        <w:tc>
          <w:tcPr>
            <w:tcW w:w="2537" w:type="dxa"/>
            <w:tcBorders>
              <w:left w:val="single" w:sz="2" w:space="0" w:color="999999"/>
              <w:right w:val="single" w:sz="2" w:space="0" w:color="999999"/>
            </w:tcBorders>
            <w:shd w:val="clear" w:color="auto" w:fill="FFFFFF"/>
          </w:tcPr>
          <w:p w14:paraId="3A7DFC1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E3D11D1" w14:textId="77777777" w:rsidR="009D3DC8" w:rsidRDefault="009D3DC8">
            <w:pPr>
              <w:pStyle w:val="TableText1"/>
              <w:keepNext w:val="0"/>
              <w:rPr>
                <w:rFonts w:ascii="Arial" w:hAnsi="Arial" w:cs="Arial"/>
                <w:color w:val="auto"/>
                <w:szCs w:val="16"/>
                <w:highlight w:val="yellow"/>
              </w:rPr>
            </w:pPr>
            <w:r>
              <w:rPr>
                <w:rFonts w:ascii="Arial" w:hAnsi="Arial" w:cs="Arial"/>
                <w:color w:val="auto"/>
                <w:szCs w:val="16"/>
              </w:rPr>
              <w:t>Mangosteens are grown in Australia and could serve as a host.</w:t>
            </w:r>
          </w:p>
        </w:tc>
        <w:tc>
          <w:tcPr>
            <w:tcW w:w="2270" w:type="dxa"/>
            <w:gridSpan w:val="2"/>
            <w:tcBorders>
              <w:left w:val="single" w:sz="2" w:space="0" w:color="999999"/>
              <w:right w:val="single" w:sz="2" w:space="0" w:color="999999"/>
            </w:tcBorders>
            <w:shd w:val="clear" w:color="auto" w:fill="FFFFFF"/>
          </w:tcPr>
          <w:p w14:paraId="57E1446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8094C0C" w14:textId="77777777" w:rsidR="009D3DC8" w:rsidRDefault="009D3DC8">
            <w:pPr>
              <w:pStyle w:val="TableText1"/>
              <w:rPr>
                <w:rFonts w:ascii="Arial" w:hAnsi="Arial" w:cs="Arial"/>
                <w:color w:val="auto"/>
                <w:szCs w:val="16"/>
              </w:rPr>
            </w:pPr>
            <w:r>
              <w:rPr>
                <w:rFonts w:ascii="Arial" w:hAnsi="Arial" w:cs="Arial"/>
                <w:i/>
                <w:color w:val="auto"/>
                <w:szCs w:val="16"/>
              </w:rPr>
              <w:t xml:space="preserve">Curculio </w:t>
            </w:r>
            <w:r>
              <w:rPr>
                <w:rFonts w:ascii="Arial" w:hAnsi="Arial" w:cs="Arial"/>
                <w:color w:val="auto"/>
                <w:szCs w:val="16"/>
              </w:rPr>
              <w:t xml:space="preserve">sp. may have potential for economic impact on mangosteen production in Australia. </w:t>
            </w:r>
          </w:p>
          <w:p w14:paraId="17B77082" w14:textId="77777777" w:rsidR="009D3DC8" w:rsidRDefault="009D3DC8">
            <w:pPr>
              <w:pStyle w:val="TableText1"/>
              <w:rPr>
                <w:rFonts w:ascii="Arial" w:hAnsi="Arial" w:cs="Arial"/>
                <w:color w:val="auto"/>
                <w:szCs w:val="16"/>
              </w:rPr>
            </w:pPr>
            <w:r>
              <w:rPr>
                <w:rFonts w:ascii="Arial" w:hAnsi="Arial" w:cs="Arial"/>
                <w:color w:val="auto"/>
                <w:szCs w:val="16"/>
              </w:rPr>
              <w:t>No control recommendations are available beyond destroying all affected fruits to reduce the beetle population in the field (Osman and Milan 2006).</w:t>
            </w:r>
          </w:p>
        </w:tc>
        <w:tc>
          <w:tcPr>
            <w:tcW w:w="1163" w:type="dxa"/>
            <w:tcBorders>
              <w:left w:val="single" w:sz="2" w:space="0" w:color="999999"/>
            </w:tcBorders>
            <w:shd w:val="clear" w:color="auto" w:fill="FFFFFF"/>
          </w:tcPr>
          <w:p w14:paraId="7363E05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1952CDF0" w14:textId="77777777">
        <w:trPr>
          <w:cantSplit/>
          <w:trHeight w:val="75"/>
          <w:jc w:val="center"/>
        </w:trPr>
        <w:tc>
          <w:tcPr>
            <w:tcW w:w="3047" w:type="dxa"/>
            <w:gridSpan w:val="2"/>
            <w:tcBorders>
              <w:right w:val="single" w:sz="2" w:space="0" w:color="999999"/>
            </w:tcBorders>
            <w:shd w:val="clear" w:color="auto" w:fill="FFFFFF"/>
          </w:tcPr>
          <w:p w14:paraId="510265CC" w14:textId="77777777" w:rsidR="009D3DC8" w:rsidRDefault="009D3DC8">
            <w:pPr>
              <w:pStyle w:val="TableText"/>
              <w:spacing w:line="240" w:lineRule="auto"/>
              <w:rPr>
                <w:rFonts w:cs="Arial"/>
                <w:i/>
                <w:szCs w:val="16"/>
              </w:rPr>
            </w:pPr>
            <w:r>
              <w:rPr>
                <w:rFonts w:cs="Arial"/>
                <w:i/>
                <w:szCs w:val="16"/>
              </w:rPr>
              <w:lastRenderedPageBreak/>
              <w:t xml:space="preserve">Endaeus calophylli </w:t>
            </w:r>
            <w:r>
              <w:rPr>
                <w:rFonts w:cs="Arial"/>
                <w:szCs w:val="16"/>
              </w:rPr>
              <w:t>Marshall, G.A.K., 1923</w:t>
            </w:r>
          </w:p>
          <w:p w14:paraId="6408199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[Coleoptera: Curculionidae]</w:t>
            </w:r>
          </w:p>
        </w:tc>
        <w:tc>
          <w:tcPr>
            <w:tcW w:w="2146" w:type="dxa"/>
            <w:tcBorders>
              <w:left w:val="single" w:sz="2" w:space="0" w:color="999999"/>
              <w:right w:val="single" w:sz="2" w:space="0" w:color="999999"/>
            </w:tcBorders>
            <w:shd w:val="clear" w:color="auto" w:fill="FFFFFF"/>
          </w:tcPr>
          <w:p w14:paraId="25CA0DC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37F1196" w14:textId="77777777" w:rsidR="009D3DC8" w:rsidRDefault="009D3DC8">
            <w:pPr>
              <w:pStyle w:val="TableText1"/>
              <w:keepNext w:val="0"/>
              <w:rPr>
                <w:rFonts w:ascii="Arial" w:hAnsi="Arial" w:cs="Arial"/>
                <w:color w:val="auto"/>
                <w:szCs w:val="16"/>
              </w:rPr>
            </w:pPr>
            <w:r>
              <w:rPr>
                <w:rFonts w:ascii="Arial" w:hAnsi="Arial" w:cs="Arial"/>
                <w:color w:val="auto"/>
                <w:szCs w:val="16"/>
              </w:rPr>
              <w:t>(Marshall 1923)</w:t>
            </w:r>
          </w:p>
        </w:tc>
        <w:tc>
          <w:tcPr>
            <w:tcW w:w="2670" w:type="dxa"/>
            <w:tcBorders>
              <w:left w:val="single" w:sz="2" w:space="0" w:color="999999"/>
              <w:right w:val="single" w:sz="2" w:space="0" w:color="999999"/>
            </w:tcBorders>
            <w:shd w:val="clear" w:color="auto" w:fill="FFFFFF"/>
          </w:tcPr>
          <w:p w14:paraId="4CD28B39"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4433DA7B" w14:textId="77777777" w:rsidR="009D3DC8" w:rsidRDefault="009D3DC8">
            <w:pPr>
              <w:spacing w:before="60" w:after="60" w:line="240" w:lineRule="auto"/>
              <w:rPr>
                <w:rFonts w:ascii="Arial" w:hAnsi="Arial" w:cs="Arial"/>
                <w:sz w:val="16"/>
                <w:szCs w:val="16"/>
              </w:rPr>
            </w:pPr>
            <w:r>
              <w:rPr>
                <w:rFonts w:ascii="Arial" w:hAnsi="Arial" w:cs="Arial"/>
                <w:sz w:val="16"/>
                <w:szCs w:val="16"/>
              </w:rPr>
              <w:t>Feeds on mangosteen leaves and twigs (Yunus and Ho 1980).</w:t>
            </w:r>
          </w:p>
        </w:tc>
        <w:tc>
          <w:tcPr>
            <w:tcW w:w="2007" w:type="dxa"/>
            <w:tcBorders>
              <w:left w:val="single" w:sz="2" w:space="0" w:color="999999"/>
              <w:right w:val="single" w:sz="2" w:space="0" w:color="999999"/>
            </w:tcBorders>
            <w:shd w:val="clear" w:color="auto" w:fill="FFFFFF"/>
          </w:tcPr>
          <w:p w14:paraId="1451732F"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right w:val="single" w:sz="2" w:space="0" w:color="999999"/>
            </w:tcBorders>
            <w:shd w:val="clear" w:color="auto" w:fill="FFFFFF"/>
          </w:tcPr>
          <w:p w14:paraId="13BC8507"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right w:val="single" w:sz="2" w:space="0" w:color="999999"/>
            </w:tcBorders>
            <w:shd w:val="clear" w:color="auto" w:fill="FFFFFF"/>
          </w:tcPr>
          <w:p w14:paraId="424824CD"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tcBorders>
            <w:shd w:val="clear" w:color="auto" w:fill="FFFFFF"/>
          </w:tcPr>
          <w:p w14:paraId="64B89C58"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5C5352EF" w14:textId="77777777">
        <w:trPr>
          <w:cantSplit/>
          <w:trHeight w:val="75"/>
          <w:jc w:val="center"/>
        </w:trPr>
        <w:tc>
          <w:tcPr>
            <w:tcW w:w="3047" w:type="dxa"/>
            <w:gridSpan w:val="2"/>
            <w:tcBorders>
              <w:right w:val="single" w:sz="2" w:space="0" w:color="999999"/>
            </w:tcBorders>
            <w:shd w:val="clear" w:color="auto" w:fill="FFFFFF"/>
          </w:tcPr>
          <w:p w14:paraId="18B32E3B" w14:textId="77777777" w:rsidR="009D3DC8" w:rsidRDefault="009D3DC8">
            <w:pPr>
              <w:pStyle w:val="TableText"/>
              <w:spacing w:line="240" w:lineRule="auto"/>
              <w:rPr>
                <w:rFonts w:cs="Arial"/>
                <w:szCs w:val="16"/>
              </w:rPr>
            </w:pPr>
            <w:r>
              <w:rPr>
                <w:rFonts w:cs="Arial"/>
                <w:i/>
                <w:szCs w:val="16"/>
              </w:rPr>
              <w:t>Hypothenemus hampei</w:t>
            </w:r>
            <w:r>
              <w:rPr>
                <w:rFonts w:cs="Arial"/>
                <w:szCs w:val="16"/>
              </w:rPr>
              <w:t xml:space="preserve"> (Ferrari, 1867)</w:t>
            </w:r>
          </w:p>
          <w:p w14:paraId="2D015032" w14:textId="77777777" w:rsidR="009D3DC8" w:rsidRDefault="009D3DC8">
            <w:pPr>
              <w:pStyle w:val="TableText"/>
              <w:spacing w:line="240" w:lineRule="auto"/>
              <w:rPr>
                <w:rFonts w:cs="Arial"/>
                <w:szCs w:val="16"/>
              </w:rPr>
            </w:pPr>
            <w:r>
              <w:rPr>
                <w:rFonts w:cs="Arial"/>
                <w:szCs w:val="16"/>
              </w:rPr>
              <w:t>[Coleoptera: Curculionidae]</w:t>
            </w:r>
          </w:p>
          <w:p w14:paraId="266E61F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Coffee berry borer</w:t>
            </w:r>
          </w:p>
        </w:tc>
        <w:tc>
          <w:tcPr>
            <w:tcW w:w="2146" w:type="dxa"/>
            <w:tcBorders>
              <w:left w:val="single" w:sz="2" w:space="0" w:color="999999"/>
              <w:right w:val="single" w:sz="2" w:space="0" w:color="999999"/>
            </w:tcBorders>
            <w:shd w:val="clear" w:color="auto" w:fill="FFFFFF"/>
          </w:tcPr>
          <w:p w14:paraId="73AFEA8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3EC47184" w14:textId="77777777" w:rsidR="009D3DC8" w:rsidRDefault="009D3DC8">
            <w:pPr>
              <w:spacing w:before="60" w:after="60" w:line="240" w:lineRule="auto"/>
              <w:rPr>
                <w:rFonts w:ascii="Arial" w:hAnsi="Arial" w:cs="Arial"/>
                <w:sz w:val="16"/>
                <w:szCs w:val="16"/>
              </w:rPr>
            </w:pPr>
            <w:r>
              <w:rPr>
                <w:rFonts w:ascii="Arial" w:hAnsi="Arial" w:cs="Arial"/>
                <w:sz w:val="16"/>
                <w:szCs w:val="16"/>
              </w:rPr>
              <w:t>(Waterhouse 1993)</w:t>
            </w:r>
          </w:p>
        </w:tc>
        <w:tc>
          <w:tcPr>
            <w:tcW w:w="2670" w:type="dxa"/>
            <w:tcBorders>
              <w:left w:val="single" w:sz="2" w:space="0" w:color="999999"/>
              <w:right w:val="single" w:sz="2" w:space="0" w:color="999999"/>
            </w:tcBorders>
            <w:shd w:val="clear" w:color="auto" w:fill="FFFFFF"/>
          </w:tcPr>
          <w:p w14:paraId="1143AB33"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6C0B79A0"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One published recorded on mangosteen flowers, as </w:t>
            </w:r>
            <w:r>
              <w:rPr>
                <w:rFonts w:ascii="Arial" w:hAnsi="Arial" w:cs="Arial"/>
                <w:i/>
                <w:sz w:val="16"/>
                <w:szCs w:val="16"/>
              </w:rPr>
              <w:t>Cryphalus hampei</w:t>
            </w:r>
            <w:r>
              <w:rPr>
                <w:rFonts w:ascii="Arial" w:hAnsi="Arial" w:cs="Arial"/>
                <w:sz w:val="16"/>
                <w:szCs w:val="16"/>
              </w:rPr>
              <w:t xml:space="preserve"> (Yunus and Ho 1980). No record of association with mangosteen fruit. </w:t>
            </w:r>
          </w:p>
        </w:tc>
        <w:tc>
          <w:tcPr>
            <w:tcW w:w="2007" w:type="dxa"/>
            <w:tcBorders>
              <w:left w:val="single" w:sz="2" w:space="0" w:color="999999"/>
              <w:right w:val="single" w:sz="2" w:space="0" w:color="999999"/>
            </w:tcBorders>
            <w:shd w:val="clear" w:color="auto" w:fill="FFFFFF"/>
          </w:tcPr>
          <w:p w14:paraId="0F45CE83"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right w:val="single" w:sz="2" w:space="0" w:color="999999"/>
            </w:tcBorders>
            <w:shd w:val="clear" w:color="auto" w:fill="FFFFFF"/>
          </w:tcPr>
          <w:p w14:paraId="041033E9"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right w:val="single" w:sz="2" w:space="0" w:color="999999"/>
            </w:tcBorders>
            <w:shd w:val="clear" w:color="auto" w:fill="FFFFFF"/>
          </w:tcPr>
          <w:p w14:paraId="7CA42D95"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tcBorders>
            <w:shd w:val="clear" w:color="auto" w:fill="FFFFFF"/>
          </w:tcPr>
          <w:p w14:paraId="4175B952"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7401CB65" w14:textId="77777777">
        <w:trPr>
          <w:cantSplit/>
          <w:trHeight w:val="75"/>
          <w:jc w:val="center"/>
        </w:trPr>
        <w:tc>
          <w:tcPr>
            <w:tcW w:w="3047" w:type="dxa"/>
            <w:gridSpan w:val="2"/>
            <w:tcBorders>
              <w:right w:val="single" w:sz="2" w:space="0" w:color="999999"/>
            </w:tcBorders>
            <w:shd w:val="clear" w:color="auto" w:fill="FFFFFF"/>
          </w:tcPr>
          <w:p w14:paraId="03A173FE" w14:textId="77777777" w:rsidR="009D3DC8" w:rsidRDefault="009D3DC8">
            <w:pPr>
              <w:pStyle w:val="TableText"/>
              <w:spacing w:line="240" w:lineRule="auto"/>
              <w:rPr>
                <w:rFonts w:cs="Arial"/>
                <w:szCs w:val="16"/>
              </w:rPr>
            </w:pPr>
            <w:r>
              <w:rPr>
                <w:rFonts w:cs="Arial"/>
                <w:i/>
                <w:szCs w:val="16"/>
              </w:rPr>
              <w:t xml:space="preserve">Nodina fulvitarsis </w:t>
            </w:r>
            <w:r>
              <w:rPr>
                <w:rFonts w:cs="Arial"/>
                <w:szCs w:val="16"/>
              </w:rPr>
              <w:t>Jacoby, 1896</w:t>
            </w:r>
          </w:p>
          <w:p w14:paraId="63EB9097"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[Coleoptera: Chrysomelidae]</w:t>
            </w:r>
          </w:p>
        </w:tc>
        <w:tc>
          <w:tcPr>
            <w:tcW w:w="2146" w:type="dxa"/>
            <w:tcBorders>
              <w:left w:val="single" w:sz="2" w:space="0" w:color="999999"/>
              <w:right w:val="single" w:sz="2" w:space="0" w:color="999999"/>
            </w:tcBorders>
            <w:shd w:val="clear" w:color="auto" w:fill="FFFFFF"/>
          </w:tcPr>
          <w:p w14:paraId="5F16EF5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0DE88119" w14:textId="77777777" w:rsidR="009D3DC8" w:rsidRDefault="009D3DC8">
            <w:pPr>
              <w:spacing w:before="60" w:after="60" w:line="240" w:lineRule="auto"/>
              <w:rPr>
                <w:rFonts w:ascii="Arial" w:hAnsi="Arial" w:cs="Arial"/>
                <w:sz w:val="16"/>
                <w:szCs w:val="16"/>
              </w:rPr>
            </w:pPr>
            <w:r>
              <w:rPr>
                <w:rFonts w:ascii="Arial" w:hAnsi="Arial" w:cs="Arial"/>
                <w:sz w:val="16"/>
                <w:szCs w:val="16"/>
              </w:rPr>
              <w:t>(Jacoby 1896)</w:t>
            </w:r>
          </w:p>
        </w:tc>
        <w:tc>
          <w:tcPr>
            <w:tcW w:w="2670" w:type="dxa"/>
            <w:tcBorders>
              <w:left w:val="single" w:sz="2" w:space="0" w:color="999999"/>
              <w:right w:val="single" w:sz="2" w:space="0" w:color="999999"/>
            </w:tcBorders>
            <w:shd w:val="clear" w:color="auto" w:fill="FFFFFF"/>
          </w:tcPr>
          <w:p w14:paraId="2BAD612B"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3575743B" w14:textId="77777777" w:rsidR="009D3DC8" w:rsidRDefault="009D3DC8">
            <w:pPr>
              <w:spacing w:before="60" w:after="60" w:line="240" w:lineRule="auto"/>
              <w:rPr>
                <w:rFonts w:ascii="Arial" w:hAnsi="Arial" w:cs="Arial"/>
                <w:sz w:val="16"/>
                <w:szCs w:val="16"/>
              </w:rPr>
            </w:pPr>
            <w:r>
              <w:rPr>
                <w:rFonts w:ascii="Arial" w:hAnsi="Arial" w:cs="Arial"/>
                <w:sz w:val="16"/>
                <w:szCs w:val="16"/>
              </w:rPr>
              <w:t>Recorded on mangosteen flowers (Yunus and Ho 1980). No record of association with mangosteen fruit.</w:t>
            </w:r>
          </w:p>
        </w:tc>
        <w:tc>
          <w:tcPr>
            <w:tcW w:w="2007" w:type="dxa"/>
            <w:tcBorders>
              <w:left w:val="single" w:sz="2" w:space="0" w:color="999999"/>
              <w:right w:val="single" w:sz="2" w:space="0" w:color="999999"/>
            </w:tcBorders>
            <w:shd w:val="clear" w:color="auto" w:fill="FFFFFF"/>
          </w:tcPr>
          <w:p w14:paraId="75F8CB74"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right w:val="single" w:sz="2" w:space="0" w:color="999999"/>
            </w:tcBorders>
            <w:shd w:val="clear" w:color="auto" w:fill="FFFFFF"/>
          </w:tcPr>
          <w:p w14:paraId="64A2210B"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2270" w:type="dxa"/>
            <w:gridSpan w:val="2"/>
            <w:tcBorders>
              <w:left w:val="single" w:sz="2" w:space="0" w:color="999999"/>
              <w:right w:val="single" w:sz="2" w:space="0" w:color="999999"/>
            </w:tcBorders>
            <w:shd w:val="clear" w:color="auto" w:fill="FFFFFF"/>
          </w:tcPr>
          <w:p w14:paraId="3ADA7F3C"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1163" w:type="dxa"/>
            <w:tcBorders>
              <w:left w:val="single" w:sz="2" w:space="0" w:color="999999"/>
            </w:tcBorders>
            <w:shd w:val="clear" w:color="auto" w:fill="FFFFFF"/>
          </w:tcPr>
          <w:p w14:paraId="6B4FEB46"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36D0BDDB" w14:textId="77777777">
        <w:trPr>
          <w:cantSplit/>
          <w:trHeight w:val="75"/>
          <w:jc w:val="center"/>
        </w:trPr>
        <w:tc>
          <w:tcPr>
            <w:tcW w:w="3047" w:type="dxa"/>
            <w:gridSpan w:val="2"/>
            <w:tcBorders>
              <w:right w:val="single" w:sz="2" w:space="0" w:color="999999"/>
            </w:tcBorders>
            <w:shd w:val="clear" w:color="auto" w:fill="FFFFFF"/>
          </w:tcPr>
          <w:p w14:paraId="03E4E259" w14:textId="77777777" w:rsidR="009D3DC8" w:rsidRDefault="009D3DC8">
            <w:pPr>
              <w:pStyle w:val="TableText"/>
              <w:spacing w:line="240" w:lineRule="auto"/>
              <w:rPr>
                <w:rFonts w:cs="Arial"/>
                <w:szCs w:val="16"/>
              </w:rPr>
            </w:pPr>
            <w:r>
              <w:rPr>
                <w:rFonts w:cs="Arial"/>
                <w:i/>
                <w:szCs w:val="16"/>
              </w:rPr>
              <w:t xml:space="preserve">Xylosandrus compactus </w:t>
            </w:r>
            <w:r>
              <w:rPr>
                <w:rFonts w:cs="Arial"/>
                <w:szCs w:val="16"/>
              </w:rPr>
              <w:t>(Eichhoff, 1875)</w:t>
            </w:r>
          </w:p>
          <w:p w14:paraId="7ECC1F29" w14:textId="77777777" w:rsidR="009D3DC8" w:rsidRDefault="009D3DC8">
            <w:pPr>
              <w:pStyle w:val="TableText1"/>
              <w:keepNext w:val="0"/>
              <w:rPr>
                <w:rFonts w:ascii="Arial" w:hAnsi="Arial" w:cs="Arial"/>
                <w:color w:val="auto"/>
                <w:szCs w:val="16"/>
              </w:rPr>
            </w:pPr>
            <w:r>
              <w:rPr>
                <w:rFonts w:ascii="Arial" w:hAnsi="Arial" w:cs="Arial"/>
                <w:color w:val="auto"/>
                <w:szCs w:val="16"/>
              </w:rPr>
              <w:t>[Coleoptera: Scolytidae]</w:t>
            </w:r>
          </w:p>
          <w:p w14:paraId="77D455E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Shot-hole borer</w:t>
            </w:r>
          </w:p>
        </w:tc>
        <w:tc>
          <w:tcPr>
            <w:tcW w:w="2146" w:type="dxa"/>
            <w:tcBorders>
              <w:left w:val="single" w:sz="2" w:space="0" w:color="999999"/>
              <w:right w:val="single" w:sz="2" w:space="0" w:color="999999"/>
            </w:tcBorders>
            <w:shd w:val="clear" w:color="auto" w:fill="FFFFFF"/>
          </w:tcPr>
          <w:p w14:paraId="27EFD82F"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37453A26" w14:textId="77777777" w:rsidR="009D3DC8" w:rsidRDefault="009D3DC8">
            <w:pPr>
              <w:spacing w:before="60" w:after="60" w:line="240" w:lineRule="auto"/>
              <w:rPr>
                <w:rFonts w:ascii="Arial" w:hAnsi="Arial" w:cs="Arial"/>
                <w:sz w:val="16"/>
                <w:szCs w:val="16"/>
              </w:rPr>
            </w:pPr>
            <w:r>
              <w:rPr>
                <w:rFonts w:ascii="Arial" w:hAnsi="Arial" w:cs="Arial"/>
                <w:sz w:val="16"/>
                <w:szCs w:val="16"/>
              </w:rPr>
              <w:t>(CABI 2011)</w:t>
            </w:r>
          </w:p>
        </w:tc>
        <w:tc>
          <w:tcPr>
            <w:tcW w:w="2670" w:type="dxa"/>
            <w:tcBorders>
              <w:left w:val="single" w:sz="2" w:space="0" w:color="999999"/>
              <w:right w:val="single" w:sz="2" w:space="0" w:color="999999"/>
            </w:tcBorders>
            <w:shd w:val="clear" w:color="auto" w:fill="FFFFFF"/>
          </w:tcPr>
          <w:p w14:paraId="75D48AAF"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75D95554" w14:textId="77777777" w:rsidR="009D3DC8" w:rsidRDefault="009D3DC8">
            <w:pPr>
              <w:spacing w:before="60" w:after="60" w:line="240" w:lineRule="auto"/>
              <w:rPr>
                <w:rFonts w:ascii="Arial" w:hAnsi="Arial" w:cs="Arial"/>
                <w:sz w:val="16"/>
                <w:szCs w:val="16"/>
              </w:rPr>
            </w:pPr>
            <w:r>
              <w:rPr>
                <w:rFonts w:ascii="Arial" w:hAnsi="Arial" w:cs="Arial"/>
                <w:sz w:val="16"/>
                <w:szCs w:val="16"/>
              </w:rPr>
              <w:t>Associated with mangosteen in Hawaii. The beetles attack the stems of host plants (USDA-APHIS 2006).</w:t>
            </w:r>
          </w:p>
        </w:tc>
        <w:tc>
          <w:tcPr>
            <w:tcW w:w="2007" w:type="dxa"/>
            <w:tcBorders>
              <w:left w:val="single" w:sz="2" w:space="0" w:color="999999"/>
              <w:right w:val="single" w:sz="2" w:space="0" w:color="999999"/>
            </w:tcBorders>
            <w:shd w:val="clear" w:color="auto" w:fill="FFFFFF"/>
          </w:tcPr>
          <w:p w14:paraId="2DAB7E2A"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right w:val="single" w:sz="2" w:space="0" w:color="999999"/>
            </w:tcBorders>
            <w:shd w:val="clear" w:color="auto" w:fill="FFFFFF"/>
          </w:tcPr>
          <w:p w14:paraId="2713D478"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right w:val="single" w:sz="2" w:space="0" w:color="999999"/>
            </w:tcBorders>
            <w:shd w:val="clear" w:color="auto" w:fill="FFFFFF"/>
          </w:tcPr>
          <w:p w14:paraId="3ECAD6D0"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tcBorders>
            <w:shd w:val="clear" w:color="auto" w:fill="FFFFFF"/>
          </w:tcPr>
          <w:p w14:paraId="069FAD87"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66CE0967" w14:textId="77777777">
        <w:trPr>
          <w:cantSplit/>
          <w:trHeight w:val="75"/>
          <w:jc w:val="center"/>
        </w:trPr>
        <w:tc>
          <w:tcPr>
            <w:tcW w:w="15840" w:type="dxa"/>
            <w:gridSpan w:val="9"/>
            <w:tcBorders>
              <w:bottom w:val="single" w:sz="2" w:space="0" w:color="auto"/>
            </w:tcBorders>
            <w:shd w:val="clear" w:color="auto" w:fill="E6E6E6"/>
          </w:tcPr>
          <w:p w14:paraId="01103BAD" w14:textId="77777777" w:rsidR="009D3DC8" w:rsidRDefault="009D3DC8">
            <w:pPr>
              <w:pStyle w:val="TableText1"/>
              <w:rPr>
                <w:rFonts w:ascii="Arial" w:hAnsi="Arial" w:cs="Arial"/>
                <w:color w:val="auto"/>
                <w:szCs w:val="16"/>
              </w:rPr>
            </w:pPr>
            <w:r>
              <w:rPr>
                <w:rFonts w:ascii="Arial" w:hAnsi="Arial" w:cs="Arial"/>
                <w:b/>
                <w:color w:val="auto"/>
                <w:szCs w:val="16"/>
              </w:rPr>
              <w:t>Order Diptera</w:t>
            </w:r>
          </w:p>
        </w:tc>
      </w:tr>
      <w:tr w:rsidR="009D3DC8" w14:paraId="2D1ECC91"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94B9F0C" w14:textId="77777777" w:rsidR="009D3DC8" w:rsidRDefault="009D3DC8">
            <w:pPr>
              <w:pStyle w:val="TableText"/>
              <w:spacing w:line="240" w:lineRule="auto"/>
              <w:rPr>
                <w:rFonts w:cs="Arial"/>
                <w:szCs w:val="16"/>
              </w:rPr>
            </w:pPr>
            <w:r>
              <w:rPr>
                <w:rFonts w:cs="Arial"/>
                <w:i/>
                <w:szCs w:val="16"/>
              </w:rPr>
              <w:t>Bactrocera carambolae</w:t>
            </w:r>
            <w:r>
              <w:rPr>
                <w:rFonts w:cs="Arial"/>
                <w:szCs w:val="16"/>
              </w:rPr>
              <w:t xml:space="preserve"> Drew &amp; Hancock, 1994</w:t>
            </w:r>
          </w:p>
          <w:p w14:paraId="35213A25" w14:textId="77777777" w:rsidR="009D3DC8" w:rsidRDefault="009D3DC8">
            <w:pPr>
              <w:pStyle w:val="TableText"/>
              <w:spacing w:line="240" w:lineRule="auto"/>
              <w:rPr>
                <w:rFonts w:cs="Arial"/>
                <w:szCs w:val="16"/>
              </w:rPr>
            </w:pPr>
            <w:r>
              <w:rPr>
                <w:rFonts w:cs="Arial"/>
                <w:szCs w:val="16"/>
              </w:rPr>
              <w:t>[Diptera: Tephritidae]</w:t>
            </w:r>
          </w:p>
          <w:p w14:paraId="56C06C6A" w14:textId="77777777" w:rsidR="009D3DC8" w:rsidRDefault="009D3DC8">
            <w:pPr>
              <w:pStyle w:val="TableText1"/>
              <w:keepNext w:val="0"/>
              <w:rPr>
                <w:rFonts w:ascii="Arial" w:hAnsi="Arial" w:cs="Arial"/>
                <w:color w:val="auto"/>
                <w:szCs w:val="16"/>
                <w:highlight w:val="yellow"/>
                <w:u w:val="single"/>
                <w:lang w:val="en-US"/>
              </w:rPr>
            </w:pPr>
            <w:r>
              <w:rPr>
                <w:rFonts w:ascii="Arial" w:hAnsi="Arial" w:cs="Arial"/>
                <w:color w:val="auto"/>
                <w:szCs w:val="16"/>
              </w:rPr>
              <w:t>Carambola fruit fly</w:t>
            </w:r>
          </w:p>
        </w:tc>
        <w:tc>
          <w:tcPr>
            <w:tcW w:w="2146" w:type="dxa"/>
            <w:tcBorders>
              <w:left w:val="single" w:sz="2" w:space="0" w:color="999999"/>
              <w:bottom w:val="single" w:sz="2" w:space="0" w:color="auto"/>
              <w:right w:val="single" w:sz="2" w:space="0" w:color="999999"/>
            </w:tcBorders>
            <w:shd w:val="clear" w:color="auto" w:fill="FFFFFF"/>
          </w:tcPr>
          <w:p w14:paraId="2F0C099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BD86241" w14:textId="77777777" w:rsidR="009D3DC8" w:rsidRDefault="009D3DC8">
            <w:pPr>
              <w:spacing w:before="60" w:after="60" w:line="240" w:lineRule="auto"/>
              <w:rPr>
                <w:rFonts w:ascii="Arial" w:hAnsi="Arial" w:cs="Arial"/>
                <w:sz w:val="16"/>
                <w:szCs w:val="16"/>
              </w:rPr>
            </w:pPr>
            <w:r>
              <w:rPr>
                <w:rFonts w:ascii="Arial" w:hAnsi="Arial" w:cs="Arial"/>
                <w:sz w:val="16"/>
                <w:szCs w:val="16"/>
              </w:rPr>
              <w:t>(Drew and Hancock 1994)</w:t>
            </w:r>
          </w:p>
        </w:tc>
        <w:tc>
          <w:tcPr>
            <w:tcW w:w="2670" w:type="dxa"/>
            <w:tcBorders>
              <w:left w:val="single" w:sz="2" w:space="0" w:color="999999"/>
              <w:bottom w:val="single" w:sz="2" w:space="0" w:color="auto"/>
              <w:right w:val="single" w:sz="2" w:space="0" w:color="999999"/>
            </w:tcBorders>
            <w:shd w:val="clear" w:color="auto" w:fill="FFFFFF"/>
          </w:tcPr>
          <w:p w14:paraId="373E629B"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F59AC0C"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Infestation of mangosteen fruit by </w:t>
            </w:r>
            <w:r>
              <w:rPr>
                <w:rFonts w:ascii="Arial" w:hAnsi="Arial" w:cs="Arial"/>
                <w:i/>
                <w:sz w:val="16"/>
                <w:szCs w:val="16"/>
              </w:rPr>
              <w:t xml:space="preserve">B. carambolae </w:t>
            </w:r>
            <w:r>
              <w:rPr>
                <w:rFonts w:ascii="Arial" w:hAnsi="Arial" w:cs="Arial"/>
                <w:sz w:val="16"/>
                <w:szCs w:val="16"/>
              </w:rPr>
              <w:t>has been recorded once (Allwood</w:t>
            </w:r>
            <w:r>
              <w:rPr>
                <w:rFonts w:ascii="Arial" w:hAnsi="Arial" w:cs="Arial"/>
                <w:i/>
                <w:sz w:val="16"/>
                <w:szCs w:val="16"/>
              </w:rPr>
              <w:t xml:space="preserve"> et al.</w:t>
            </w:r>
            <w:r>
              <w:rPr>
                <w:rFonts w:ascii="Arial" w:hAnsi="Arial" w:cs="Arial"/>
                <w:sz w:val="16"/>
                <w:szCs w:val="16"/>
              </w:rPr>
              <w:t xml:space="preserve"> 1999). Intact unbroken fruit is unlikely to host fruit flies due to its thick skin. However, any damaged fruit may host fruit flies.</w:t>
            </w:r>
          </w:p>
        </w:tc>
        <w:tc>
          <w:tcPr>
            <w:tcW w:w="2007" w:type="dxa"/>
            <w:tcBorders>
              <w:left w:val="single" w:sz="2" w:space="0" w:color="999999"/>
              <w:bottom w:val="single" w:sz="2" w:space="0" w:color="auto"/>
              <w:right w:val="single" w:sz="2" w:space="0" w:color="999999"/>
            </w:tcBorders>
            <w:shd w:val="clear" w:color="auto" w:fill="FFFFFF"/>
          </w:tcPr>
          <w:p w14:paraId="5E2A3D19"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No records found </w:t>
            </w:r>
          </w:p>
        </w:tc>
        <w:tc>
          <w:tcPr>
            <w:tcW w:w="2537" w:type="dxa"/>
            <w:tcBorders>
              <w:left w:val="single" w:sz="2" w:space="0" w:color="999999"/>
              <w:bottom w:val="single" w:sz="2" w:space="0" w:color="auto"/>
              <w:right w:val="single" w:sz="2" w:space="0" w:color="999999"/>
            </w:tcBorders>
            <w:shd w:val="clear" w:color="auto" w:fill="FFFFFF"/>
          </w:tcPr>
          <w:p w14:paraId="1576C1E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7FA4C69" w14:textId="77777777" w:rsidR="009D3DC8" w:rsidRDefault="009D3DC8">
            <w:pPr>
              <w:pStyle w:val="TableText1"/>
              <w:keepNext w:val="0"/>
              <w:rPr>
                <w:rFonts w:ascii="Arial" w:hAnsi="Arial" w:cs="Arial"/>
                <w:color w:val="auto"/>
                <w:szCs w:val="16"/>
              </w:rPr>
            </w:pPr>
            <w:r>
              <w:rPr>
                <w:rFonts w:ascii="Arial" w:hAnsi="Arial" w:cs="Arial"/>
                <w:i/>
                <w:color w:val="auto"/>
                <w:szCs w:val="16"/>
              </w:rPr>
              <w:t>B. carambolae</w:t>
            </w:r>
            <w:r>
              <w:rPr>
                <w:rFonts w:ascii="Arial" w:hAnsi="Arial" w:cs="Arial"/>
                <w:color w:val="auto"/>
                <w:szCs w:val="16"/>
              </w:rPr>
              <w:t xml:space="preserve"> has a wide host range (Allwood</w:t>
            </w:r>
            <w:r>
              <w:rPr>
                <w:rFonts w:ascii="Arial" w:hAnsi="Arial" w:cs="Arial"/>
                <w:i/>
                <w:color w:val="auto"/>
                <w:szCs w:val="16"/>
              </w:rPr>
              <w:t xml:space="preserve"> et al.</w:t>
            </w:r>
            <w:r>
              <w:rPr>
                <w:rFonts w:ascii="Arial" w:hAnsi="Arial" w:cs="Arial"/>
                <w:color w:val="auto"/>
                <w:szCs w:val="16"/>
              </w:rPr>
              <w:t xml:space="preserve"> 1999). It is dispersed through infested fruit and adult flight. Adult fruit flies can fly up to 50–100 km (Fletcher 1989).</w:t>
            </w:r>
          </w:p>
        </w:tc>
        <w:tc>
          <w:tcPr>
            <w:tcW w:w="2270" w:type="dxa"/>
            <w:gridSpan w:val="2"/>
            <w:tcBorders>
              <w:left w:val="single" w:sz="2" w:space="0" w:color="999999"/>
              <w:bottom w:val="single" w:sz="2" w:space="0" w:color="auto"/>
              <w:right w:val="single" w:sz="2" w:space="0" w:color="999999"/>
            </w:tcBorders>
            <w:shd w:val="clear" w:color="auto" w:fill="FFFFFF"/>
          </w:tcPr>
          <w:p w14:paraId="28520B2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E836535"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The economic impact to Australia would arise from direct yield losses and quarantine restrictions imposed by important domestic and foreign markets. </w:t>
            </w:r>
          </w:p>
        </w:tc>
        <w:tc>
          <w:tcPr>
            <w:tcW w:w="1163" w:type="dxa"/>
            <w:tcBorders>
              <w:left w:val="single" w:sz="2" w:space="0" w:color="999999"/>
              <w:bottom w:val="single" w:sz="2" w:space="0" w:color="auto"/>
            </w:tcBorders>
            <w:shd w:val="clear" w:color="auto" w:fill="FFFFFF"/>
          </w:tcPr>
          <w:p w14:paraId="41CE945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49694643"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19A982B" w14:textId="77777777" w:rsidR="009D3DC8" w:rsidRDefault="009D3DC8">
            <w:pPr>
              <w:pStyle w:val="TableText"/>
              <w:spacing w:line="240" w:lineRule="auto"/>
              <w:rPr>
                <w:rFonts w:cs="Arial"/>
                <w:szCs w:val="16"/>
              </w:rPr>
            </w:pPr>
            <w:r>
              <w:rPr>
                <w:rFonts w:cs="Arial"/>
                <w:i/>
                <w:szCs w:val="16"/>
              </w:rPr>
              <w:lastRenderedPageBreak/>
              <w:t>Bactrocera dorsalis</w:t>
            </w:r>
            <w:r>
              <w:rPr>
                <w:rFonts w:cs="Arial"/>
                <w:szCs w:val="16"/>
              </w:rPr>
              <w:t xml:space="preserve"> (Hendel, 1912)</w:t>
            </w:r>
          </w:p>
          <w:p w14:paraId="72CC53A7" w14:textId="77777777" w:rsidR="009D3DC8" w:rsidRDefault="009D3DC8">
            <w:pPr>
              <w:pStyle w:val="TableText"/>
              <w:spacing w:line="240" w:lineRule="auto"/>
              <w:rPr>
                <w:rFonts w:cs="Arial"/>
                <w:szCs w:val="16"/>
              </w:rPr>
            </w:pPr>
            <w:r>
              <w:rPr>
                <w:rFonts w:cs="Arial"/>
                <w:szCs w:val="16"/>
              </w:rPr>
              <w:t>[Diptera: Tephritidae]</w:t>
            </w:r>
          </w:p>
          <w:p w14:paraId="23B22A0D"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Oriental fruit fly</w:t>
            </w:r>
          </w:p>
        </w:tc>
        <w:tc>
          <w:tcPr>
            <w:tcW w:w="2146" w:type="dxa"/>
            <w:tcBorders>
              <w:left w:val="single" w:sz="2" w:space="0" w:color="999999"/>
              <w:bottom w:val="single" w:sz="2" w:space="0" w:color="auto"/>
              <w:right w:val="single" w:sz="2" w:space="0" w:color="999999"/>
            </w:tcBorders>
            <w:shd w:val="clear" w:color="auto" w:fill="FFFFFF"/>
          </w:tcPr>
          <w:p w14:paraId="0503FC48" w14:textId="77777777" w:rsidR="009D3DC8" w:rsidRDefault="009D3DC8">
            <w:pPr>
              <w:spacing w:before="60" w:after="60" w:line="240" w:lineRule="auto"/>
              <w:rPr>
                <w:rFonts w:ascii="Arial" w:hAnsi="Arial" w:cs="Arial"/>
                <w:sz w:val="16"/>
                <w:szCs w:val="16"/>
                <w:lang w:val="pt-BR"/>
              </w:rPr>
            </w:pPr>
            <w:r>
              <w:rPr>
                <w:rFonts w:ascii="Arial" w:hAnsi="Arial" w:cs="Arial"/>
                <w:sz w:val="16"/>
                <w:szCs w:val="16"/>
                <w:lang w:val="pt-BR"/>
              </w:rPr>
              <w:t>No</w:t>
            </w:r>
          </w:p>
          <w:p w14:paraId="04F21B8B" w14:textId="77777777" w:rsidR="009D3DC8" w:rsidRDefault="009D3DC8">
            <w:pPr>
              <w:spacing w:before="60" w:after="60" w:line="240" w:lineRule="auto"/>
              <w:rPr>
                <w:rFonts w:ascii="Arial" w:hAnsi="Arial" w:cs="Arial"/>
                <w:sz w:val="16"/>
                <w:szCs w:val="16"/>
                <w:lang w:val="pt-BR"/>
              </w:rPr>
            </w:pPr>
            <w:r>
              <w:rPr>
                <w:rFonts w:ascii="Arial" w:hAnsi="Arial" w:cs="Arial"/>
                <w:sz w:val="16"/>
                <w:szCs w:val="16"/>
                <w:lang w:val="pt-BR"/>
              </w:rPr>
              <w:t xml:space="preserve">While some reports list </w:t>
            </w:r>
            <w:r>
              <w:rPr>
                <w:rFonts w:ascii="Arial" w:hAnsi="Arial" w:cs="Arial"/>
                <w:i/>
                <w:sz w:val="16"/>
                <w:szCs w:val="16"/>
                <w:lang w:val="pt-BR"/>
              </w:rPr>
              <w:t>B. dorsalis</w:t>
            </w:r>
            <w:r>
              <w:rPr>
                <w:rFonts w:ascii="Arial" w:hAnsi="Arial" w:cs="Arial"/>
                <w:sz w:val="16"/>
                <w:szCs w:val="16"/>
                <w:lang w:val="pt-BR"/>
              </w:rPr>
              <w:t xml:space="preserve"> as present in Indonesia, these likely refer to records before the reviews of the </w:t>
            </w:r>
            <w:r>
              <w:rPr>
                <w:rFonts w:ascii="Arial" w:hAnsi="Arial" w:cs="Arial"/>
                <w:i/>
                <w:sz w:val="16"/>
                <w:szCs w:val="16"/>
                <w:lang w:val="pt-BR"/>
              </w:rPr>
              <w:t xml:space="preserve">B. dorsalis </w:t>
            </w:r>
            <w:r>
              <w:rPr>
                <w:rFonts w:ascii="Arial" w:hAnsi="Arial" w:cs="Arial"/>
                <w:sz w:val="16"/>
                <w:szCs w:val="16"/>
                <w:lang w:val="pt-BR"/>
              </w:rPr>
              <w:t xml:space="preserve">species complex. </w:t>
            </w:r>
          </w:p>
          <w:p w14:paraId="57175E9D" w14:textId="77777777" w:rsidR="009D3DC8" w:rsidRDefault="009D3DC8">
            <w:pPr>
              <w:spacing w:before="60" w:after="60" w:line="240" w:lineRule="auto"/>
              <w:rPr>
                <w:rFonts w:ascii="Arial" w:hAnsi="Arial" w:cs="Arial"/>
                <w:sz w:val="16"/>
                <w:szCs w:val="16"/>
              </w:rPr>
            </w:pPr>
            <w:r>
              <w:rPr>
                <w:rFonts w:ascii="Arial" w:hAnsi="Arial" w:cs="Arial"/>
                <w:i/>
                <w:sz w:val="16"/>
                <w:szCs w:val="16"/>
                <w:lang w:val="pt-BR"/>
              </w:rPr>
              <w:t>B. dorsalis sensu stricto</w:t>
            </w:r>
            <w:r>
              <w:rPr>
                <w:rFonts w:ascii="Arial" w:hAnsi="Arial" w:cs="Arial"/>
                <w:sz w:val="16"/>
                <w:szCs w:val="16"/>
                <w:lang w:val="pt-BR"/>
              </w:rPr>
              <w:t xml:space="preserve"> does not appear to be present in Indonesia, while other species within the complex are, including </w:t>
            </w:r>
            <w:r>
              <w:rPr>
                <w:rFonts w:ascii="Arial" w:hAnsi="Arial" w:cs="Arial"/>
                <w:i/>
                <w:sz w:val="16"/>
                <w:szCs w:val="16"/>
                <w:lang w:val="pt-BR"/>
              </w:rPr>
              <w:t>B. carambolae</w:t>
            </w:r>
            <w:r>
              <w:rPr>
                <w:rFonts w:ascii="Arial" w:hAnsi="Arial" w:cs="Arial"/>
                <w:sz w:val="16"/>
                <w:szCs w:val="16"/>
                <w:lang w:val="pt-BR"/>
              </w:rPr>
              <w:t xml:space="preserve"> and </w:t>
            </w:r>
            <w:r>
              <w:rPr>
                <w:rFonts w:ascii="Arial" w:hAnsi="Arial" w:cs="Arial"/>
                <w:i/>
                <w:sz w:val="16"/>
                <w:szCs w:val="16"/>
                <w:lang w:val="pt-BR"/>
              </w:rPr>
              <w:t>B. papayae</w:t>
            </w:r>
            <w:r>
              <w:rPr>
                <w:rFonts w:ascii="Arial" w:hAnsi="Arial" w:cs="Arial"/>
                <w:sz w:val="16"/>
                <w:szCs w:val="16"/>
                <w:lang w:val="pt-BR"/>
              </w:rPr>
              <w:t xml:space="preserve"> (Clarke</w:t>
            </w:r>
            <w:r>
              <w:rPr>
                <w:rFonts w:ascii="Arial" w:hAnsi="Arial" w:cs="Arial"/>
                <w:i/>
                <w:sz w:val="16"/>
                <w:szCs w:val="16"/>
                <w:lang w:val="pt-BR"/>
              </w:rPr>
              <w:t xml:space="preserve"> et al.</w:t>
            </w:r>
            <w:r>
              <w:rPr>
                <w:rFonts w:ascii="Arial" w:hAnsi="Arial" w:cs="Arial"/>
                <w:sz w:val="16"/>
                <w:szCs w:val="16"/>
                <w:lang w:val="pt-BR"/>
              </w:rPr>
              <w:t xml:space="preserve"> 2005; Stephens</w:t>
            </w:r>
            <w:r>
              <w:rPr>
                <w:rFonts w:ascii="Arial" w:hAnsi="Arial" w:cs="Arial"/>
                <w:i/>
                <w:sz w:val="16"/>
                <w:szCs w:val="16"/>
                <w:lang w:val="pt-BR"/>
              </w:rPr>
              <w:t xml:space="preserve"> et al.</w:t>
            </w:r>
            <w:r>
              <w:rPr>
                <w:rFonts w:ascii="Arial" w:hAnsi="Arial" w:cs="Arial"/>
                <w:sz w:val="16"/>
                <w:szCs w:val="16"/>
                <w:lang w:val="pt-BR"/>
              </w:rPr>
              <w:t xml:space="preserve"> 2007).</w:t>
            </w:r>
          </w:p>
        </w:tc>
        <w:tc>
          <w:tcPr>
            <w:tcW w:w="2670" w:type="dxa"/>
            <w:tcBorders>
              <w:left w:val="single" w:sz="2" w:space="0" w:color="999999"/>
              <w:bottom w:val="single" w:sz="2" w:space="0" w:color="auto"/>
              <w:right w:val="single" w:sz="2" w:space="0" w:color="999999"/>
            </w:tcBorders>
            <w:shd w:val="clear" w:color="auto" w:fill="FFFFFF"/>
          </w:tcPr>
          <w:p w14:paraId="369592F0" w14:textId="77777777" w:rsidR="009D3DC8" w:rsidRDefault="009D3DC8">
            <w:pPr>
              <w:spacing w:before="60" w:after="60" w:line="240" w:lineRule="auto"/>
              <w:rPr>
                <w:rFonts w:ascii="Arial" w:hAnsi="Arial" w:cs="Arial"/>
                <w:sz w:val="16"/>
                <w:szCs w:val="16"/>
              </w:rPr>
            </w:pPr>
            <w:r>
              <w:rPr>
                <w:rFonts w:ascii="Arial" w:hAnsi="Arial" w:cs="Arial"/>
                <w:sz w:val="16"/>
                <w:szCs w:val="16"/>
                <w:lang w:val="pt-BR"/>
              </w:rPr>
              <w:t>Assessment not required</w:t>
            </w:r>
          </w:p>
        </w:tc>
        <w:tc>
          <w:tcPr>
            <w:tcW w:w="2007" w:type="dxa"/>
            <w:tcBorders>
              <w:left w:val="single" w:sz="2" w:space="0" w:color="999999"/>
              <w:bottom w:val="single" w:sz="2" w:space="0" w:color="auto"/>
              <w:right w:val="single" w:sz="2" w:space="0" w:color="999999"/>
            </w:tcBorders>
            <w:shd w:val="clear" w:color="auto" w:fill="FFFFFF"/>
          </w:tcPr>
          <w:p w14:paraId="2332DC3A"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No records found </w:t>
            </w:r>
          </w:p>
        </w:tc>
        <w:tc>
          <w:tcPr>
            <w:tcW w:w="2537" w:type="dxa"/>
            <w:tcBorders>
              <w:left w:val="single" w:sz="2" w:space="0" w:color="999999"/>
              <w:bottom w:val="single" w:sz="2" w:space="0" w:color="auto"/>
              <w:right w:val="single" w:sz="2" w:space="0" w:color="999999"/>
            </w:tcBorders>
            <w:shd w:val="clear" w:color="auto" w:fill="FFFFFF"/>
          </w:tcPr>
          <w:p w14:paraId="71376B25"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76164E9E"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50D2FE0E"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3DFCAAB6"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6B956BF" w14:textId="77777777" w:rsidR="009D3DC8" w:rsidRDefault="009D3DC8">
            <w:pPr>
              <w:pStyle w:val="TableText"/>
              <w:spacing w:line="240" w:lineRule="auto"/>
              <w:rPr>
                <w:rFonts w:cs="Arial"/>
                <w:szCs w:val="16"/>
              </w:rPr>
            </w:pPr>
            <w:r>
              <w:rPr>
                <w:rFonts w:cs="Arial"/>
                <w:i/>
                <w:szCs w:val="16"/>
              </w:rPr>
              <w:t>Bactrocera papayae</w:t>
            </w:r>
            <w:r>
              <w:rPr>
                <w:rFonts w:cs="Arial"/>
                <w:szCs w:val="16"/>
              </w:rPr>
              <w:t xml:space="preserve"> Drew &amp; Hancock, 1994</w:t>
            </w:r>
          </w:p>
          <w:p w14:paraId="6F41D87E" w14:textId="77777777" w:rsidR="009D3DC8" w:rsidRDefault="009D3DC8">
            <w:pPr>
              <w:pStyle w:val="TableText"/>
              <w:spacing w:line="240" w:lineRule="auto"/>
              <w:rPr>
                <w:rFonts w:cs="Arial"/>
                <w:szCs w:val="16"/>
              </w:rPr>
            </w:pPr>
            <w:r>
              <w:rPr>
                <w:rFonts w:cs="Arial"/>
                <w:szCs w:val="16"/>
              </w:rPr>
              <w:t>[Diptera: Tephritidae]</w:t>
            </w:r>
          </w:p>
          <w:p w14:paraId="4C1B4452"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Papaya fruit fly</w:t>
            </w:r>
          </w:p>
        </w:tc>
        <w:tc>
          <w:tcPr>
            <w:tcW w:w="2146" w:type="dxa"/>
            <w:tcBorders>
              <w:left w:val="single" w:sz="2" w:space="0" w:color="999999"/>
              <w:bottom w:val="single" w:sz="2" w:space="0" w:color="auto"/>
              <w:right w:val="single" w:sz="2" w:space="0" w:color="999999"/>
            </w:tcBorders>
            <w:shd w:val="clear" w:color="auto" w:fill="FFFFFF"/>
          </w:tcPr>
          <w:p w14:paraId="4D18E304"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EC9F981" w14:textId="77777777" w:rsidR="009D3DC8" w:rsidRDefault="009D3DC8">
            <w:pPr>
              <w:spacing w:before="60" w:after="60" w:line="240" w:lineRule="auto"/>
              <w:rPr>
                <w:rFonts w:ascii="Arial" w:hAnsi="Arial" w:cs="Arial"/>
                <w:sz w:val="16"/>
                <w:szCs w:val="16"/>
              </w:rPr>
            </w:pPr>
            <w:r>
              <w:rPr>
                <w:rFonts w:ascii="Arial" w:hAnsi="Arial" w:cs="Arial"/>
                <w:sz w:val="16"/>
                <w:szCs w:val="16"/>
              </w:rPr>
              <w:t>(Drew and Hancock 1994; CABI 2011)</w:t>
            </w:r>
          </w:p>
        </w:tc>
        <w:tc>
          <w:tcPr>
            <w:tcW w:w="2670" w:type="dxa"/>
            <w:tcBorders>
              <w:left w:val="single" w:sz="2" w:space="0" w:color="999999"/>
              <w:bottom w:val="single" w:sz="2" w:space="0" w:color="auto"/>
              <w:right w:val="single" w:sz="2" w:space="0" w:color="999999"/>
            </w:tcBorders>
            <w:shd w:val="clear" w:color="auto" w:fill="FFFFFF"/>
          </w:tcPr>
          <w:p w14:paraId="357596A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B21D890" w14:textId="77777777" w:rsidR="009D3DC8" w:rsidRDefault="009D3DC8">
            <w:pPr>
              <w:spacing w:before="60" w:after="60" w:line="240" w:lineRule="auto"/>
              <w:rPr>
                <w:rFonts w:ascii="Arial" w:hAnsi="Arial" w:cs="Arial"/>
                <w:sz w:val="16"/>
                <w:szCs w:val="16"/>
              </w:rPr>
            </w:pPr>
            <w:r>
              <w:rPr>
                <w:rFonts w:ascii="Arial" w:hAnsi="Arial" w:cs="Arial"/>
                <w:i/>
                <w:sz w:val="16"/>
                <w:szCs w:val="16"/>
              </w:rPr>
              <w:t>B. papayae</w:t>
            </w:r>
            <w:r>
              <w:rPr>
                <w:rFonts w:ascii="Arial" w:hAnsi="Arial" w:cs="Arial"/>
                <w:sz w:val="16"/>
                <w:szCs w:val="16"/>
              </w:rPr>
              <w:t xml:space="preserve"> was reared from three mangosteen fruit samples collected in southeast Asia, although the condition of the fruit was not specified (Allwood</w:t>
            </w:r>
            <w:r>
              <w:rPr>
                <w:rFonts w:ascii="Arial" w:hAnsi="Arial" w:cs="Arial"/>
                <w:i/>
                <w:sz w:val="16"/>
                <w:szCs w:val="16"/>
              </w:rPr>
              <w:t xml:space="preserve"> et al.</w:t>
            </w:r>
            <w:r>
              <w:rPr>
                <w:rFonts w:ascii="Arial" w:hAnsi="Arial" w:cs="Arial"/>
                <w:sz w:val="16"/>
                <w:szCs w:val="16"/>
              </w:rPr>
              <w:t xml:space="preserve"> 1999). Intact unbroken fruit is unlikely to host fruit flies due to its thick skin. However, any damaged fruit may host fruit flies.</w:t>
            </w:r>
          </w:p>
        </w:tc>
        <w:tc>
          <w:tcPr>
            <w:tcW w:w="2007" w:type="dxa"/>
            <w:tcBorders>
              <w:left w:val="single" w:sz="2" w:space="0" w:color="999999"/>
              <w:bottom w:val="single" w:sz="2" w:space="0" w:color="auto"/>
              <w:right w:val="single" w:sz="2" w:space="0" w:color="999999"/>
            </w:tcBorders>
            <w:shd w:val="clear" w:color="auto" w:fill="FFFFFF"/>
          </w:tcPr>
          <w:p w14:paraId="5C7E003A" w14:textId="77777777" w:rsidR="009D3DC8" w:rsidRDefault="009D3DC8">
            <w:pPr>
              <w:spacing w:before="60" w:after="60" w:line="240" w:lineRule="auto"/>
              <w:rPr>
                <w:rFonts w:ascii="Arial" w:hAnsi="Arial" w:cs="Arial"/>
                <w:sz w:val="16"/>
                <w:szCs w:val="16"/>
              </w:rPr>
            </w:pPr>
            <w:r>
              <w:rPr>
                <w:rFonts w:ascii="Arial" w:hAnsi="Arial" w:cs="Arial"/>
                <w:sz w:val="16"/>
                <w:szCs w:val="16"/>
              </w:rPr>
              <w:t>No current records found Eradicated from Qld.</w:t>
            </w:r>
          </w:p>
        </w:tc>
        <w:tc>
          <w:tcPr>
            <w:tcW w:w="2537" w:type="dxa"/>
            <w:tcBorders>
              <w:left w:val="single" w:sz="2" w:space="0" w:color="999999"/>
              <w:bottom w:val="single" w:sz="2" w:space="0" w:color="auto"/>
              <w:right w:val="single" w:sz="2" w:space="0" w:color="999999"/>
            </w:tcBorders>
            <w:shd w:val="clear" w:color="auto" w:fill="FFFFFF"/>
          </w:tcPr>
          <w:p w14:paraId="68DB8AE8"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96CDE51" w14:textId="77777777" w:rsidR="009D3DC8" w:rsidRDefault="009D3DC8">
            <w:pPr>
              <w:pStyle w:val="TableText1"/>
              <w:keepNext w:val="0"/>
              <w:rPr>
                <w:rFonts w:ascii="Arial" w:hAnsi="Arial" w:cs="Arial"/>
                <w:color w:val="auto"/>
                <w:szCs w:val="16"/>
              </w:rPr>
            </w:pPr>
            <w:r>
              <w:rPr>
                <w:rFonts w:ascii="Arial" w:hAnsi="Arial" w:cs="Arial"/>
                <w:i/>
                <w:color w:val="auto"/>
                <w:szCs w:val="16"/>
              </w:rPr>
              <w:t>B. papayae</w:t>
            </w:r>
            <w:r>
              <w:rPr>
                <w:rFonts w:ascii="Arial" w:hAnsi="Arial" w:cs="Arial"/>
                <w:color w:val="auto"/>
                <w:szCs w:val="16"/>
              </w:rPr>
              <w:t xml:space="preserve"> has a very wide host range (Allwood</w:t>
            </w:r>
            <w:r>
              <w:rPr>
                <w:rFonts w:ascii="Arial" w:hAnsi="Arial" w:cs="Arial"/>
                <w:i/>
                <w:color w:val="auto"/>
                <w:szCs w:val="16"/>
              </w:rPr>
              <w:t xml:space="preserve"> et al.</w:t>
            </w:r>
            <w:r>
              <w:rPr>
                <w:rFonts w:ascii="Arial" w:hAnsi="Arial" w:cs="Arial"/>
                <w:color w:val="auto"/>
                <w:szCs w:val="16"/>
              </w:rPr>
              <w:t xml:space="preserve"> 1999). It has significant potential to establish and spread as shown by its subsequently managed incursion in north Queensland during the mid-1990s (Cantrell</w:t>
            </w:r>
            <w:r>
              <w:rPr>
                <w:rFonts w:ascii="Arial" w:hAnsi="Arial" w:cs="Arial"/>
                <w:i/>
                <w:color w:val="auto"/>
                <w:szCs w:val="16"/>
              </w:rPr>
              <w:t xml:space="preserve"> et al.</w:t>
            </w:r>
            <w:r>
              <w:rPr>
                <w:rFonts w:ascii="Arial" w:hAnsi="Arial" w:cs="Arial"/>
                <w:color w:val="auto"/>
                <w:szCs w:val="16"/>
              </w:rPr>
              <w:t xml:space="preserve"> 2002).</w:t>
            </w:r>
          </w:p>
        </w:tc>
        <w:tc>
          <w:tcPr>
            <w:tcW w:w="2270" w:type="dxa"/>
            <w:gridSpan w:val="2"/>
            <w:tcBorders>
              <w:left w:val="single" w:sz="2" w:space="0" w:color="999999"/>
              <w:bottom w:val="single" w:sz="2" w:space="0" w:color="auto"/>
              <w:right w:val="single" w:sz="2" w:space="0" w:color="999999"/>
            </w:tcBorders>
            <w:shd w:val="clear" w:color="auto" w:fill="FFFFFF"/>
          </w:tcPr>
          <w:p w14:paraId="7099A2D0"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Yes </w:t>
            </w:r>
          </w:p>
          <w:p w14:paraId="5107FA26" w14:textId="77777777" w:rsidR="009D3DC8" w:rsidRDefault="009D3DC8">
            <w:pPr>
              <w:pStyle w:val="TableText1"/>
              <w:keepNext w:val="0"/>
              <w:rPr>
                <w:rFonts w:ascii="Arial" w:hAnsi="Arial" w:cs="Arial"/>
                <w:color w:val="auto"/>
                <w:szCs w:val="16"/>
              </w:rPr>
            </w:pPr>
            <w:r>
              <w:rPr>
                <w:rFonts w:ascii="Arial" w:hAnsi="Arial" w:cs="Arial"/>
                <w:color w:val="auto"/>
                <w:szCs w:val="16"/>
              </w:rPr>
              <w:t>The economic impact to Australia would arise from direct yield losses and quarantine restrictions imposed by important domestic and foreign markets.</w:t>
            </w:r>
          </w:p>
        </w:tc>
        <w:tc>
          <w:tcPr>
            <w:tcW w:w="1163" w:type="dxa"/>
            <w:tcBorders>
              <w:left w:val="single" w:sz="2" w:space="0" w:color="999999"/>
              <w:bottom w:val="single" w:sz="2" w:space="0" w:color="auto"/>
            </w:tcBorders>
            <w:shd w:val="clear" w:color="auto" w:fill="FFFFFF"/>
          </w:tcPr>
          <w:p w14:paraId="3A1475E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40D77C54"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12DE900" w14:textId="77777777" w:rsidR="009D3DC8" w:rsidRDefault="009D3DC8">
            <w:pPr>
              <w:pStyle w:val="TableText"/>
              <w:spacing w:line="240" w:lineRule="auto"/>
              <w:rPr>
                <w:rFonts w:cs="Arial"/>
                <w:szCs w:val="16"/>
              </w:rPr>
            </w:pPr>
            <w:r>
              <w:rPr>
                <w:rFonts w:cs="Arial"/>
                <w:i/>
                <w:szCs w:val="16"/>
              </w:rPr>
              <w:t>Drosophila</w:t>
            </w:r>
            <w:r>
              <w:rPr>
                <w:rFonts w:cs="Arial"/>
                <w:iCs/>
                <w:szCs w:val="16"/>
              </w:rPr>
              <w:t xml:space="preserve"> </w:t>
            </w:r>
            <w:r>
              <w:rPr>
                <w:rFonts w:cs="Arial"/>
                <w:i/>
                <w:szCs w:val="16"/>
              </w:rPr>
              <w:t>albomicans</w:t>
            </w:r>
            <w:r>
              <w:rPr>
                <w:rFonts w:cs="Arial"/>
                <w:szCs w:val="16"/>
              </w:rPr>
              <w:t xml:space="preserve"> (Duda, 1923)</w:t>
            </w:r>
          </w:p>
          <w:p w14:paraId="79507984" w14:textId="77777777" w:rsidR="009D3DC8" w:rsidRDefault="009D3DC8">
            <w:pPr>
              <w:pStyle w:val="TableText"/>
              <w:spacing w:line="240" w:lineRule="auto"/>
              <w:rPr>
                <w:rFonts w:cs="Arial"/>
                <w:szCs w:val="16"/>
              </w:rPr>
            </w:pPr>
            <w:r>
              <w:rPr>
                <w:rFonts w:cs="Arial"/>
                <w:szCs w:val="16"/>
              </w:rPr>
              <w:t>[Diptera: Drosophilidae]</w:t>
            </w:r>
          </w:p>
          <w:p w14:paraId="1F52B8F6"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Vinegar fly</w:t>
            </w:r>
          </w:p>
        </w:tc>
        <w:tc>
          <w:tcPr>
            <w:tcW w:w="2146" w:type="dxa"/>
            <w:tcBorders>
              <w:left w:val="single" w:sz="2" w:space="0" w:color="999999"/>
              <w:bottom w:val="single" w:sz="2" w:space="0" w:color="auto"/>
              <w:right w:val="single" w:sz="2" w:space="0" w:color="999999"/>
            </w:tcBorders>
            <w:shd w:val="clear" w:color="auto" w:fill="FFFFFF"/>
          </w:tcPr>
          <w:p w14:paraId="438E8085"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4CE54F46" w14:textId="77777777" w:rsidR="009D3DC8" w:rsidRDefault="009D3DC8">
            <w:pPr>
              <w:spacing w:before="60" w:after="60" w:line="240" w:lineRule="auto"/>
              <w:rPr>
                <w:rFonts w:ascii="Arial" w:hAnsi="Arial" w:cs="Arial"/>
                <w:sz w:val="16"/>
                <w:szCs w:val="16"/>
              </w:rPr>
            </w:pPr>
            <w:r>
              <w:rPr>
                <w:rFonts w:ascii="Arial" w:hAnsi="Arial" w:cs="Arial"/>
                <w:sz w:val="16"/>
                <w:szCs w:val="16"/>
              </w:rPr>
              <w:t>(Kahono</w:t>
            </w:r>
            <w:r>
              <w:rPr>
                <w:rFonts w:ascii="Arial" w:hAnsi="Arial" w:cs="Arial"/>
                <w:i/>
                <w:sz w:val="16"/>
                <w:szCs w:val="16"/>
              </w:rPr>
              <w:t xml:space="preserve"> et al.</w:t>
            </w:r>
            <w:r>
              <w:rPr>
                <w:rFonts w:ascii="Arial" w:hAnsi="Arial" w:cs="Arial"/>
                <w:sz w:val="16"/>
                <w:szCs w:val="16"/>
              </w:rPr>
              <w:t xml:space="preserve"> 2010)</w:t>
            </w:r>
          </w:p>
        </w:tc>
        <w:tc>
          <w:tcPr>
            <w:tcW w:w="2670" w:type="dxa"/>
            <w:tcBorders>
              <w:left w:val="single" w:sz="2" w:space="0" w:color="999999"/>
              <w:bottom w:val="single" w:sz="2" w:space="0" w:color="auto"/>
              <w:right w:val="single" w:sz="2" w:space="0" w:color="999999"/>
            </w:tcBorders>
            <w:shd w:val="clear" w:color="auto" w:fill="FFFFFF"/>
          </w:tcPr>
          <w:p w14:paraId="141F0BEC"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061907E6"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Associated with mangosteen fruit (Yunus and Ho 1980). Adult </w:t>
            </w:r>
            <w:r>
              <w:rPr>
                <w:rFonts w:ascii="Arial" w:hAnsi="Arial" w:cs="Arial"/>
                <w:i/>
                <w:sz w:val="16"/>
                <w:szCs w:val="16"/>
              </w:rPr>
              <w:t>Drosophila</w:t>
            </w:r>
            <w:r>
              <w:rPr>
                <w:rFonts w:ascii="Arial" w:hAnsi="Arial" w:cs="Arial"/>
                <w:sz w:val="16"/>
                <w:szCs w:val="16"/>
              </w:rPr>
              <w:t xml:space="preserve"> spp. feed on rotting/overripe fruit, where they lay their eggs, which hatch into small maggots. Mature undamaged fruit are not attacked (CABI 2011). </w:t>
            </w:r>
          </w:p>
        </w:tc>
        <w:tc>
          <w:tcPr>
            <w:tcW w:w="2007" w:type="dxa"/>
            <w:tcBorders>
              <w:left w:val="single" w:sz="2" w:space="0" w:color="999999"/>
              <w:bottom w:val="single" w:sz="2" w:space="0" w:color="auto"/>
              <w:right w:val="single" w:sz="2" w:space="0" w:color="999999"/>
            </w:tcBorders>
            <w:shd w:val="clear" w:color="auto" w:fill="FFFFFF"/>
          </w:tcPr>
          <w:p w14:paraId="0950A7A6"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763C3B68"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7FBFF625"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0252E2E7"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2630940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5C97624" w14:textId="77777777" w:rsidR="009D3DC8" w:rsidRDefault="009D3DC8">
            <w:pPr>
              <w:pStyle w:val="TableText"/>
              <w:spacing w:line="240" w:lineRule="auto"/>
              <w:rPr>
                <w:rFonts w:cs="Arial"/>
                <w:szCs w:val="16"/>
              </w:rPr>
            </w:pPr>
            <w:r>
              <w:rPr>
                <w:rFonts w:cs="Arial"/>
                <w:i/>
                <w:szCs w:val="16"/>
              </w:rPr>
              <w:lastRenderedPageBreak/>
              <w:t>Drosophila</w:t>
            </w:r>
            <w:r>
              <w:rPr>
                <w:rFonts w:cs="Arial"/>
                <w:szCs w:val="16"/>
              </w:rPr>
              <w:t xml:space="preserve"> </w:t>
            </w:r>
            <w:r>
              <w:rPr>
                <w:rFonts w:cs="Arial"/>
                <w:i/>
                <w:szCs w:val="16"/>
              </w:rPr>
              <w:t>immigrans</w:t>
            </w:r>
            <w:r>
              <w:rPr>
                <w:rFonts w:cs="Arial"/>
                <w:szCs w:val="16"/>
              </w:rPr>
              <w:t xml:space="preserve"> Sturtevant, 1921</w:t>
            </w:r>
          </w:p>
          <w:p w14:paraId="3CC60278" w14:textId="77777777" w:rsidR="009D3DC8" w:rsidRDefault="009D3DC8">
            <w:pPr>
              <w:pStyle w:val="TableText"/>
              <w:spacing w:line="240" w:lineRule="auto"/>
              <w:rPr>
                <w:rFonts w:cs="Arial"/>
                <w:szCs w:val="16"/>
              </w:rPr>
            </w:pPr>
            <w:r>
              <w:rPr>
                <w:rFonts w:cs="Arial"/>
                <w:szCs w:val="16"/>
              </w:rPr>
              <w:t>[Diptera: Drosophilidae]</w:t>
            </w:r>
          </w:p>
          <w:p w14:paraId="135982B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Vinegar fly</w:t>
            </w:r>
          </w:p>
        </w:tc>
        <w:tc>
          <w:tcPr>
            <w:tcW w:w="2146" w:type="dxa"/>
            <w:tcBorders>
              <w:left w:val="single" w:sz="2" w:space="0" w:color="999999"/>
              <w:bottom w:val="single" w:sz="2" w:space="0" w:color="auto"/>
              <w:right w:val="single" w:sz="2" w:space="0" w:color="999999"/>
            </w:tcBorders>
            <w:shd w:val="clear" w:color="auto" w:fill="FFFFFF"/>
          </w:tcPr>
          <w:p w14:paraId="6BF7BCFB"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A19CC9E" w14:textId="77777777" w:rsidR="009D3DC8" w:rsidRDefault="009D3DC8">
            <w:pPr>
              <w:spacing w:before="60" w:after="60" w:line="240" w:lineRule="auto"/>
              <w:rPr>
                <w:rFonts w:ascii="Arial" w:hAnsi="Arial" w:cs="Arial"/>
                <w:sz w:val="16"/>
                <w:szCs w:val="16"/>
              </w:rPr>
            </w:pPr>
            <w:r>
              <w:rPr>
                <w:rFonts w:ascii="Arial" w:hAnsi="Arial" w:cs="Arial"/>
                <w:sz w:val="16"/>
                <w:szCs w:val="16"/>
              </w:rPr>
              <w:t>Cosmopolitan distribution (Wheeler and Takada 1964)</w:t>
            </w:r>
          </w:p>
        </w:tc>
        <w:tc>
          <w:tcPr>
            <w:tcW w:w="2670" w:type="dxa"/>
            <w:tcBorders>
              <w:left w:val="single" w:sz="2" w:space="0" w:color="999999"/>
              <w:bottom w:val="single" w:sz="2" w:space="0" w:color="auto"/>
              <w:right w:val="single" w:sz="2" w:space="0" w:color="999999"/>
            </w:tcBorders>
            <w:shd w:val="clear" w:color="auto" w:fill="FFFFFF"/>
          </w:tcPr>
          <w:p w14:paraId="6ACB7E5F"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1BBBEC76"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Associated with mangosteen fruit (Yunus and Ho 1980). Adult </w:t>
            </w:r>
            <w:r>
              <w:rPr>
                <w:rFonts w:ascii="Arial" w:hAnsi="Arial" w:cs="Arial"/>
                <w:i/>
                <w:color w:val="auto"/>
                <w:szCs w:val="16"/>
              </w:rPr>
              <w:t>Drosophila</w:t>
            </w:r>
            <w:r>
              <w:rPr>
                <w:rFonts w:ascii="Arial" w:hAnsi="Arial" w:cs="Arial"/>
                <w:color w:val="auto"/>
                <w:szCs w:val="16"/>
              </w:rPr>
              <w:t xml:space="preserve"> spp. feed on rotting/overripe fruit, where they lay their eggs, which hatch into small maggots. </w:t>
            </w:r>
            <w:r>
              <w:rPr>
                <w:rFonts w:ascii="Arial" w:hAnsi="Arial" w:cs="Arial"/>
                <w:color w:val="auto"/>
                <w:szCs w:val="16"/>
                <w:lang w:eastAsia="en-AU"/>
              </w:rPr>
              <w:t>Mature undamaged fruit are not attacked (CABI 2011).</w:t>
            </w:r>
            <w:r>
              <w:rPr>
                <w:rFonts w:ascii="Arial" w:hAnsi="Arial" w:cs="Arial"/>
                <w:color w:val="auto"/>
                <w:szCs w:val="16"/>
              </w:rPr>
              <w:t xml:space="preserve"> </w:t>
            </w:r>
          </w:p>
        </w:tc>
        <w:tc>
          <w:tcPr>
            <w:tcW w:w="2007" w:type="dxa"/>
            <w:tcBorders>
              <w:left w:val="single" w:sz="2" w:space="0" w:color="999999"/>
              <w:bottom w:val="single" w:sz="2" w:space="0" w:color="auto"/>
              <w:right w:val="single" w:sz="2" w:space="0" w:color="999999"/>
            </w:tcBorders>
            <w:shd w:val="clear" w:color="auto" w:fill="FFFFFF"/>
          </w:tcPr>
          <w:p w14:paraId="136B3EB7"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1451AFC6"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All states and territories (Bock 1976)</w:t>
            </w:r>
          </w:p>
        </w:tc>
        <w:tc>
          <w:tcPr>
            <w:tcW w:w="2537" w:type="dxa"/>
            <w:tcBorders>
              <w:left w:val="single" w:sz="2" w:space="0" w:color="999999"/>
              <w:bottom w:val="single" w:sz="2" w:space="0" w:color="auto"/>
              <w:right w:val="single" w:sz="2" w:space="0" w:color="999999"/>
            </w:tcBorders>
            <w:shd w:val="clear" w:color="auto" w:fill="FFFFFF"/>
          </w:tcPr>
          <w:p w14:paraId="1CD108BD"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A48EAEB"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7A68EBF2"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6515F777"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0ACC1B7" w14:textId="77777777" w:rsidR="009D3DC8" w:rsidRDefault="009D3DC8">
            <w:pPr>
              <w:pStyle w:val="TableText"/>
              <w:spacing w:line="240" w:lineRule="auto"/>
              <w:rPr>
                <w:rFonts w:cs="Arial"/>
                <w:szCs w:val="16"/>
              </w:rPr>
            </w:pPr>
            <w:r>
              <w:rPr>
                <w:rFonts w:cs="Arial"/>
                <w:i/>
                <w:szCs w:val="16"/>
              </w:rPr>
              <w:t>Drosophila melanogaster</w:t>
            </w:r>
            <w:r>
              <w:rPr>
                <w:rFonts w:cs="Arial"/>
                <w:szCs w:val="16"/>
              </w:rPr>
              <w:t xml:space="preserve"> Meigen, 1830</w:t>
            </w:r>
          </w:p>
          <w:p w14:paraId="6E906125" w14:textId="77777777" w:rsidR="009D3DC8" w:rsidRDefault="009D3DC8">
            <w:pPr>
              <w:pStyle w:val="TableText"/>
              <w:spacing w:line="240" w:lineRule="auto"/>
              <w:rPr>
                <w:rFonts w:cs="Arial"/>
                <w:szCs w:val="16"/>
              </w:rPr>
            </w:pPr>
            <w:r>
              <w:rPr>
                <w:rFonts w:cs="Arial"/>
                <w:szCs w:val="16"/>
              </w:rPr>
              <w:t xml:space="preserve">Synonym: </w:t>
            </w:r>
            <w:r>
              <w:rPr>
                <w:rFonts w:cs="Arial"/>
                <w:i/>
                <w:szCs w:val="16"/>
              </w:rPr>
              <w:t>Drosophila ampelophila</w:t>
            </w:r>
            <w:r>
              <w:rPr>
                <w:rFonts w:cs="Arial"/>
                <w:szCs w:val="16"/>
              </w:rPr>
              <w:t xml:space="preserve"> Loew, 1862</w:t>
            </w:r>
          </w:p>
          <w:p w14:paraId="33EBB636" w14:textId="77777777" w:rsidR="009D3DC8" w:rsidRDefault="009D3DC8">
            <w:pPr>
              <w:pStyle w:val="TableText"/>
              <w:spacing w:line="240" w:lineRule="auto"/>
              <w:rPr>
                <w:rFonts w:cs="Arial"/>
                <w:szCs w:val="16"/>
              </w:rPr>
            </w:pPr>
            <w:r>
              <w:rPr>
                <w:rFonts w:cs="Arial"/>
                <w:szCs w:val="16"/>
              </w:rPr>
              <w:t>[Diptera: Drosophilidae]</w:t>
            </w:r>
          </w:p>
          <w:p w14:paraId="74BA138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Vinegar fly</w:t>
            </w:r>
          </w:p>
        </w:tc>
        <w:tc>
          <w:tcPr>
            <w:tcW w:w="2146" w:type="dxa"/>
            <w:tcBorders>
              <w:left w:val="single" w:sz="2" w:space="0" w:color="999999"/>
              <w:bottom w:val="single" w:sz="2" w:space="0" w:color="auto"/>
              <w:right w:val="single" w:sz="2" w:space="0" w:color="999999"/>
            </w:tcBorders>
            <w:shd w:val="clear" w:color="auto" w:fill="FFFFFF"/>
          </w:tcPr>
          <w:p w14:paraId="218B0632"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6D7966D5"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(CABI 2011)</w:t>
            </w:r>
          </w:p>
        </w:tc>
        <w:tc>
          <w:tcPr>
            <w:tcW w:w="2670" w:type="dxa"/>
            <w:tcBorders>
              <w:left w:val="single" w:sz="2" w:space="0" w:color="999999"/>
              <w:bottom w:val="single" w:sz="2" w:space="0" w:color="auto"/>
              <w:right w:val="single" w:sz="2" w:space="0" w:color="999999"/>
            </w:tcBorders>
            <w:shd w:val="clear" w:color="auto" w:fill="FFFFFF"/>
          </w:tcPr>
          <w:p w14:paraId="656ADBD5"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4F806E4B"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 xml:space="preserve">Reported on mangosteen as </w:t>
            </w:r>
            <w:r>
              <w:rPr>
                <w:rFonts w:ascii="Arial" w:hAnsi="Arial" w:cs="Arial"/>
                <w:i/>
                <w:sz w:val="16"/>
                <w:szCs w:val="16"/>
              </w:rPr>
              <w:t xml:space="preserve">D. ampelophila </w:t>
            </w:r>
            <w:r>
              <w:rPr>
                <w:rFonts w:ascii="Arial" w:hAnsi="Arial" w:cs="Arial"/>
                <w:sz w:val="16"/>
                <w:szCs w:val="16"/>
              </w:rPr>
              <w:t>(Yunus and Ho 1980). Associated with overripe or rotting fruit (CABI 2011).</w:t>
            </w:r>
          </w:p>
        </w:tc>
        <w:tc>
          <w:tcPr>
            <w:tcW w:w="2007" w:type="dxa"/>
            <w:tcBorders>
              <w:left w:val="single" w:sz="2" w:space="0" w:color="999999"/>
              <w:bottom w:val="single" w:sz="2" w:space="0" w:color="auto"/>
              <w:right w:val="single" w:sz="2" w:space="0" w:color="999999"/>
            </w:tcBorders>
            <w:shd w:val="clear" w:color="auto" w:fill="FFFFFF"/>
          </w:tcPr>
          <w:p w14:paraId="0D140D03"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5543F6CB"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All states and territories (CSIRO 2005; APPD 2011)</w:t>
            </w:r>
          </w:p>
        </w:tc>
        <w:tc>
          <w:tcPr>
            <w:tcW w:w="2537" w:type="dxa"/>
            <w:tcBorders>
              <w:left w:val="single" w:sz="2" w:space="0" w:color="999999"/>
              <w:bottom w:val="single" w:sz="2" w:space="0" w:color="auto"/>
              <w:right w:val="single" w:sz="2" w:space="0" w:color="999999"/>
            </w:tcBorders>
            <w:shd w:val="clear" w:color="auto" w:fill="FFFFFF"/>
          </w:tcPr>
          <w:p w14:paraId="2B5FA742"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0FA05CD5"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1616004B"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9FFDFA5"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6C36F3E" w14:textId="77777777" w:rsidR="009D3DC8" w:rsidRDefault="009D3DC8">
            <w:pPr>
              <w:pStyle w:val="TableText"/>
              <w:spacing w:line="240" w:lineRule="auto"/>
              <w:rPr>
                <w:rFonts w:cs="Arial"/>
                <w:i/>
                <w:szCs w:val="16"/>
              </w:rPr>
            </w:pPr>
            <w:r>
              <w:rPr>
                <w:rFonts w:cs="Arial"/>
                <w:i/>
                <w:szCs w:val="16"/>
              </w:rPr>
              <w:t xml:space="preserve">Zaprionus multistriatus </w:t>
            </w:r>
            <w:r>
              <w:rPr>
                <w:rFonts w:cs="Arial"/>
                <w:szCs w:val="16"/>
              </w:rPr>
              <w:t>Duda, 1923</w:t>
            </w:r>
          </w:p>
          <w:p w14:paraId="628F5D4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[Diptera: Drosophilidae]</w:t>
            </w:r>
          </w:p>
        </w:tc>
        <w:tc>
          <w:tcPr>
            <w:tcW w:w="2146" w:type="dxa"/>
            <w:tcBorders>
              <w:left w:val="single" w:sz="2" w:space="0" w:color="999999"/>
              <w:bottom w:val="single" w:sz="2" w:space="0" w:color="auto"/>
              <w:right w:val="single" w:sz="2" w:space="0" w:color="999999"/>
            </w:tcBorders>
            <w:shd w:val="clear" w:color="auto" w:fill="FFFFFF"/>
          </w:tcPr>
          <w:p w14:paraId="30FAA977"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1B43FBF2"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(Okada and Carson 1983)</w:t>
            </w:r>
          </w:p>
        </w:tc>
        <w:tc>
          <w:tcPr>
            <w:tcW w:w="2670" w:type="dxa"/>
            <w:tcBorders>
              <w:left w:val="single" w:sz="2" w:space="0" w:color="999999"/>
              <w:bottom w:val="single" w:sz="2" w:space="0" w:color="auto"/>
              <w:right w:val="single" w:sz="2" w:space="0" w:color="999999"/>
            </w:tcBorders>
            <w:shd w:val="clear" w:color="auto" w:fill="FFFFFF"/>
          </w:tcPr>
          <w:p w14:paraId="1A2531DB"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1FF66837"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i/>
                <w:sz w:val="16"/>
                <w:szCs w:val="16"/>
              </w:rPr>
              <w:t>Zaprionus multistriatus</w:t>
            </w:r>
            <w:r>
              <w:rPr>
                <w:rFonts w:ascii="Arial" w:hAnsi="Arial" w:cs="Arial"/>
                <w:sz w:val="16"/>
                <w:szCs w:val="16"/>
              </w:rPr>
              <w:t xml:space="preserve"> has been recorded on mangosteen fruit, but the condition of affected fruit is unclear (Yunus and Ho 1980).</w:t>
            </w:r>
            <w:r>
              <w:rPr>
                <w:rFonts w:ascii="Arial" w:hAnsi="Arial" w:cs="Arial"/>
                <w:i/>
                <w:sz w:val="16"/>
                <w:szCs w:val="16"/>
              </w:rPr>
              <w:t xml:space="preserve"> Zaprionus </w:t>
            </w:r>
            <w:r>
              <w:rPr>
                <w:rFonts w:ascii="Arial" w:hAnsi="Arial" w:cs="Arial"/>
                <w:sz w:val="16"/>
                <w:szCs w:val="16"/>
              </w:rPr>
              <w:t>spp</w:t>
            </w:r>
            <w:r>
              <w:rPr>
                <w:rFonts w:ascii="Arial" w:hAnsi="Arial" w:cs="Arial"/>
                <w:i/>
                <w:sz w:val="16"/>
                <w:szCs w:val="16"/>
              </w:rPr>
              <w:t xml:space="preserve">. </w:t>
            </w:r>
            <w:r>
              <w:rPr>
                <w:rFonts w:ascii="Arial" w:hAnsi="Arial" w:cs="Arial"/>
                <w:sz w:val="16"/>
                <w:szCs w:val="16"/>
              </w:rPr>
              <w:t>feed on rotting/overripe or fallen fruit. Mature undamaged fruit for harvest are not attacked except by one species, (</w:t>
            </w:r>
            <w:r>
              <w:rPr>
                <w:rFonts w:ascii="Arial" w:hAnsi="Arial" w:cs="Arial"/>
                <w:i/>
                <w:sz w:val="16"/>
                <w:szCs w:val="16"/>
              </w:rPr>
              <w:t>Z.</w:t>
            </w:r>
            <w:r>
              <w:rPr>
                <w:rFonts w:ascii="Arial" w:hAnsi="Arial" w:cs="Arial"/>
                <w:sz w:val="16"/>
                <w:szCs w:val="16"/>
              </w:rPr>
              <w:t> </w:t>
            </w:r>
            <w:r>
              <w:rPr>
                <w:rFonts w:ascii="Arial" w:hAnsi="Arial" w:cs="Arial"/>
                <w:i/>
                <w:sz w:val="16"/>
                <w:szCs w:val="16"/>
              </w:rPr>
              <w:t>indianus</w:t>
            </w:r>
            <w:r>
              <w:rPr>
                <w:rFonts w:ascii="Arial" w:hAnsi="Arial" w:cs="Arial"/>
                <w:sz w:val="16"/>
                <w:szCs w:val="16"/>
              </w:rPr>
              <w:t>) which attacks immature figs in Brazil and immature guava fruits in Argentina (Lavagnino</w:t>
            </w:r>
            <w:r>
              <w:rPr>
                <w:rFonts w:ascii="Arial" w:hAnsi="Arial" w:cs="Arial"/>
                <w:i/>
                <w:sz w:val="16"/>
                <w:szCs w:val="16"/>
              </w:rPr>
              <w:t xml:space="preserve"> et al.</w:t>
            </w:r>
            <w:r>
              <w:rPr>
                <w:rFonts w:ascii="Arial" w:hAnsi="Arial" w:cs="Arial"/>
                <w:sz w:val="16"/>
                <w:szCs w:val="16"/>
              </w:rPr>
              <w:t xml:space="preserve"> 2008).</w:t>
            </w:r>
          </w:p>
        </w:tc>
        <w:tc>
          <w:tcPr>
            <w:tcW w:w="2007" w:type="dxa"/>
            <w:tcBorders>
              <w:left w:val="single" w:sz="2" w:space="0" w:color="999999"/>
              <w:bottom w:val="single" w:sz="2" w:space="0" w:color="auto"/>
              <w:right w:val="single" w:sz="2" w:space="0" w:color="999999"/>
            </w:tcBorders>
            <w:shd w:val="clear" w:color="auto" w:fill="FFFFFF"/>
          </w:tcPr>
          <w:p w14:paraId="4B08CEA9"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2BED0A94"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3FBB99CC"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1B07EC45"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3C15A062" w14:textId="77777777">
        <w:trPr>
          <w:cantSplit/>
          <w:trHeight w:val="75"/>
          <w:jc w:val="center"/>
        </w:trPr>
        <w:tc>
          <w:tcPr>
            <w:tcW w:w="15840" w:type="dxa"/>
            <w:gridSpan w:val="9"/>
            <w:tcBorders>
              <w:bottom w:val="single" w:sz="2" w:space="0" w:color="auto"/>
            </w:tcBorders>
            <w:shd w:val="clear" w:color="auto" w:fill="E6E6E6"/>
          </w:tcPr>
          <w:p w14:paraId="083388D9" w14:textId="77777777" w:rsidR="009D3DC8" w:rsidRDefault="009D3DC8">
            <w:pPr>
              <w:pStyle w:val="TableText1"/>
              <w:rPr>
                <w:rFonts w:ascii="Arial" w:hAnsi="Arial" w:cs="Arial"/>
                <w:color w:val="auto"/>
                <w:szCs w:val="16"/>
              </w:rPr>
            </w:pPr>
            <w:r>
              <w:rPr>
                <w:rFonts w:ascii="Arial" w:hAnsi="Arial" w:cs="Arial"/>
                <w:b/>
                <w:color w:val="auto"/>
                <w:szCs w:val="16"/>
              </w:rPr>
              <w:t>Order Hemiptera</w:t>
            </w:r>
          </w:p>
        </w:tc>
      </w:tr>
      <w:tr w:rsidR="009D3DC8" w14:paraId="6E0E0C99"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4B6A83E" w14:textId="77777777" w:rsidR="009D3DC8" w:rsidRDefault="009D3DC8">
            <w:pPr>
              <w:pStyle w:val="TableText"/>
              <w:spacing w:line="240" w:lineRule="auto"/>
              <w:rPr>
                <w:rFonts w:cs="Arial"/>
                <w:i/>
                <w:szCs w:val="16"/>
              </w:rPr>
            </w:pPr>
            <w:r>
              <w:rPr>
                <w:rFonts w:cs="Arial"/>
                <w:i/>
                <w:szCs w:val="16"/>
              </w:rPr>
              <w:t xml:space="preserve">Aonidiella aurantii </w:t>
            </w:r>
            <w:r>
              <w:rPr>
                <w:rFonts w:cs="Arial"/>
                <w:szCs w:val="16"/>
              </w:rPr>
              <w:t>(Maskell, 1879)</w:t>
            </w:r>
          </w:p>
          <w:p w14:paraId="0E6127CC" w14:textId="77777777" w:rsidR="009D3DC8" w:rsidRDefault="009D3DC8">
            <w:pPr>
              <w:pStyle w:val="TableText"/>
              <w:spacing w:line="240" w:lineRule="auto"/>
              <w:rPr>
                <w:rFonts w:cs="Arial"/>
                <w:szCs w:val="16"/>
              </w:rPr>
            </w:pPr>
            <w:r>
              <w:rPr>
                <w:rFonts w:cs="Arial"/>
                <w:szCs w:val="16"/>
              </w:rPr>
              <w:t>[Hemiptera: Diaspididae]</w:t>
            </w:r>
          </w:p>
          <w:p w14:paraId="4040655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California red scale</w:t>
            </w:r>
          </w:p>
        </w:tc>
        <w:tc>
          <w:tcPr>
            <w:tcW w:w="2146" w:type="dxa"/>
            <w:tcBorders>
              <w:left w:val="single" w:sz="2" w:space="0" w:color="999999"/>
              <w:bottom w:val="single" w:sz="2" w:space="0" w:color="auto"/>
              <w:right w:val="single" w:sz="2" w:space="0" w:color="999999"/>
            </w:tcBorders>
            <w:shd w:val="clear" w:color="auto" w:fill="FFFFFF"/>
          </w:tcPr>
          <w:p w14:paraId="017CCF91"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2C33A50D"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 xml:space="preserve">(Ben-Dov 2011c) </w:t>
            </w:r>
          </w:p>
        </w:tc>
        <w:tc>
          <w:tcPr>
            <w:tcW w:w="2670" w:type="dxa"/>
            <w:tcBorders>
              <w:left w:val="single" w:sz="2" w:space="0" w:color="999999"/>
              <w:bottom w:val="single" w:sz="2" w:space="0" w:color="auto"/>
              <w:right w:val="single" w:sz="2" w:space="0" w:color="999999"/>
            </w:tcBorders>
            <w:shd w:val="clear" w:color="auto" w:fill="FFFFFF"/>
          </w:tcPr>
          <w:p w14:paraId="544FA01D"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0DBE6D50"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Intercepted in Australia on fresh mangosteen fruit from Thailand.</w:t>
            </w:r>
          </w:p>
        </w:tc>
        <w:tc>
          <w:tcPr>
            <w:tcW w:w="2007" w:type="dxa"/>
            <w:tcBorders>
              <w:left w:val="single" w:sz="2" w:space="0" w:color="999999"/>
              <w:bottom w:val="single" w:sz="2" w:space="0" w:color="auto"/>
              <w:right w:val="single" w:sz="2" w:space="0" w:color="999999"/>
            </w:tcBorders>
            <w:shd w:val="clear" w:color="auto" w:fill="FFFFFF"/>
          </w:tcPr>
          <w:p w14:paraId="5D746017"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54973DE0"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NSW, Vic., Qld, SA, NT, WA (CSIRO 2005; Poole 2010; APPD 2011)</w:t>
            </w:r>
          </w:p>
        </w:tc>
        <w:tc>
          <w:tcPr>
            <w:tcW w:w="2537" w:type="dxa"/>
            <w:tcBorders>
              <w:left w:val="single" w:sz="2" w:space="0" w:color="999999"/>
              <w:bottom w:val="single" w:sz="2" w:space="0" w:color="auto"/>
              <w:right w:val="single" w:sz="2" w:space="0" w:color="999999"/>
            </w:tcBorders>
            <w:shd w:val="clear" w:color="auto" w:fill="FFFFFF"/>
          </w:tcPr>
          <w:p w14:paraId="492DAD51"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785EC853"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6738186D"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0A47297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C064537" w14:textId="77777777" w:rsidR="009D3DC8" w:rsidRDefault="009D3DC8">
            <w:pPr>
              <w:pStyle w:val="TableText"/>
              <w:spacing w:line="240" w:lineRule="auto"/>
              <w:rPr>
                <w:rFonts w:cs="Arial"/>
                <w:szCs w:val="16"/>
              </w:rPr>
            </w:pPr>
            <w:r>
              <w:rPr>
                <w:rFonts w:cs="Arial"/>
                <w:i/>
                <w:szCs w:val="16"/>
              </w:rPr>
              <w:lastRenderedPageBreak/>
              <w:t>Aspidiotus destructor</w:t>
            </w:r>
            <w:r>
              <w:rPr>
                <w:rFonts w:cs="Arial"/>
                <w:szCs w:val="16"/>
              </w:rPr>
              <w:t xml:space="preserve"> Signoret, 1869</w:t>
            </w:r>
          </w:p>
          <w:p w14:paraId="079A1DBC" w14:textId="77777777" w:rsidR="009D3DC8" w:rsidRDefault="009D3DC8">
            <w:pPr>
              <w:pStyle w:val="TableText"/>
              <w:spacing w:line="240" w:lineRule="auto"/>
              <w:rPr>
                <w:rFonts w:cs="Arial"/>
                <w:szCs w:val="16"/>
              </w:rPr>
            </w:pPr>
            <w:r>
              <w:rPr>
                <w:rFonts w:cs="Arial"/>
                <w:szCs w:val="16"/>
              </w:rPr>
              <w:t>[Hemiptera: Diaspididae]</w:t>
            </w:r>
          </w:p>
          <w:p w14:paraId="3E73651A"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Coconut scale</w:t>
            </w:r>
          </w:p>
        </w:tc>
        <w:tc>
          <w:tcPr>
            <w:tcW w:w="2146" w:type="dxa"/>
            <w:tcBorders>
              <w:left w:val="single" w:sz="2" w:space="0" w:color="999999"/>
              <w:bottom w:val="single" w:sz="2" w:space="0" w:color="auto"/>
              <w:right w:val="single" w:sz="2" w:space="0" w:color="999999"/>
            </w:tcBorders>
            <w:shd w:val="clear" w:color="auto" w:fill="FFFFFF"/>
          </w:tcPr>
          <w:p w14:paraId="6BFA6BF0"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010BB9B2"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(Kalshoven 1981; Bigger 2009)</w:t>
            </w:r>
          </w:p>
        </w:tc>
        <w:tc>
          <w:tcPr>
            <w:tcW w:w="2670" w:type="dxa"/>
            <w:tcBorders>
              <w:left w:val="single" w:sz="2" w:space="0" w:color="999999"/>
              <w:bottom w:val="single" w:sz="2" w:space="0" w:color="auto"/>
              <w:right w:val="single" w:sz="2" w:space="0" w:color="999999"/>
            </w:tcBorders>
            <w:shd w:val="clear" w:color="auto" w:fill="FFFFFF"/>
          </w:tcPr>
          <w:p w14:paraId="39DF9D88"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52AB4944"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Reported as a pest of mangosteen (Hasyim</w:t>
            </w:r>
            <w:r>
              <w:rPr>
                <w:rFonts w:ascii="Arial" w:hAnsi="Arial" w:cs="Arial"/>
                <w:i/>
                <w:sz w:val="16"/>
                <w:szCs w:val="16"/>
              </w:rPr>
              <w:t xml:space="preserve"> et al.</w:t>
            </w:r>
            <w:r>
              <w:rPr>
                <w:rFonts w:ascii="Arial" w:hAnsi="Arial" w:cs="Arial"/>
                <w:sz w:val="16"/>
                <w:szCs w:val="16"/>
              </w:rPr>
              <w:t xml:space="preserve"> 2006), affecting the leaves (Yunus and Ho 1980). Crawlers feed on the underside of leaves causing yellowing and wilting (Nafus 2000; Watson 2005a). </w:t>
            </w:r>
          </w:p>
        </w:tc>
        <w:tc>
          <w:tcPr>
            <w:tcW w:w="2007" w:type="dxa"/>
            <w:tcBorders>
              <w:left w:val="single" w:sz="2" w:space="0" w:color="999999"/>
              <w:bottom w:val="single" w:sz="2" w:space="0" w:color="auto"/>
              <w:right w:val="single" w:sz="2" w:space="0" w:color="999999"/>
            </w:tcBorders>
            <w:shd w:val="clear" w:color="auto" w:fill="FFFFFF"/>
          </w:tcPr>
          <w:p w14:paraId="1026995C"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33D6283A"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NSW, NT, Qld, Vic., WA (Hill 2008; Poole 2010; APPD 2011)</w:t>
            </w:r>
          </w:p>
        </w:tc>
        <w:tc>
          <w:tcPr>
            <w:tcW w:w="2537" w:type="dxa"/>
            <w:tcBorders>
              <w:left w:val="single" w:sz="2" w:space="0" w:color="999999"/>
              <w:bottom w:val="single" w:sz="2" w:space="0" w:color="auto"/>
              <w:right w:val="single" w:sz="2" w:space="0" w:color="999999"/>
            </w:tcBorders>
            <w:shd w:val="clear" w:color="auto" w:fill="FFFFFF"/>
          </w:tcPr>
          <w:p w14:paraId="39D20FB0"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AB0ABE1"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76BEA184"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24D04C6B"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70D5120" w14:textId="77777777" w:rsidR="009D3DC8" w:rsidRDefault="009D3DC8">
            <w:pPr>
              <w:pStyle w:val="TableText"/>
              <w:spacing w:line="240" w:lineRule="auto"/>
              <w:rPr>
                <w:rFonts w:cs="Arial"/>
                <w:szCs w:val="16"/>
              </w:rPr>
            </w:pPr>
            <w:r>
              <w:rPr>
                <w:rFonts w:cs="Arial"/>
                <w:i/>
                <w:szCs w:val="16"/>
              </w:rPr>
              <w:t>Asterolecanium garciniae</w:t>
            </w:r>
            <w:r>
              <w:rPr>
                <w:rFonts w:cs="Arial"/>
                <w:szCs w:val="16"/>
              </w:rPr>
              <w:t xml:space="preserve"> Russell, 1941</w:t>
            </w:r>
          </w:p>
          <w:p w14:paraId="04EE359C" w14:textId="77777777" w:rsidR="009D3DC8" w:rsidRDefault="009D3DC8">
            <w:pPr>
              <w:pStyle w:val="TableText"/>
              <w:spacing w:line="240" w:lineRule="auto"/>
              <w:rPr>
                <w:rFonts w:cs="Arial"/>
                <w:szCs w:val="16"/>
              </w:rPr>
            </w:pPr>
            <w:r>
              <w:rPr>
                <w:rFonts w:cs="Arial"/>
                <w:szCs w:val="16"/>
              </w:rPr>
              <w:t>[Hemiptera: Asterolecaniidae]</w:t>
            </w:r>
          </w:p>
          <w:p w14:paraId="418B544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Star scale</w:t>
            </w:r>
          </w:p>
        </w:tc>
        <w:tc>
          <w:tcPr>
            <w:tcW w:w="2146" w:type="dxa"/>
            <w:tcBorders>
              <w:left w:val="single" w:sz="2" w:space="0" w:color="999999"/>
              <w:bottom w:val="single" w:sz="2" w:space="0" w:color="auto"/>
              <w:right w:val="single" w:sz="2" w:space="0" w:color="999999"/>
            </w:tcBorders>
            <w:shd w:val="clear" w:color="auto" w:fill="FFFFFF"/>
          </w:tcPr>
          <w:p w14:paraId="192BE608"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44247F06"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 xml:space="preserve">(Russell 1941; Ben-Dov 2011a) </w:t>
            </w:r>
          </w:p>
        </w:tc>
        <w:tc>
          <w:tcPr>
            <w:tcW w:w="2670" w:type="dxa"/>
            <w:tcBorders>
              <w:left w:val="single" w:sz="2" w:space="0" w:color="999999"/>
              <w:bottom w:val="single" w:sz="2" w:space="0" w:color="auto"/>
              <w:right w:val="single" w:sz="2" w:space="0" w:color="999999"/>
            </w:tcBorders>
            <w:shd w:val="clear" w:color="auto" w:fill="FFFFFF"/>
          </w:tcPr>
          <w:p w14:paraId="4729D2E9"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2A8D044C"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Associated with the lower surface of mangosteen leaves (Russell 1941).</w:t>
            </w:r>
          </w:p>
        </w:tc>
        <w:tc>
          <w:tcPr>
            <w:tcW w:w="2007" w:type="dxa"/>
            <w:tcBorders>
              <w:left w:val="single" w:sz="2" w:space="0" w:color="999999"/>
              <w:bottom w:val="single" w:sz="2" w:space="0" w:color="auto"/>
              <w:right w:val="single" w:sz="2" w:space="0" w:color="999999"/>
            </w:tcBorders>
            <w:shd w:val="clear" w:color="auto" w:fill="FFFFFF"/>
          </w:tcPr>
          <w:p w14:paraId="7EEA8E4E"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0762371B"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DE8C885"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46617B9F"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3B810AC2"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6106D8D" w14:textId="77777777" w:rsidR="009D3DC8" w:rsidRDefault="009D3DC8">
            <w:pPr>
              <w:pStyle w:val="TableText"/>
              <w:spacing w:line="240" w:lineRule="auto"/>
              <w:rPr>
                <w:rFonts w:cs="Arial"/>
                <w:szCs w:val="16"/>
              </w:rPr>
            </w:pPr>
            <w:r>
              <w:rPr>
                <w:rFonts w:cs="Arial"/>
                <w:i/>
                <w:szCs w:val="16"/>
              </w:rPr>
              <w:t>Ceroplastes floridensis</w:t>
            </w:r>
            <w:r>
              <w:rPr>
                <w:rFonts w:cs="Arial"/>
                <w:szCs w:val="16"/>
              </w:rPr>
              <w:t xml:space="preserve"> Comstock, 1881 </w:t>
            </w:r>
          </w:p>
          <w:p w14:paraId="1F479B68" w14:textId="77777777" w:rsidR="009D3DC8" w:rsidRDefault="009D3DC8">
            <w:pPr>
              <w:pStyle w:val="TableText"/>
              <w:spacing w:line="240" w:lineRule="auto"/>
              <w:rPr>
                <w:rFonts w:cs="Arial"/>
                <w:szCs w:val="16"/>
              </w:rPr>
            </w:pPr>
            <w:r>
              <w:rPr>
                <w:rFonts w:cs="Arial"/>
                <w:szCs w:val="16"/>
              </w:rPr>
              <w:t>[Hemiptera: Coccidae]</w:t>
            </w:r>
          </w:p>
          <w:p w14:paraId="1921AED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Florida wax scale</w:t>
            </w:r>
          </w:p>
        </w:tc>
        <w:tc>
          <w:tcPr>
            <w:tcW w:w="2146" w:type="dxa"/>
            <w:tcBorders>
              <w:left w:val="single" w:sz="2" w:space="0" w:color="999999"/>
              <w:bottom w:val="single" w:sz="2" w:space="0" w:color="auto"/>
              <w:right w:val="single" w:sz="2" w:space="0" w:color="999999"/>
            </w:tcBorders>
            <w:shd w:val="clear" w:color="auto" w:fill="FFFFFF"/>
          </w:tcPr>
          <w:p w14:paraId="3C3C26B9"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6AA653C8"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(Ben-Dov 2011b)</w:t>
            </w:r>
          </w:p>
        </w:tc>
        <w:tc>
          <w:tcPr>
            <w:tcW w:w="2670" w:type="dxa"/>
            <w:tcBorders>
              <w:left w:val="single" w:sz="2" w:space="0" w:color="999999"/>
              <w:bottom w:val="single" w:sz="2" w:space="0" w:color="auto"/>
              <w:right w:val="single" w:sz="2" w:space="0" w:color="999999"/>
            </w:tcBorders>
            <w:shd w:val="clear" w:color="auto" w:fill="FFFFFF"/>
          </w:tcPr>
          <w:p w14:paraId="09E911ED"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4D6164A6"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Primarily occurs on stems and leaves (Miller</w:t>
            </w:r>
            <w:r>
              <w:rPr>
                <w:rFonts w:ascii="Arial" w:hAnsi="Arial" w:cs="Arial"/>
                <w:i/>
                <w:sz w:val="16"/>
                <w:szCs w:val="16"/>
              </w:rPr>
              <w:t xml:space="preserve"> et al.</w:t>
            </w:r>
            <w:r>
              <w:rPr>
                <w:rFonts w:ascii="Arial" w:hAnsi="Arial" w:cs="Arial"/>
                <w:sz w:val="16"/>
                <w:szCs w:val="16"/>
              </w:rPr>
              <w:t xml:space="preserve"> 2007), but also reported on fruit of other hosts, e.g. guava (Gould and Raga 2002). No records of association with mangosteen fruit.</w:t>
            </w:r>
          </w:p>
        </w:tc>
        <w:tc>
          <w:tcPr>
            <w:tcW w:w="2007" w:type="dxa"/>
            <w:tcBorders>
              <w:left w:val="single" w:sz="2" w:space="0" w:color="999999"/>
              <w:bottom w:val="single" w:sz="2" w:space="0" w:color="auto"/>
              <w:right w:val="single" w:sz="2" w:space="0" w:color="999999"/>
            </w:tcBorders>
            <w:shd w:val="clear" w:color="auto" w:fill="FFFFFF"/>
          </w:tcPr>
          <w:p w14:paraId="2C5F0CF2"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5580752E"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NSW, Qld (CSIRO 2005; APPD 2011)</w:t>
            </w:r>
          </w:p>
        </w:tc>
        <w:tc>
          <w:tcPr>
            <w:tcW w:w="2537" w:type="dxa"/>
            <w:tcBorders>
              <w:left w:val="single" w:sz="2" w:space="0" w:color="999999"/>
              <w:bottom w:val="single" w:sz="2" w:space="0" w:color="auto"/>
              <w:right w:val="single" w:sz="2" w:space="0" w:color="999999"/>
            </w:tcBorders>
            <w:shd w:val="clear" w:color="auto" w:fill="FFFFFF"/>
          </w:tcPr>
          <w:p w14:paraId="3C1C5AAD"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26CF6715"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7DB247FF"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60FC75E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0867789" w14:textId="77777777" w:rsidR="009D3DC8" w:rsidRDefault="009D3DC8">
            <w:pPr>
              <w:pStyle w:val="TableText"/>
              <w:spacing w:line="240" w:lineRule="auto"/>
              <w:rPr>
                <w:rFonts w:cs="Arial"/>
                <w:szCs w:val="16"/>
              </w:rPr>
            </w:pPr>
            <w:r>
              <w:rPr>
                <w:rFonts w:cs="Arial"/>
                <w:i/>
                <w:szCs w:val="16"/>
              </w:rPr>
              <w:t xml:space="preserve">Ceroplastes rubens </w:t>
            </w:r>
            <w:r>
              <w:rPr>
                <w:rFonts w:cs="Arial"/>
                <w:szCs w:val="16"/>
              </w:rPr>
              <w:t xml:space="preserve">Maskell, 1893 </w:t>
            </w:r>
          </w:p>
          <w:p w14:paraId="21A4B26A" w14:textId="77777777" w:rsidR="009D3DC8" w:rsidRDefault="009D3DC8">
            <w:pPr>
              <w:pStyle w:val="TableText"/>
              <w:spacing w:line="240" w:lineRule="auto"/>
              <w:rPr>
                <w:rFonts w:cs="Arial"/>
                <w:szCs w:val="16"/>
              </w:rPr>
            </w:pPr>
            <w:r>
              <w:rPr>
                <w:rFonts w:cs="Arial"/>
                <w:szCs w:val="16"/>
              </w:rPr>
              <w:t>[Hemiptera: Coccidae]</w:t>
            </w:r>
          </w:p>
          <w:p w14:paraId="465D58B6"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Pink wax scale</w:t>
            </w:r>
          </w:p>
        </w:tc>
        <w:tc>
          <w:tcPr>
            <w:tcW w:w="2146" w:type="dxa"/>
            <w:tcBorders>
              <w:left w:val="single" w:sz="2" w:space="0" w:color="999999"/>
              <w:bottom w:val="single" w:sz="2" w:space="0" w:color="auto"/>
              <w:right w:val="single" w:sz="2" w:space="0" w:color="999999"/>
            </w:tcBorders>
            <w:shd w:val="clear" w:color="auto" w:fill="FFFFFF"/>
          </w:tcPr>
          <w:p w14:paraId="06210D8C"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3D1155A7"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(Ben-Dov 2011b)</w:t>
            </w:r>
          </w:p>
        </w:tc>
        <w:tc>
          <w:tcPr>
            <w:tcW w:w="2670" w:type="dxa"/>
            <w:tcBorders>
              <w:left w:val="single" w:sz="2" w:space="0" w:color="999999"/>
              <w:bottom w:val="single" w:sz="2" w:space="0" w:color="auto"/>
              <w:right w:val="single" w:sz="2" w:space="0" w:color="999999"/>
            </w:tcBorders>
            <w:shd w:val="clear" w:color="auto" w:fill="FFFFFF"/>
          </w:tcPr>
          <w:p w14:paraId="5D0FBE6F"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40098F33"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 xml:space="preserve">Mangosteen reported as a host (Halbert 2011). </w:t>
            </w:r>
            <w:r>
              <w:rPr>
                <w:rFonts w:ascii="Arial" w:hAnsi="Arial" w:cs="Arial"/>
                <w:i/>
                <w:sz w:val="16"/>
                <w:szCs w:val="16"/>
              </w:rPr>
              <w:t xml:space="preserve">Ceroplastes </w:t>
            </w:r>
            <w:r>
              <w:rPr>
                <w:rFonts w:ascii="Arial" w:hAnsi="Arial" w:cs="Arial"/>
                <w:sz w:val="16"/>
                <w:szCs w:val="16"/>
              </w:rPr>
              <w:t>spp. are associated with the leaves, leaf stalks and shoots of host plants (Srivastava 1997).</w:t>
            </w:r>
          </w:p>
        </w:tc>
        <w:tc>
          <w:tcPr>
            <w:tcW w:w="2007" w:type="dxa"/>
            <w:tcBorders>
              <w:left w:val="single" w:sz="2" w:space="0" w:color="999999"/>
              <w:bottom w:val="single" w:sz="2" w:space="0" w:color="auto"/>
              <w:right w:val="single" w:sz="2" w:space="0" w:color="999999"/>
            </w:tcBorders>
            <w:shd w:val="clear" w:color="auto" w:fill="FFFFFF"/>
          </w:tcPr>
          <w:p w14:paraId="49C7806D"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0596BAD4"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NSW, NT, Qld, Vic., WA</w:t>
            </w:r>
          </w:p>
          <w:p w14:paraId="028A19B5"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(CSIRO 2005; Poole 2010; APPD 2011)</w:t>
            </w:r>
          </w:p>
        </w:tc>
        <w:tc>
          <w:tcPr>
            <w:tcW w:w="2537" w:type="dxa"/>
            <w:tcBorders>
              <w:left w:val="single" w:sz="2" w:space="0" w:color="999999"/>
              <w:bottom w:val="single" w:sz="2" w:space="0" w:color="auto"/>
              <w:right w:val="single" w:sz="2" w:space="0" w:color="999999"/>
            </w:tcBorders>
            <w:shd w:val="clear" w:color="auto" w:fill="FFFFFF"/>
          </w:tcPr>
          <w:p w14:paraId="0708DB32"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79CDC79B"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666F9037"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54E15A11"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0441CA6" w14:textId="77777777" w:rsidR="009D3DC8" w:rsidRDefault="009D3DC8">
            <w:pPr>
              <w:pStyle w:val="TableText"/>
              <w:spacing w:line="240" w:lineRule="auto"/>
              <w:rPr>
                <w:rFonts w:cs="Arial"/>
                <w:szCs w:val="16"/>
              </w:rPr>
            </w:pPr>
            <w:r>
              <w:rPr>
                <w:rFonts w:cs="Arial"/>
                <w:i/>
                <w:szCs w:val="16"/>
              </w:rPr>
              <w:t xml:space="preserve">Chrysomphalus aonidum </w:t>
            </w:r>
            <w:r>
              <w:rPr>
                <w:rFonts w:cs="Arial"/>
                <w:szCs w:val="16"/>
              </w:rPr>
              <w:t>(Linnaeus, 1758)</w:t>
            </w:r>
          </w:p>
          <w:p w14:paraId="600BDE33" w14:textId="77777777" w:rsidR="009D3DC8" w:rsidRDefault="009D3DC8">
            <w:pPr>
              <w:pStyle w:val="TableText"/>
              <w:spacing w:line="240" w:lineRule="auto"/>
              <w:rPr>
                <w:rFonts w:cs="Arial"/>
                <w:szCs w:val="16"/>
              </w:rPr>
            </w:pPr>
            <w:r>
              <w:rPr>
                <w:rFonts w:cs="Arial"/>
                <w:szCs w:val="16"/>
              </w:rPr>
              <w:t>[Hemiptera: Diaspididae]</w:t>
            </w:r>
          </w:p>
          <w:p w14:paraId="425838D2"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Black scale or Florida red scale</w:t>
            </w:r>
          </w:p>
        </w:tc>
        <w:tc>
          <w:tcPr>
            <w:tcW w:w="2146" w:type="dxa"/>
            <w:tcBorders>
              <w:left w:val="single" w:sz="2" w:space="0" w:color="999999"/>
              <w:bottom w:val="single" w:sz="2" w:space="0" w:color="auto"/>
              <w:right w:val="single" w:sz="2" w:space="0" w:color="999999"/>
            </w:tcBorders>
            <w:shd w:val="clear" w:color="auto" w:fill="FFFFFF"/>
          </w:tcPr>
          <w:p w14:paraId="4D88B884"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111B6CD5"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(Ben-Dov 2011c)</w:t>
            </w:r>
          </w:p>
        </w:tc>
        <w:tc>
          <w:tcPr>
            <w:tcW w:w="2670" w:type="dxa"/>
            <w:tcBorders>
              <w:left w:val="single" w:sz="2" w:space="0" w:color="999999"/>
              <w:bottom w:val="single" w:sz="2" w:space="0" w:color="auto"/>
              <w:right w:val="single" w:sz="2" w:space="0" w:color="999999"/>
            </w:tcBorders>
            <w:shd w:val="clear" w:color="auto" w:fill="FFFFFF"/>
          </w:tcPr>
          <w:p w14:paraId="642AE8CA"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5D317D2D"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i/>
                <w:sz w:val="16"/>
                <w:szCs w:val="16"/>
              </w:rPr>
              <w:t xml:space="preserve">Garcinia </w:t>
            </w:r>
            <w:r>
              <w:rPr>
                <w:rFonts w:ascii="Arial" w:hAnsi="Arial" w:cs="Arial"/>
                <w:sz w:val="16"/>
                <w:szCs w:val="16"/>
              </w:rPr>
              <w:t xml:space="preserve">sp. is a host (Ben-Dov 2011c). </w:t>
            </w:r>
            <w:r>
              <w:rPr>
                <w:rFonts w:ascii="Arial" w:hAnsi="Arial" w:cs="Arial"/>
                <w:i/>
                <w:sz w:val="16"/>
                <w:szCs w:val="16"/>
              </w:rPr>
              <w:t>C. aonidum</w:t>
            </w:r>
            <w:r>
              <w:rPr>
                <w:rFonts w:ascii="Arial" w:hAnsi="Arial" w:cs="Arial"/>
                <w:sz w:val="16"/>
                <w:szCs w:val="16"/>
              </w:rPr>
              <w:t xml:space="preserve"> are associated with the leaves and branches of hosts but can affect fruit during periods of very heavy infestation (CABI 2011).</w:t>
            </w:r>
          </w:p>
        </w:tc>
        <w:tc>
          <w:tcPr>
            <w:tcW w:w="2007" w:type="dxa"/>
            <w:tcBorders>
              <w:left w:val="single" w:sz="2" w:space="0" w:color="999999"/>
              <w:bottom w:val="single" w:sz="2" w:space="0" w:color="auto"/>
              <w:right w:val="single" w:sz="2" w:space="0" w:color="999999"/>
            </w:tcBorders>
            <w:shd w:val="clear" w:color="auto" w:fill="FFFFFF"/>
          </w:tcPr>
          <w:p w14:paraId="4E9C017C"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51F1DF97"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Qld, NSW, NT, Tas., WA (CSIRO 2005; APPD 2011)</w:t>
            </w:r>
          </w:p>
        </w:tc>
        <w:tc>
          <w:tcPr>
            <w:tcW w:w="2537" w:type="dxa"/>
            <w:tcBorders>
              <w:left w:val="single" w:sz="2" w:space="0" w:color="999999"/>
              <w:bottom w:val="single" w:sz="2" w:space="0" w:color="auto"/>
              <w:right w:val="single" w:sz="2" w:space="0" w:color="999999"/>
            </w:tcBorders>
            <w:shd w:val="clear" w:color="auto" w:fill="FFFFFF"/>
          </w:tcPr>
          <w:p w14:paraId="471B9320"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07E8025A"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6AAEF45C"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40B73C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449268D" w14:textId="77777777" w:rsidR="009D3DC8" w:rsidRDefault="009D3DC8">
            <w:pPr>
              <w:pStyle w:val="TableText"/>
              <w:spacing w:line="240" w:lineRule="auto"/>
              <w:rPr>
                <w:rFonts w:cs="Arial"/>
                <w:szCs w:val="16"/>
              </w:rPr>
            </w:pPr>
            <w:r>
              <w:rPr>
                <w:rFonts w:cs="Arial"/>
                <w:i/>
                <w:szCs w:val="16"/>
              </w:rPr>
              <w:lastRenderedPageBreak/>
              <w:t xml:space="preserve">Coccus viridis </w:t>
            </w:r>
            <w:r>
              <w:rPr>
                <w:rFonts w:cs="Arial"/>
                <w:szCs w:val="16"/>
              </w:rPr>
              <w:t>(Green, 1889)</w:t>
            </w:r>
          </w:p>
          <w:p w14:paraId="6558CA09" w14:textId="77777777" w:rsidR="009D3DC8" w:rsidRDefault="009D3DC8">
            <w:pPr>
              <w:pStyle w:val="TableText"/>
              <w:spacing w:line="240" w:lineRule="auto"/>
              <w:rPr>
                <w:rFonts w:cs="Arial"/>
                <w:szCs w:val="16"/>
              </w:rPr>
            </w:pPr>
            <w:r>
              <w:rPr>
                <w:rFonts w:cs="Arial"/>
                <w:szCs w:val="16"/>
              </w:rPr>
              <w:t>[Hemiptera: Coccidae]</w:t>
            </w:r>
          </w:p>
          <w:p w14:paraId="1A4B9ACE"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Florida wax scale</w:t>
            </w:r>
          </w:p>
        </w:tc>
        <w:tc>
          <w:tcPr>
            <w:tcW w:w="2146" w:type="dxa"/>
            <w:tcBorders>
              <w:left w:val="single" w:sz="2" w:space="0" w:color="999999"/>
              <w:bottom w:val="single" w:sz="2" w:space="0" w:color="auto"/>
              <w:right w:val="single" w:sz="2" w:space="0" w:color="999999"/>
            </w:tcBorders>
            <w:shd w:val="clear" w:color="auto" w:fill="FFFFFF"/>
          </w:tcPr>
          <w:p w14:paraId="617E9B03"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510DBB8C"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(Ben-Dov 2011b)</w:t>
            </w:r>
          </w:p>
        </w:tc>
        <w:tc>
          <w:tcPr>
            <w:tcW w:w="2670" w:type="dxa"/>
            <w:tcBorders>
              <w:left w:val="single" w:sz="2" w:space="0" w:color="999999"/>
              <w:bottom w:val="single" w:sz="2" w:space="0" w:color="auto"/>
              <w:right w:val="single" w:sz="2" w:space="0" w:color="999999"/>
            </w:tcBorders>
            <w:shd w:val="clear" w:color="auto" w:fill="FFFFFF"/>
          </w:tcPr>
          <w:p w14:paraId="16E0D48F"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w:t>
            </w:r>
          </w:p>
          <w:p w14:paraId="4A473E9A"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Intercepted on mangosteen material from Hawaii (USDA-APHIS 2006). No records of association with mangosteen fruit.</w:t>
            </w:r>
          </w:p>
        </w:tc>
        <w:tc>
          <w:tcPr>
            <w:tcW w:w="2007" w:type="dxa"/>
            <w:tcBorders>
              <w:left w:val="single" w:sz="2" w:space="0" w:color="999999"/>
              <w:bottom w:val="single" w:sz="2" w:space="0" w:color="auto"/>
              <w:right w:val="single" w:sz="2" w:space="0" w:color="999999"/>
            </w:tcBorders>
            <w:shd w:val="clear" w:color="auto" w:fill="FFFFFF"/>
          </w:tcPr>
          <w:p w14:paraId="2A396CD1"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781063B7"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NSW, NT, Qld, WA (Poole 2010; APPD 2011)</w:t>
            </w:r>
          </w:p>
        </w:tc>
        <w:tc>
          <w:tcPr>
            <w:tcW w:w="2537" w:type="dxa"/>
            <w:tcBorders>
              <w:left w:val="single" w:sz="2" w:space="0" w:color="999999"/>
              <w:bottom w:val="single" w:sz="2" w:space="0" w:color="auto"/>
              <w:right w:val="single" w:sz="2" w:space="0" w:color="999999"/>
            </w:tcBorders>
            <w:shd w:val="clear" w:color="auto" w:fill="FFFFFF"/>
          </w:tcPr>
          <w:p w14:paraId="27CE62DC"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33B363AB"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0403777C"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8373EF6"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665D883" w14:textId="77777777" w:rsidR="009D3DC8" w:rsidRDefault="009D3DC8">
            <w:pPr>
              <w:pStyle w:val="TableText"/>
              <w:spacing w:line="240" w:lineRule="auto"/>
              <w:rPr>
                <w:rFonts w:cs="Arial"/>
                <w:szCs w:val="16"/>
              </w:rPr>
            </w:pPr>
            <w:r>
              <w:rPr>
                <w:rFonts w:cs="Arial"/>
                <w:i/>
                <w:szCs w:val="16"/>
              </w:rPr>
              <w:t>Diaspis boisduvalii</w:t>
            </w:r>
            <w:r>
              <w:rPr>
                <w:rFonts w:cs="Arial"/>
                <w:szCs w:val="16"/>
              </w:rPr>
              <w:t xml:space="preserve"> Signoret, 1869</w:t>
            </w:r>
          </w:p>
          <w:p w14:paraId="5C2FE20B" w14:textId="77777777" w:rsidR="009D3DC8" w:rsidRDefault="009D3DC8">
            <w:pPr>
              <w:pStyle w:val="TableText"/>
              <w:spacing w:line="240" w:lineRule="auto"/>
              <w:rPr>
                <w:rFonts w:cs="Arial"/>
                <w:szCs w:val="16"/>
              </w:rPr>
            </w:pPr>
            <w:r>
              <w:rPr>
                <w:rFonts w:cs="Arial"/>
                <w:szCs w:val="16"/>
              </w:rPr>
              <w:t>[Hemiptera: Diaspididae]</w:t>
            </w:r>
          </w:p>
          <w:p w14:paraId="33FFB2A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Boisduval scale</w:t>
            </w:r>
          </w:p>
        </w:tc>
        <w:tc>
          <w:tcPr>
            <w:tcW w:w="2146" w:type="dxa"/>
            <w:tcBorders>
              <w:left w:val="single" w:sz="2" w:space="0" w:color="999999"/>
              <w:bottom w:val="single" w:sz="2" w:space="0" w:color="auto"/>
              <w:right w:val="single" w:sz="2" w:space="0" w:color="999999"/>
            </w:tcBorders>
            <w:shd w:val="clear" w:color="auto" w:fill="FFFFFF"/>
          </w:tcPr>
          <w:p w14:paraId="7374ED9B"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67CC3DB4"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 xml:space="preserve">(Tjoa 1960) </w:t>
            </w:r>
          </w:p>
        </w:tc>
        <w:tc>
          <w:tcPr>
            <w:tcW w:w="2670" w:type="dxa"/>
            <w:tcBorders>
              <w:left w:val="single" w:sz="2" w:space="0" w:color="999999"/>
              <w:bottom w:val="single" w:sz="2" w:space="0" w:color="auto"/>
              <w:right w:val="single" w:sz="2" w:space="0" w:color="999999"/>
            </w:tcBorders>
            <w:shd w:val="clear" w:color="auto" w:fill="FFFFFF"/>
          </w:tcPr>
          <w:p w14:paraId="21681FE6"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329C778C"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Occurs on all aerial plant parts (leaves, fruit and stems) of host plants (Tenbrink and Hara 1992a; Miller and Davidson 2005b).</w:t>
            </w:r>
          </w:p>
        </w:tc>
        <w:tc>
          <w:tcPr>
            <w:tcW w:w="2007" w:type="dxa"/>
            <w:tcBorders>
              <w:left w:val="single" w:sz="2" w:space="0" w:color="999999"/>
              <w:bottom w:val="single" w:sz="2" w:space="0" w:color="auto"/>
              <w:right w:val="single" w:sz="2" w:space="0" w:color="999999"/>
            </w:tcBorders>
            <w:shd w:val="clear" w:color="auto" w:fill="FFFFFF"/>
          </w:tcPr>
          <w:p w14:paraId="37A30A28"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Yes</w:t>
            </w:r>
          </w:p>
          <w:p w14:paraId="04C96146"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 xml:space="preserve">Vic., NSW, Tas., Qld, SA (CSIRO 2005; APPD 2011) </w:t>
            </w:r>
          </w:p>
          <w:p w14:paraId="3CA56B82" w14:textId="77777777" w:rsidR="009D3DC8" w:rsidRDefault="009D3DC8">
            <w:pPr>
              <w:pStyle w:val="NormalWeb"/>
              <w:spacing w:before="60" w:beforeAutospacing="0" w:after="60" w:afterAutospacing="0"/>
              <w:rPr>
                <w:rFonts w:ascii="Arial" w:hAnsi="Arial" w:cs="Arial"/>
                <w:sz w:val="16"/>
                <w:szCs w:val="16"/>
              </w:rPr>
            </w:pPr>
            <w:r>
              <w:rPr>
                <w:rFonts w:ascii="Arial" w:hAnsi="Arial" w:cs="Arial"/>
                <w:sz w:val="16"/>
                <w:szCs w:val="16"/>
              </w:rPr>
              <w:t>Not present in WA (Poole 2010)</w:t>
            </w:r>
          </w:p>
        </w:tc>
        <w:tc>
          <w:tcPr>
            <w:tcW w:w="2537" w:type="dxa"/>
            <w:tcBorders>
              <w:left w:val="single" w:sz="2" w:space="0" w:color="999999"/>
              <w:bottom w:val="single" w:sz="2" w:space="0" w:color="auto"/>
              <w:right w:val="single" w:sz="2" w:space="0" w:color="999999"/>
            </w:tcBorders>
            <w:shd w:val="clear" w:color="auto" w:fill="FFFFFF"/>
          </w:tcPr>
          <w:p w14:paraId="311A3318" w14:textId="77777777" w:rsidR="009D3DC8" w:rsidRDefault="009D3DC8">
            <w:pPr>
              <w:pStyle w:val="TableText1"/>
              <w:keepNext w:val="0"/>
              <w:rPr>
                <w:rFonts w:ascii="Arial" w:hAnsi="Arial" w:cs="Arial"/>
                <w:color w:val="auto"/>
                <w:szCs w:val="16"/>
                <w:lang w:val="en-US"/>
              </w:rPr>
            </w:pPr>
            <w:r>
              <w:rPr>
                <w:rFonts w:ascii="Arial" w:hAnsi="Arial" w:cs="Arial"/>
                <w:color w:val="auto"/>
                <w:szCs w:val="16"/>
                <w:lang w:val="en-US"/>
              </w:rPr>
              <w:t>Yes</w:t>
            </w:r>
          </w:p>
          <w:p w14:paraId="5526E387" w14:textId="77777777" w:rsidR="009D3DC8" w:rsidRDefault="009D3DC8">
            <w:pPr>
              <w:pStyle w:val="TableText1"/>
              <w:keepNext w:val="0"/>
              <w:rPr>
                <w:rFonts w:ascii="Arial" w:hAnsi="Arial" w:cs="Arial"/>
                <w:i/>
                <w:color w:val="auto"/>
                <w:szCs w:val="16"/>
              </w:rPr>
            </w:pPr>
            <w:r>
              <w:rPr>
                <w:rFonts w:ascii="Arial" w:hAnsi="Arial" w:cs="Arial"/>
                <w:color w:val="auto"/>
                <w:szCs w:val="16"/>
                <w:lang w:val="en-US"/>
              </w:rPr>
              <w:t>Dispersed as first-instar nymphs (Magsig-Castillo</w:t>
            </w:r>
            <w:r>
              <w:rPr>
                <w:rFonts w:ascii="Arial" w:hAnsi="Arial" w:cs="Arial"/>
                <w:i/>
                <w:color w:val="auto"/>
                <w:szCs w:val="16"/>
                <w:lang w:val="en-US"/>
              </w:rPr>
              <w:t xml:space="preserve"> et al.</w:t>
            </w:r>
            <w:r>
              <w:rPr>
                <w:rFonts w:ascii="Arial" w:hAnsi="Arial" w:cs="Arial"/>
                <w:color w:val="auto"/>
                <w:szCs w:val="16"/>
                <w:lang w:val="en-US"/>
              </w:rPr>
              <w:t xml:space="preserve"> 2010), has a wide host range and is near-cosmopolitan (Miller and Davidson 2005b). Climates in parts of Western Australia would be suitable for the establishment </w:t>
            </w:r>
            <w:r>
              <w:rPr>
                <w:rFonts w:ascii="Arial" w:hAnsi="Arial" w:cs="Arial"/>
                <w:i/>
                <w:color w:val="auto"/>
                <w:szCs w:val="16"/>
                <w:lang w:val="en-US"/>
              </w:rPr>
              <w:t>D. boisduvalii.</w:t>
            </w:r>
          </w:p>
        </w:tc>
        <w:tc>
          <w:tcPr>
            <w:tcW w:w="2270" w:type="dxa"/>
            <w:gridSpan w:val="2"/>
            <w:tcBorders>
              <w:left w:val="single" w:sz="2" w:space="0" w:color="999999"/>
              <w:bottom w:val="single" w:sz="2" w:space="0" w:color="auto"/>
              <w:right w:val="single" w:sz="2" w:space="0" w:color="999999"/>
            </w:tcBorders>
            <w:shd w:val="clear" w:color="auto" w:fill="FFFFFF"/>
          </w:tcPr>
          <w:p w14:paraId="4FF39AA4" w14:textId="77777777" w:rsidR="009D3DC8" w:rsidRDefault="009D3DC8">
            <w:pPr>
              <w:pStyle w:val="TableText1"/>
              <w:keepNext w:val="0"/>
              <w:rPr>
                <w:rFonts w:ascii="Arial" w:hAnsi="Arial" w:cs="Arial"/>
                <w:color w:val="auto"/>
                <w:szCs w:val="16"/>
                <w:lang w:val="en-US"/>
              </w:rPr>
            </w:pPr>
            <w:r>
              <w:rPr>
                <w:rFonts w:ascii="Arial" w:hAnsi="Arial" w:cs="Arial"/>
                <w:color w:val="auto"/>
                <w:szCs w:val="16"/>
                <w:lang w:val="en-US"/>
              </w:rPr>
              <w:t>Yes</w:t>
            </w:r>
          </w:p>
          <w:p w14:paraId="4F80754C" w14:textId="77777777" w:rsidR="009D3DC8" w:rsidRDefault="009D3DC8">
            <w:pPr>
              <w:pStyle w:val="TableText1"/>
              <w:keepNext w:val="0"/>
              <w:rPr>
                <w:rFonts w:ascii="Arial" w:hAnsi="Arial" w:cs="Arial"/>
                <w:color w:val="auto"/>
                <w:szCs w:val="16"/>
              </w:rPr>
            </w:pPr>
            <w:r>
              <w:rPr>
                <w:rFonts w:ascii="Arial" w:hAnsi="Arial" w:cs="Arial"/>
                <w:color w:val="auto"/>
                <w:szCs w:val="16"/>
                <w:lang w:val="en-US"/>
              </w:rPr>
              <w:t>Important pest of orchids (Miller and Davidson 2005b). Also a minor pest of bananas, pineapples, coffee, and coconuts (Miller and Davidson 2005b).</w:t>
            </w:r>
          </w:p>
        </w:tc>
        <w:tc>
          <w:tcPr>
            <w:tcW w:w="1163" w:type="dxa"/>
            <w:tcBorders>
              <w:left w:val="single" w:sz="2" w:space="0" w:color="999999"/>
              <w:bottom w:val="single" w:sz="2" w:space="0" w:color="auto"/>
            </w:tcBorders>
            <w:shd w:val="clear" w:color="auto" w:fill="FFFFFF"/>
          </w:tcPr>
          <w:p w14:paraId="0E20B7C8" w14:textId="77777777" w:rsidR="009D3DC8" w:rsidRDefault="009D3DC8">
            <w:pPr>
              <w:pStyle w:val="TableText1"/>
              <w:keepNext w:val="0"/>
              <w:rPr>
                <w:rFonts w:ascii="Arial" w:hAnsi="Arial" w:cs="Arial"/>
                <w:color w:val="auto"/>
                <w:szCs w:val="16"/>
              </w:rPr>
            </w:pPr>
            <w:r>
              <w:rPr>
                <w:rFonts w:ascii="Arial" w:hAnsi="Arial" w:cs="Arial"/>
                <w:color w:val="auto"/>
                <w:szCs w:val="16"/>
              </w:rPr>
              <w:t>Yes (WA)</w:t>
            </w:r>
          </w:p>
        </w:tc>
      </w:tr>
      <w:tr w:rsidR="009D3DC8" w14:paraId="174719CC"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A772BE7" w14:textId="77777777" w:rsidR="009D3DC8" w:rsidRDefault="009D3DC8">
            <w:pPr>
              <w:pStyle w:val="TableText"/>
              <w:spacing w:line="240" w:lineRule="auto"/>
              <w:rPr>
                <w:rFonts w:cs="Arial"/>
                <w:szCs w:val="16"/>
              </w:rPr>
            </w:pPr>
            <w:r>
              <w:rPr>
                <w:rFonts w:cs="Arial"/>
                <w:i/>
                <w:szCs w:val="16"/>
              </w:rPr>
              <w:t xml:space="preserve">Drepanococcus chiton </w:t>
            </w:r>
            <w:r>
              <w:rPr>
                <w:rFonts w:cs="Arial"/>
                <w:szCs w:val="16"/>
              </w:rPr>
              <w:t>(Green 1909)</w:t>
            </w:r>
          </w:p>
          <w:p w14:paraId="68DBE9CC" w14:textId="77777777" w:rsidR="009D3DC8" w:rsidRDefault="009D3DC8">
            <w:pPr>
              <w:pStyle w:val="TableText"/>
              <w:spacing w:line="240" w:lineRule="auto"/>
              <w:rPr>
                <w:rFonts w:cs="Arial"/>
                <w:szCs w:val="16"/>
              </w:rPr>
            </w:pPr>
            <w:r>
              <w:rPr>
                <w:rFonts w:cs="Arial"/>
                <w:szCs w:val="16"/>
              </w:rPr>
              <w:t>[Hemiptera: Coccidae]</w:t>
            </w:r>
          </w:p>
          <w:p w14:paraId="57A52FBE"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Wax scale</w:t>
            </w:r>
          </w:p>
        </w:tc>
        <w:tc>
          <w:tcPr>
            <w:tcW w:w="2146" w:type="dxa"/>
            <w:tcBorders>
              <w:left w:val="single" w:sz="2" w:space="0" w:color="999999"/>
              <w:bottom w:val="single" w:sz="2" w:space="0" w:color="auto"/>
              <w:right w:val="single" w:sz="2" w:space="0" w:color="999999"/>
            </w:tcBorders>
            <w:shd w:val="clear" w:color="auto" w:fill="FFFFFF"/>
          </w:tcPr>
          <w:p w14:paraId="772576CB"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34B43BA"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2011b)</w:t>
            </w:r>
          </w:p>
        </w:tc>
        <w:tc>
          <w:tcPr>
            <w:tcW w:w="2670" w:type="dxa"/>
            <w:tcBorders>
              <w:left w:val="single" w:sz="2" w:space="0" w:color="999999"/>
              <w:bottom w:val="single" w:sz="2" w:space="0" w:color="auto"/>
              <w:right w:val="single" w:sz="2" w:space="0" w:color="999999"/>
            </w:tcBorders>
            <w:shd w:val="clear" w:color="auto" w:fill="FFFFFF"/>
          </w:tcPr>
          <w:p w14:paraId="29722BA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C02AED2" w14:textId="77777777" w:rsidR="009D3DC8" w:rsidRDefault="009D3DC8">
            <w:pPr>
              <w:pStyle w:val="TableText1"/>
              <w:keepNext w:val="0"/>
              <w:rPr>
                <w:rFonts w:ascii="Arial" w:hAnsi="Arial" w:cs="Arial"/>
                <w:color w:val="auto"/>
                <w:szCs w:val="16"/>
              </w:rPr>
            </w:pPr>
            <w:r>
              <w:rPr>
                <w:rFonts w:ascii="Arial" w:hAnsi="Arial" w:cs="Arial"/>
                <w:i/>
                <w:color w:val="auto"/>
                <w:szCs w:val="16"/>
              </w:rPr>
              <w:t xml:space="preserve">Drepanococcus </w:t>
            </w:r>
            <w:r>
              <w:rPr>
                <w:rFonts w:ascii="Arial" w:hAnsi="Arial" w:cs="Arial"/>
                <w:color w:val="auto"/>
                <w:szCs w:val="16"/>
              </w:rPr>
              <w:t xml:space="preserve">sp. has been intercepted in Australia on mangosteen fruit from Thailand. Given the distribution records of the genus, the species is almost certainly </w:t>
            </w:r>
            <w:r>
              <w:rPr>
                <w:rFonts w:ascii="Arial" w:hAnsi="Arial" w:cs="Arial"/>
                <w:i/>
                <w:color w:val="auto"/>
                <w:szCs w:val="16"/>
              </w:rPr>
              <w:t>D. chiton</w:t>
            </w:r>
            <w:r>
              <w:rPr>
                <w:rFonts w:ascii="Arial" w:hAnsi="Arial" w:cs="Arial"/>
                <w:color w:val="auto"/>
                <w:szCs w:val="16"/>
              </w:rPr>
              <w:t>.</w:t>
            </w:r>
          </w:p>
        </w:tc>
        <w:tc>
          <w:tcPr>
            <w:tcW w:w="2007" w:type="dxa"/>
            <w:tcBorders>
              <w:left w:val="single" w:sz="2" w:space="0" w:color="999999"/>
              <w:bottom w:val="single" w:sz="2" w:space="0" w:color="auto"/>
              <w:right w:val="single" w:sz="2" w:space="0" w:color="999999"/>
            </w:tcBorders>
            <w:shd w:val="clear" w:color="auto" w:fill="FFFFFF"/>
          </w:tcPr>
          <w:p w14:paraId="2DF96464"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538D095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4AC7DF0" w14:textId="77777777" w:rsidR="009D3DC8" w:rsidRDefault="009D3DC8">
            <w:pPr>
              <w:pStyle w:val="TableText1"/>
              <w:keepNext w:val="0"/>
              <w:rPr>
                <w:rFonts w:ascii="Arial" w:hAnsi="Arial" w:cs="Arial"/>
                <w:color w:val="auto"/>
                <w:szCs w:val="16"/>
              </w:rPr>
            </w:pPr>
            <w:r>
              <w:rPr>
                <w:rFonts w:ascii="Arial" w:hAnsi="Arial" w:cs="Arial"/>
                <w:color w:val="auto"/>
                <w:szCs w:val="16"/>
              </w:rPr>
              <w:t>Highly polyphagous, and has been found living on plant species from various genera (Ben-Dov and Hodgson 1997). Found in Asian countries with environments similar to areas in Australia.</w:t>
            </w:r>
          </w:p>
        </w:tc>
        <w:tc>
          <w:tcPr>
            <w:tcW w:w="2270" w:type="dxa"/>
            <w:gridSpan w:val="2"/>
            <w:tcBorders>
              <w:left w:val="single" w:sz="2" w:space="0" w:color="999999"/>
              <w:bottom w:val="single" w:sz="2" w:space="0" w:color="auto"/>
              <w:right w:val="single" w:sz="2" w:space="0" w:color="999999"/>
            </w:tcBorders>
            <w:shd w:val="clear" w:color="auto" w:fill="FFFFFF"/>
          </w:tcPr>
          <w:p w14:paraId="48683B8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1C06DA0" w14:textId="77777777" w:rsidR="009D3DC8" w:rsidRDefault="009D3DC8">
            <w:pPr>
              <w:pStyle w:val="TableText1"/>
              <w:keepNext w:val="0"/>
              <w:rPr>
                <w:rFonts w:ascii="Arial" w:hAnsi="Arial" w:cs="Arial"/>
                <w:color w:val="auto"/>
                <w:szCs w:val="16"/>
              </w:rPr>
            </w:pPr>
            <w:r>
              <w:rPr>
                <w:rFonts w:ascii="Arial" w:hAnsi="Arial" w:cs="Arial"/>
                <w:color w:val="auto"/>
                <w:szCs w:val="16"/>
              </w:rPr>
              <w:t>Coccidae consume large quantities of plant sap. This can result in a loss of plant vigour, poor growth, dieback, early leaf drop and sometimes death of the entire plant. During feeding, they inject saliva into the plant that can be toxic, produce chlorotic discolouration and deformation. The honeydew they excrete also causes the growth of sooty mould, which interferes with photosynthesis, can cause a reduction in fruit size and generally gives the crop an unsightly appearance (Gill and Kosztarab 1997).</w:t>
            </w:r>
          </w:p>
        </w:tc>
        <w:tc>
          <w:tcPr>
            <w:tcW w:w="1163" w:type="dxa"/>
            <w:tcBorders>
              <w:left w:val="single" w:sz="2" w:space="0" w:color="999999"/>
              <w:bottom w:val="single" w:sz="2" w:space="0" w:color="auto"/>
            </w:tcBorders>
            <w:shd w:val="clear" w:color="auto" w:fill="FFFFFF"/>
          </w:tcPr>
          <w:p w14:paraId="2E3A8D2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5149EEDD"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DB552CC" w14:textId="77777777" w:rsidR="009D3DC8" w:rsidRDefault="009D3DC8">
            <w:pPr>
              <w:pStyle w:val="TableText"/>
              <w:spacing w:line="240" w:lineRule="auto"/>
              <w:rPr>
                <w:rFonts w:cs="Arial"/>
                <w:szCs w:val="16"/>
              </w:rPr>
            </w:pPr>
            <w:r>
              <w:rPr>
                <w:rFonts w:cs="Arial"/>
                <w:i/>
                <w:szCs w:val="16"/>
              </w:rPr>
              <w:lastRenderedPageBreak/>
              <w:t>Dysmicoccus lepelleyi</w:t>
            </w:r>
            <w:r>
              <w:rPr>
                <w:rFonts w:cs="Arial"/>
                <w:szCs w:val="16"/>
              </w:rPr>
              <w:t xml:space="preserve"> (Betrem, 1937)</w:t>
            </w:r>
          </w:p>
          <w:p w14:paraId="50360B9D" w14:textId="77777777" w:rsidR="009D3DC8" w:rsidRDefault="009D3DC8">
            <w:pPr>
              <w:pStyle w:val="TableText"/>
              <w:spacing w:line="240" w:lineRule="auto"/>
              <w:rPr>
                <w:rFonts w:cs="Arial"/>
                <w:szCs w:val="16"/>
              </w:rPr>
            </w:pPr>
            <w:r>
              <w:rPr>
                <w:rFonts w:cs="Arial"/>
                <w:szCs w:val="16"/>
              </w:rPr>
              <w:t>[Hemiptera: Pseudococcidae]</w:t>
            </w:r>
          </w:p>
          <w:p w14:paraId="44686605"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Annona mealybug</w:t>
            </w:r>
          </w:p>
        </w:tc>
        <w:tc>
          <w:tcPr>
            <w:tcW w:w="2146" w:type="dxa"/>
            <w:tcBorders>
              <w:left w:val="single" w:sz="2" w:space="0" w:color="999999"/>
              <w:bottom w:val="single" w:sz="2" w:space="0" w:color="auto"/>
              <w:right w:val="single" w:sz="2" w:space="0" w:color="999999"/>
            </w:tcBorders>
            <w:shd w:val="clear" w:color="auto" w:fill="FFFFFF"/>
          </w:tcPr>
          <w:p w14:paraId="741E9B7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53E1EC8"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2011d)</w:t>
            </w:r>
          </w:p>
        </w:tc>
        <w:tc>
          <w:tcPr>
            <w:tcW w:w="2670" w:type="dxa"/>
            <w:tcBorders>
              <w:left w:val="single" w:sz="2" w:space="0" w:color="999999"/>
              <w:bottom w:val="single" w:sz="2" w:space="0" w:color="auto"/>
              <w:right w:val="single" w:sz="2" w:space="0" w:color="999999"/>
            </w:tcBorders>
            <w:shd w:val="clear" w:color="auto" w:fill="FFFFFF"/>
          </w:tcPr>
          <w:p w14:paraId="4B2FCBA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3A590B5"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fruit (Williams 2004).</w:t>
            </w:r>
          </w:p>
        </w:tc>
        <w:tc>
          <w:tcPr>
            <w:tcW w:w="2007" w:type="dxa"/>
            <w:tcBorders>
              <w:left w:val="single" w:sz="2" w:space="0" w:color="999999"/>
              <w:bottom w:val="single" w:sz="2" w:space="0" w:color="auto"/>
              <w:right w:val="single" w:sz="2" w:space="0" w:color="999999"/>
            </w:tcBorders>
            <w:shd w:val="clear" w:color="auto" w:fill="FFFFFF"/>
          </w:tcPr>
          <w:p w14:paraId="01AD0F9A"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673C41F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DBC65DA"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Has a wide host range (Ben-Dov 2011d) and susceptible hosts are present in Australia </w:t>
            </w:r>
          </w:p>
        </w:tc>
        <w:tc>
          <w:tcPr>
            <w:tcW w:w="2270" w:type="dxa"/>
            <w:gridSpan w:val="2"/>
            <w:tcBorders>
              <w:left w:val="single" w:sz="2" w:space="0" w:color="999999"/>
              <w:bottom w:val="single" w:sz="2" w:space="0" w:color="auto"/>
              <w:right w:val="single" w:sz="2" w:space="0" w:color="999999"/>
            </w:tcBorders>
            <w:shd w:val="clear" w:color="auto" w:fill="FFFFFF"/>
          </w:tcPr>
          <w:p w14:paraId="0F9C05A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F90DC7C" w14:textId="77777777" w:rsidR="009D3DC8" w:rsidRDefault="009D3DC8">
            <w:pPr>
              <w:pStyle w:val="TableText1"/>
              <w:keepNext w:val="0"/>
              <w:rPr>
                <w:rFonts w:ascii="Arial" w:hAnsi="Arial" w:cs="Arial"/>
                <w:color w:val="auto"/>
                <w:szCs w:val="16"/>
              </w:rPr>
            </w:pPr>
            <w:r>
              <w:rPr>
                <w:rFonts w:ascii="Arial" w:hAnsi="Arial" w:cs="Arial"/>
                <w:color w:val="auto"/>
                <w:szCs w:val="16"/>
              </w:rPr>
              <w:t>A polyphagous species (Williams 2004). Mealybugs feed on sap, stressing their host plants and reducing the yield of commercial crops. The production of honeydew by mealybugs also promotes the growth of sooty moulds, which reduces the marketability of fruit (CABI 2011).</w:t>
            </w:r>
          </w:p>
        </w:tc>
        <w:tc>
          <w:tcPr>
            <w:tcW w:w="1163" w:type="dxa"/>
            <w:tcBorders>
              <w:left w:val="single" w:sz="2" w:space="0" w:color="999999"/>
              <w:bottom w:val="single" w:sz="2" w:space="0" w:color="auto"/>
            </w:tcBorders>
            <w:shd w:val="clear" w:color="auto" w:fill="FFFFFF"/>
          </w:tcPr>
          <w:p w14:paraId="23676993"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29E7CF64"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C5D728C" w14:textId="77777777" w:rsidR="009D3DC8" w:rsidRDefault="009D3DC8">
            <w:pPr>
              <w:pStyle w:val="TableText"/>
              <w:spacing w:line="240" w:lineRule="auto"/>
              <w:rPr>
                <w:rFonts w:cs="Arial"/>
                <w:szCs w:val="16"/>
              </w:rPr>
            </w:pPr>
            <w:r>
              <w:rPr>
                <w:rFonts w:cs="Arial"/>
                <w:i/>
                <w:szCs w:val="16"/>
              </w:rPr>
              <w:t>Exallomochlus hispidus</w:t>
            </w:r>
            <w:r>
              <w:rPr>
                <w:rFonts w:cs="Arial"/>
                <w:szCs w:val="16"/>
              </w:rPr>
              <w:t xml:space="preserve"> (Morrison, 1921)</w:t>
            </w:r>
          </w:p>
          <w:p w14:paraId="48002BAB" w14:textId="77777777" w:rsidR="009D3DC8" w:rsidRDefault="009D3DC8">
            <w:pPr>
              <w:pStyle w:val="TableText"/>
              <w:spacing w:line="240" w:lineRule="auto"/>
              <w:rPr>
                <w:rFonts w:cs="Arial"/>
                <w:szCs w:val="16"/>
              </w:rPr>
            </w:pPr>
            <w:r>
              <w:rPr>
                <w:rFonts w:cs="Arial"/>
                <w:szCs w:val="16"/>
              </w:rPr>
              <w:t>[Hemiptera: Pseudococcidae]</w:t>
            </w:r>
          </w:p>
          <w:p w14:paraId="49980B8C"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Cocoa mealybug</w:t>
            </w:r>
          </w:p>
        </w:tc>
        <w:tc>
          <w:tcPr>
            <w:tcW w:w="2146" w:type="dxa"/>
            <w:tcBorders>
              <w:left w:val="single" w:sz="2" w:space="0" w:color="999999"/>
              <w:bottom w:val="single" w:sz="2" w:space="0" w:color="auto"/>
              <w:right w:val="single" w:sz="2" w:space="0" w:color="999999"/>
            </w:tcBorders>
            <w:shd w:val="clear" w:color="auto" w:fill="FFFFFF"/>
          </w:tcPr>
          <w:p w14:paraId="68FFDE3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AFBB998"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(Williams 2004; Bigger 2009) </w:t>
            </w:r>
          </w:p>
        </w:tc>
        <w:tc>
          <w:tcPr>
            <w:tcW w:w="2670" w:type="dxa"/>
            <w:tcBorders>
              <w:left w:val="single" w:sz="2" w:space="0" w:color="999999"/>
              <w:bottom w:val="single" w:sz="2" w:space="0" w:color="auto"/>
              <w:right w:val="single" w:sz="2" w:space="0" w:color="999999"/>
            </w:tcBorders>
            <w:shd w:val="clear" w:color="auto" w:fill="FFFFFF"/>
          </w:tcPr>
          <w:p w14:paraId="660BD41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ED5127B"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Associated with the stems and fruits of host plants (Ben-Dov 2011d). Has been intercepted in the US and Europe on mangosteen (Williams 2004) </w:t>
            </w:r>
          </w:p>
        </w:tc>
        <w:tc>
          <w:tcPr>
            <w:tcW w:w="2007" w:type="dxa"/>
            <w:tcBorders>
              <w:left w:val="single" w:sz="2" w:space="0" w:color="999999"/>
              <w:bottom w:val="single" w:sz="2" w:space="0" w:color="auto"/>
              <w:right w:val="single" w:sz="2" w:space="0" w:color="999999"/>
            </w:tcBorders>
            <w:shd w:val="clear" w:color="auto" w:fill="FFFFFF"/>
          </w:tcPr>
          <w:p w14:paraId="7F32F07E"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6040FCB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82B1A4C"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Has a wide host range (Ben-Dov 2011d) and susceptible hosts are present in Australia. Found in Asian countries with environments similar to areas in Australia. </w:t>
            </w:r>
          </w:p>
        </w:tc>
        <w:tc>
          <w:tcPr>
            <w:tcW w:w="2270" w:type="dxa"/>
            <w:gridSpan w:val="2"/>
            <w:tcBorders>
              <w:left w:val="single" w:sz="2" w:space="0" w:color="999999"/>
              <w:bottom w:val="single" w:sz="2" w:space="0" w:color="auto"/>
              <w:right w:val="single" w:sz="2" w:space="0" w:color="999999"/>
            </w:tcBorders>
            <w:shd w:val="clear" w:color="auto" w:fill="FFFFFF"/>
          </w:tcPr>
          <w:p w14:paraId="689CA31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C2955C9" w14:textId="77777777" w:rsidR="009D3DC8" w:rsidRDefault="009D3DC8">
            <w:pPr>
              <w:pStyle w:val="TableText1"/>
              <w:keepNext w:val="0"/>
              <w:rPr>
                <w:rFonts w:ascii="Arial" w:hAnsi="Arial" w:cs="Arial"/>
                <w:color w:val="auto"/>
                <w:szCs w:val="16"/>
              </w:rPr>
            </w:pPr>
            <w:r>
              <w:rPr>
                <w:rFonts w:ascii="Arial" w:hAnsi="Arial" w:cs="Arial"/>
                <w:color w:val="auto"/>
                <w:szCs w:val="16"/>
              </w:rPr>
              <w:t>A polyphagous species. Although there is no evidence that this species causes economic loss, the cosmetic appearance of fruit is affected by the presence of mealybugs and associated sooty mould (Williams 2004)</w:t>
            </w:r>
          </w:p>
        </w:tc>
        <w:tc>
          <w:tcPr>
            <w:tcW w:w="1163" w:type="dxa"/>
            <w:tcBorders>
              <w:left w:val="single" w:sz="2" w:space="0" w:color="999999"/>
              <w:bottom w:val="single" w:sz="2" w:space="0" w:color="auto"/>
            </w:tcBorders>
            <w:shd w:val="clear" w:color="auto" w:fill="FFFFFF"/>
          </w:tcPr>
          <w:p w14:paraId="38CCF53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342494C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D0C00B3" w14:textId="77777777" w:rsidR="009D3DC8" w:rsidRDefault="009D3DC8">
            <w:pPr>
              <w:pStyle w:val="TableText"/>
              <w:spacing w:line="240" w:lineRule="auto"/>
              <w:rPr>
                <w:rFonts w:cs="Arial"/>
                <w:i/>
                <w:szCs w:val="16"/>
              </w:rPr>
            </w:pPr>
            <w:r>
              <w:rPr>
                <w:rFonts w:cs="Arial"/>
                <w:i/>
                <w:szCs w:val="16"/>
              </w:rPr>
              <w:t xml:space="preserve">Helopeltis antonii </w:t>
            </w:r>
            <w:r>
              <w:rPr>
                <w:rFonts w:cs="Arial"/>
                <w:szCs w:val="16"/>
              </w:rPr>
              <w:t>Signoret, 1858</w:t>
            </w:r>
          </w:p>
          <w:p w14:paraId="1083B6E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[Hemiptera: Miridae]</w:t>
            </w:r>
          </w:p>
        </w:tc>
        <w:tc>
          <w:tcPr>
            <w:tcW w:w="2146" w:type="dxa"/>
            <w:tcBorders>
              <w:left w:val="single" w:sz="2" w:space="0" w:color="999999"/>
              <w:bottom w:val="single" w:sz="2" w:space="0" w:color="auto"/>
              <w:right w:val="single" w:sz="2" w:space="0" w:color="999999"/>
            </w:tcBorders>
            <w:shd w:val="clear" w:color="auto" w:fill="FFFFFF"/>
          </w:tcPr>
          <w:p w14:paraId="280CC0F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C549A88" w14:textId="77777777" w:rsidR="009D3DC8" w:rsidRDefault="009D3DC8">
            <w:pPr>
              <w:pStyle w:val="TableText1"/>
              <w:keepNext w:val="0"/>
              <w:rPr>
                <w:rFonts w:ascii="Arial" w:hAnsi="Arial" w:cs="Arial"/>
                <w:color w:val="auto"/>
                <w:szCs w:val="16"/>
              </w:rPr>
            </w:pPr>
            <w:r>
              <w:rPr>
                <w:rFonts w:ascii="Arial" w:hAnsi="Arial" w:cs="Arial"/>
                <w:color w:val="auto"/>
                <w:szCs w:val="16"/>
              </w:rPr>
              <w:t>(Siswanto</w:t>
            </w:r>
            <w:r>
              <w:rPr>
                <w:rFonts w:ascii="Arial" w:hAnsi="Arial" w:cs="Arial"/>
                <w:i/>
                <w:color w:val="auto"/>
                <w:szCs w:val="16"/>
              </w:rPr>
              <w:t xml:space="preserve"> et al.</w:t>
            </w:r>
            <w:r>
              <w:rPr>
                <w:rFonts w:ascii="Arial" w:hAnsi="Arial" w:cs="Arial"/>
                <w:color w:val="auto"/>
                <w:szCs w:val="16"/>
              </w:rPr>
              <w:t xml:space="preserve"> 2008; Directorate General of Horticulture 2010)</w:t>
            </w:r>
          </w:p>
        </w:tc>
        <w:tc>
          <w:tcPr>
            <w:tcW w:w="2670" w:type="dxa"/>
            <w:tcBorders>
              <w:left w:val="single" w:sz="2" w:space="0" w:color="999999"/>
              <w:bottom w:val="single" w:sz="2" w:space="0" w:color="auto"/>
              <w:right w:val="single" w:sz="2" w:space="0" w:color="999999"/>
            </w:tcBorders>
            <w:shd w:val="clear" w:color="auto" w:fill="FFFFFF"/>
          </w:tcPr>
          <w:p w14:paraId="24B9071C"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69527D62" w14:textId="77777777" w:rsidR="009D3DC8" w:rsidRDefault="009D3DC8">
            <w:pPr>
              <w:pStyle w:val="TableText1"/>
              <w:keepNext w:val="0"/>
              <w:rPr>
                <w:rFonts w:ascii="Arial" w:hAnsi="Arial" w:cs="Arial"/>
                <w:color w:val="auto"/>
                <w:szCs w:val="16"/>
              </w:rPr>
            </w:pPr>
            <w:r>
              <w:rPr>
                <w:rFonts w:ascii="Arial" w:hAnsi="Arial" w:cs="Arial"/>
                <w:color w:val="auto"/>
                <w:szCs w:val="16"/>
              </w:rPr>
              <w:t>Infests the fruits and leaves of mangosteen (Directorate General of Horticulture 2010). Infestation of fruit is limited to immature fruit, which then shrivel, die and fall from the tree (Stonedahl 1991; Siswanto</w:t>
            </w:r>
            <w:r>
              <w:rPr>
                <w:rFonts w:ascii="Arial" w:hAnsi="Arial" w:cs="Arial"/>
                <w:i/>
                <w:color w:val="auto"/>
                <w:szCs w:val="16"/>
              </w:rPr>
              <w:t xml:space="preserve"> et al.</w:t>
            </w:r>
            <w:r>
              <w:rPr>
                <w:rFonts w:ascii="Arial" w:hAnsi="Arial" w:cs="Arial"/>
                <w:color w:val="auto"/>
                <w:szCs w:val="16"/>
              </w:rPr>
              <w:t xml:space="preserve"> 2008; CABI 2011) </w:t>
            </w:r>
          </w:p>
        </w:tc>
        <w:tc>
          <w:tcPr>
            <w:tcW w:w="2007" w:type="dxa"/>
            <w:tcBorders>
              <w:left w:val="single" w:sz="2" w:space="0" w:color="999999"/>
              <w:bottom w:val="single" w:sz="2" w:space="0" w:color="auto"/>
              <w:right w:val="single" w:sz="2" w:space="0" w:color="999999"/>
            </w:tcBorders>
            <w:shd w:val="clear" w:color="auto" w:fill="FFFFFF"/>
          </w:tcPr>
          <w:p w14:paraId="1CA10BFE"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6955DE9F"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E4A6151"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268414F4"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0E3593E7"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7A6C82B6" w14:textId="77777777" w:rsidR="009D3DC8" w:rsidRDefault="009D3DC8">
            <w:pPr>
              <w:pStyle w:val="TableText"/>
              <w:spacing w:line="240" w:lineRule="auto"/>
              <w:rPr>
                <w:rFonts w:cs="Arial"/>
                <w:szCs w:val="16"/>
              </w:rPr>
            </w:pPr>
            <w:r>
              <w:rPr>
                <w:rFonts w:cs="Arial"/>
                <w:i/>
                <w:szCs w:val="16"/>
              </w:rPr>
              <w:lastRenderedPageBreak/>
              <w:t xml:space="preserve">Helopeltis bradyi </w:t>
            </w:r>
            <w:r>
              <w:rPr>
                <w:rFonts w:cs="Arial"/>
                <w:szCs w:val="16"/>
              </w:rPr>
              <w:t>Waterhouse, 1886</w:t>
            </w:r>
          </w:p>
          <w:p w14:paraId="2FDF79F4"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[Hemiptera: Miridae]</w:t>
            </w:r>
          </w:p>
        </w:tc>
        <w:tc>
          <w:tcPr>
            <w:tcW w:w="2146" w:type="dxa"/>
            <w:tcBorders>
              <w:left w:val="single" w:sz="2" w:space="0" w:color="999999"/>
              <w:bottom w:val="single" w:sz="2" w:space="0" w:color="auto"/>
              <w:right w:val="single" w:sz="2" w:space="0" w:color="999999"/>
            </w:tcBorders>
            <w:shd w:val="clear" w:color="auto" w:fill="FFFFFF"/>
          </w:tcPr>
          <w:p w14:paraId="2B56469B"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7DF6E4B" w14:textId="77777777" w:rsidR="009D3DC8" w:rsidRDefault="009D3DC8">
            <w:pPr>
              <w:pStyle w:val="TableText1"/>
              <w:keepNext w:val="0"/>
              <w:rPr>
                <w:rFonts w:ascii="Arial" w:hAnsi="Arial" w:cs="Arial"/>
                <w:color w:val="auto"/>
                <w:szCs w:val="16"/>
              </w:rPr>
            </w:pPr>
            <w:r>
              <w:rPr>
                <w:rFonts w:ascii="Arial" w:hAnsi="Arial" w:cs="Arial"/>
                <w:color w:val="auto"/>
                <w:szCs w:val="16"/>
              </w:rPr>
              <w:t>(Bigger 2009)</w:t>
            </w:r>
          </w:p>
        </w:tc>
        <w:tc>
          <w:tcPr>
            <w:tcW w:w="2670" w:type="dxa"/>
            <w:tcBorders>
              <w:left w:val="single" w:sz="2" w:space="0" w:color="999999"/>
              <w:bottom w:val="single" w:sz="2" w:space="0" w:color="auto"/>
              <w:right w:val="single" w:sz="2" w:space="0" w:color="999999"/>
            </w:tcBorders>
            <w:shd w:val="clear" w:color="auto" w:fill="FFFFFF"/>
          </w:tcPr>
          <w:p w14:paraId="4196FFC0"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58DE2DAF"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Although </w:t>
            </w:r>
            <w:r>
              <w:rPr>
                <w:rFonts w:ascii="Arial" w:hAnsi="Arial" w:cs="Arial"/>
                <w:i/>
                <w:color w:val="auto"/>
                <w:szCs w:val="16"/>
              </w:rPr>
              <w:t>H. bradyi</w:t>
            </w:r>
            <w:r>
              <w:rPr>
                <w:rFonts w:ascii="Arial" w:hAnsi="Arial" w:cs="Arial"/>
                <w:color w:val="auto"/>
                <w:szCs w:val="16"/>
              </w:rPr>
              <w:t xml:space="preserve"> has not been recorded as a pest of mangosteen, Stonedahl (1991) states that it is highly likely that at least some of the published information on </w:t>
            </w:r>
            <w:r>
              <w:rPr>
                <w:rFonts w:ascii="Arial" w:hAnsi="Arial" w:cs="Arial"/>
                <w:i/>
                <w:color w:val="auto"/>
                <w:szCs w:val="16"/>
              </w:rPr>
              <w:t>H. antonii</w:t>
            </w:r>
            <w:r>
              <w:rPr>
                <w:rFonts w:ascii="Arial" w:hAnsi="Arial" w:cs="Arial"/>
                <w:color w:val="auto"/>
                <w:szCs w:val="16"/>
              </w:rPr>
              <w:t xml:space="preserve"> actually pertains to </w:t>
            </w:r>
            <w:r>
              <w:rPr>
                <w:rFonts w:ascii="Arial" w:hAnsi="Arial" w:cs="Arial"/>
                <w:i/>
                <w:color w:val="auto"/>
                <w:szCs w:val="16"/>
              </w:rPr>
              <w:t>H bradyi</w:t>
            </w:r>
            <w:r>
              <w:rPr>
                <w:rFonts w:ascii="Arial" w:hAnsi="Arial" w:cs="Arial"/>
                <w:color w:val="auto"/>
                <w:szCs w:val="16"/>
              </w:rPr>
              <w:t xml:space="preserve"> due to the close resemblance between the two species. </w:t>
            </w:r>
          </w:p>
        </w:tc>
        <w:tc>
          <w:tcPr>
            <w:tcW w:w="2007" w:type="dxa"/>
            <w:tcBorders>
              <w:left w:val="single" w:sz="2" w:space="0" w:color="999999"/>
              <w:bottom w:val="single" w:sz="2" w:space="0" w:color="auto"/>
              <w:right w:val="single" w:sz="2" w:space="0" w:color="999999"/>
            </w:tcBorders>
            <w:shd w:val="clear" w:color="auto" w:fill="FFFFFF"/>
          </w:tcPr>
          <w:p w14:paraId="5E8B709C"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266BE8F0"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4D417FB"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27A8B507"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25A0C0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877CDE6" w14:textId="77777777" w:rsidR="009D3DC8" w:rsidRDefault="009D3DC8">
            <w:pPr>
              <w:pStyle w:val="TableText"/>
              <w:spacing w:line="240" w:lineRule="auto"/>
              <w:rPr>
                <w:rFonts w:cs="Arial"/>
                <w:szCs w:val="16"/>
              </w:rPr>
            </w:pPr>
            <w:r>
              <w:rPr>
                <w:rFonts w:cs="Arial"/>
                <w:i/>
                <w:szCs w:val="16"/>
              </w:rPr>
              <w:t xml:space="preserve">Hemiberlesia lataniae </w:t>
            </w:r>
            <w:r>
              <w:rPr>
                <w:rFonts w:cs="Arial"/>
                <w:szCs w:val="16"/>
              </w:rPr>
              <w:t>(Signoret,1869)</w:t>
            </w:r>
          </w:p>
          <w:p w14:paraId="6722C73F" w14:textId="77777777" w:rsidR="009D3DC8" w:rsidRDefault="009D3DC8">
            <w:pPr>
              <w:pStyle w:val="TableText"/>
              <w:spacing w:line="240" w:lineRule="auto"/>
              <w:rPr>
                <w:rFonts w:cs="Arial"/>
                <w:szCs w:val="16"/>
              </w:rPr>
            </w:pPr>
            <w:r>
              <w:rPr>
                <w:rFonts w:cs="Arial"/>
                <w:szCs w:val="16"/>
              </w:rPr>
              <w:t>[Hemiptera: Diaspididae]</w:t>
            </w:r>
          </w:p>
          <w:p w14:paraId="3C429BCC"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Latania scale</w:t>
            </w:r>
          </w:p>
        </w:tc>
        <w:tc>
          <w:tcPr>
            <w:tcW w:w="2146" w:type="dxa"/>
            <w:tcBorders>
              <w:left w:val="single" w:sz="2" w:space="0" w:color="999999"/>
              <w:bottom w:val="single" w:sz="2" w:space="0" w:color="auto"/>
              <w:right w:val="single" w:sz="2" w:space="0" w:color="999999"/>
            </w:tcBorders>
            <w:shd w:val="clear" w:color="auto" w:fill="FFFFFF"/>
          </w:tcPr>
          <w:p w14:paraId="625FA7C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AB3EF0F"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2011c)</w:t>
            </w:r>
          </w:p>
        </w:tc>
        <w:tc>
          <w:tcPr>
            <w:tcW w:w="2670" w:type="dxa"/>
            <w:tcBorders>
              <w:left w:val="single" w:sz="2" w:space="0" w:color="999999"/>
              <w:bottom w:val="single" w:sz="2" w:space="0" w:color="auto"/>
              <w:right w:val="single" w:sz="2" w:space="0" w:color="999999"/>
            </w:tcBorders>
            <w:shd w:val="clear" w:color="auto" w:fill="FFFFFF"/>
          </w:tcPr>
          <w:p w14:paraId="33E6D8A8"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A128670" w14:textId="77777777" w:rsidR="009D3DC8" w:rsidRDefault="009D3DC8">
            <w:pPr>
              <w:pStyle w:val="TableText1"/>
              <w:keepNext w:val="0"/>
              <w:rPr>
                <w:rFonts w:ascii="Arial" w:hAnsi="Arial" w:cs="Arial"/>
                <w:color w:val="auto"/>
                <w:szCs w:val="16"/>
              </w:rPr>
            </w:pPr>
            <w:r>
              <w:rPr>
                <w:rFonts w:ascii="Arial" w:hAnsi="Arial" w:cs="Arial"/>
                <w:i/>
                <w:color w:val="auto"/>
                <w:szCs w:val="16"/>
              </w:rPr>
              <w:t>Garcinia</w:t>
            </w:r>
            <w:r>
              <w:rPr>
                <w:rFonts w:ascii="Arial" w:hAnsi="Arial" w:cs="Arial"/>
                <w:color w:val="auto"/>
                <w:szCs w:val="16"/>
              </w:rPr>
              <w:t xml:space="preserve"> sp. reported as a host (Ben-Dov 2011c). Feeds on foliage and fruits (Peña and Mohyuddin 1997)</w:t>
            </w:r>
          </w:p>
        </w:tc>
        <w:tc>
          <w:tcPr>
            <w:tcW w:w="2007" w:type="dxa"/>
            <w:tcBorders>
              <w:left w:val="single" w:sz="2" w:space="0" w:color="999999"/>
              <w:bottom w:val="single" w:sz="2" w:space="0" w:color="auto"/>
              <w:right w:val="single" w:sz="2" w:space="0" w:color="999999"/>
            </w:tcBorders>
            <w:shd w:val="clear" w:color="auto" w:fill="FFFFFF"/>
          </w:tcPr>
          <w:p w14:paraId="73BC559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B2D93EC"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NSW, NT, Qld, Vic., WA (CSIRO 2005; </w:t>
            </w:r>
            <w:r>
              <w:rPr>
                <w:rFonts w:ascii="Arial" w:hAnsi="Arial" w:cs="Arial"/>
                <w:szCs w:val="16"/>
              </w:rPr>
              <w:t>APPD 2011)</w:t>
            </w:r>
          </w:p>
        </w:tc>
        <w:tc>
          <w:tcPr>
            <w:tcW w:w="2537" w:type="dxa"/>
            <w:tcBorders>
              <w:left w:val="single" w:sz="2" w:space="0" w:color="999999"/>
              <w:bottom w:val="single" w:sz="2" w:space="0" w:color="auto"/>
              <w:right w:val="single" w:sz="2" w:space="0" w:color="999999"/>
            </w:tcBorders>
            <w:shd w:val="clear" w:color="auto" w:fill="FFFFFF"/>
          </w:tcPr>
          <w:p w14:paraId="3E909296"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B5453C4"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7D1E66C8"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3B95C88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38C4EAC" w14:textId="77777777" w:rsidR="009D3DC8" w:rsidRDefault="009D3DC8">
            <w:pPr>
              <w:pStyle w:val="TableText"/>
              <w:spacing w:line="240" w:lineRule="auto"/>
              <w:rPr>
                <w:rFonts w:cs="Arial"/>
                <w:szCs w:val="16"/>
              </w:rPr>
            </w:pPr>
            <w:r>
              <w:rPr>
                <w:rFonts w:cs="Arial"/>
                <w:i/>
                <w:szCs w:val="16"/>
              </w:rPr>
              <w:t>Hordeolicoccus heterotrichus</w:t>
            </w:r>
            <w:r>
              <w:rPr>
                <w:rFonts w:cs="Arial"/>
                <w:szCs w:val="16"/>
              </w:rPr>
              <w:t xml:space="preserve"> (Williams, 2004)</w:t>
            </w:r>
          </w:p>
          <w:p w14:paraId="58B2E610" w14:textId="77777777" w:rsidR="009D3DC8" w:rsidRDefault="009D3DC8">
            <w:pPr>
              <w:pStyle w:val="TableText"/>
              <w:spacing w:line="240" w:lineRule="auto"/>
              <w:rPr>
                <w:rFonts w:cs="Arial"/>
                <w:szCs w:val="16"/>
              </w:rPr>
            </w:pPr>
            <w:r>
              <w:rPr>
                <w:rFonts w:cs="Arial"/>
                <w:szCs w:val="16"/>
              </w:rPr>
              <w:t>[Hemiptera: Pseudococcidae]</w:t>
            </w:r>
          </w:p>
          <w:p w14:paraId="6230DBE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Citrus mealybug</w:t>
            </w:r>
          </w:p>
        </w:tc>
        <w:tc>
          <w:tcPr>
            <w:tcW w:w="2146" w:type="dxa"/>
            <w:tcBorders>
              <w:left w:val="single" w:sz="2" w:space="0" w:color="999999"/>
              <w:bottom w:val="single" w:sz="2" w:space="0" w:color="auto"/>
              <w:right w:val="single" w:sz="2" w:space="0" w:color="999999"/>
            </w:tcBorders>
            <w:shd w:val="clear" w:color="auto" w:fill="FFFFFF"/>
          </w:tcPr>
          <w:p w14:paraId="077078C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0D5E73A"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2011d)</w:t>
            </w:r>
          </w:p>
        </w:tc>
        <w:tc>
          <w:tcPr>
            <w:tcW w:w="2670" w:type="dxa"/>
            <w:tcBorders>
              <w:left w:val="single" w:sz="2" w:space="0" w:color="999999"/>
              <w:bottom w:val="single" w:sz="2" w:space="0" w:color="auto"/>
              <w:right w:val="single" w:sz="2" w:space="0" w:color="999999"/>
            </w:tcBorders>
            <w:shd w:val="clear" w:color="auto" w:fill="FFFFFF"/>
          </w:tcPr>
          <w:p w14:paraId="29143E6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8AA3D27"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Has been intercepted in the US on mangosteen (Williams 2004). </w:t>
            </w:r>
          </w:p>
        </w:tc>
        <w:tc>
          <w:tcPr>
            <w:tcW w:w="2007" w:type="dxa"/>
            <w:tcBorders>
              <w:left w:val="single" w:sz="2" w:space="0" w:color="999999"/>
              <w:bottom w:val="single" w:sz="2" w:space="0" w:color="auto"/>
              <w:right w:val="single" w:sz="2" w:space="0" w:color="999999"/>
            </w:tcBorders>
            <w:shd w:val="clear" w:color="auto" w:fill="FFFFFF"/>
          </w:tcPr>
          <w:p w14:paraId="05F8B057"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3091A70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EC26AB6" w14:textId="77777777" w:rsidR="009D3DC8" w:rsidRDefault="009D3DC8">
            <w:pPr>
              <w:pStyle w:val="TableText1"/>
              <w:keepNext w:val="0"/>
              <w:rPr>
                <w:rFonts w:ascii="Arial" w:hAnsi="Arial" w:cs="Arial"/>
                <w:iCs/>
                <w:color w:val="auto"/>
                <w:szCs w:val="16"/>
              </w:rPr>
            </w:pPr>
            <w:r>
              <w:rPr>
                <w:rFonts w:ascii="Arial" w:hAnsi="Arial" w:cs="Arial"/>
                <w:color w:val="auto"/>
                <w:szCs w:val="16"/>
              </w:rPr>
              <w:t>Has a wide host range (Ben-Dov 2011d) and susceptible hosts are present in Australia such as rambutan and mangosteen.</w:t>
            </w:r>
          </w:p>
        </w:tc>
        <w:tc>
          <w:tcPr>
            <w:tcW w:w="2270" w:type="dxa"/>
            <w:gridSpan w:val="2"/>
            <w:tcBorders>
              <w:left w:val="single" w:sz="2" w:space="0" w:color="999999"/>
              <w:bottom w:val="single" w:sz="2" w:space="0" w:color="auto"/>
              <w:right w:val="single" w:sz="2" w:space="0" w:color="999999"/>
            </w:tcBorders>
            <w:shd w:val="clear" w:color="auto" w:fill="FFFFFF"/>
          </w:tcPr>
          <w:p w14:paraId="6384A72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30DCCB9" w14:textId="77777777" w:rsidR="009D3DC8" w:rsidRDefault="009D3DC8">
            <w:pPr>
              <w:pStyle w:val="TableText1"/>
              <w:keepNext w:val="0"/>
              <w:rPr>
                <w:rFonts w:ascii="Arial" w:hAnsi="Arial" w:cs="Arial"/>
                <w:color w:val="auto"/>
                <w:szCs w:val="16"/>
              </w:rPr>
            </w:pPr>
            <w:r>
              <w:rPr>
                <w:rFonts w:ascii="Arial" w:hAnsi="Arial" w:cs="Arial"/>
                <w:color w:val="auto"/>
                <w:szCs w:val="16"/>
              </w:rPr>
              <w:t>A polyphagous species (Williams 2004). Mealybugs feed on sap, stressing their host plants and reducing the yield of commercial crops. The production of honeydew by mealybugs also promotes the growth of sooty moulds, which reduces the marketability of fruit (CABI 2011).</w:t>
            </w:r>
          </w:p>
        </w:tc>
        <w:tc>
          <w:tcPr>
            <w:tcW w:w="1163" w:type="dxa"/>
            <w:tcBorders>
              <w:left w:val="single" w:sz="2" w:space="0" w:color="999999"/>
              <w:bottom w:val="single" w:sz="2" w:space="0" w:color="auto"/>
            </w:tcBorders>
            <w:shd w:val="clear" w:color="auto" w:fill="FFFFFF"/>
          </w:tcPr>
          <w:p w14:paraId="7373C69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23F289F1"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7C399AE8" w14:textId="77777777" w:rsidR="009D3DC8" w:rsidRDefault="009D3DC8">
            <w:pPr>
              <w:pStyle w:val="TableText"/>
              <w:spacing w:line="240" w:lineRule="auto"/>
              <w:rPr>
                <w:rFonts w:cs="Arial"/>
                <w:szCs w:val="16"/>
              </w:rPr>
            </w:pPr>
            <w:r>
              <w:rPr>
                <w:rFonts w:cs="Arial"/>
                <w:i/>
                <w:szCs w:val="16"/>
              </w:rPr>
              <w:t>Icerya seychellarum</w:t>
            </w:r>
            <w:r>
              <w:rPr>
                <w:rFonts w:cs="Arial"/>
                <w:szCs w:val="16"/>
              </w:rPr>
              <w:t xml:space="preserve"> (Westwood, 1855)</w:t>
            </w:r>
          </w:p>
          <w:p w14:paraId="48F8B044" w14:textId="77777777" w:rsidR="009D3DC8" w:rsidRDefault="009D3DC8">
            <w:pPr>
              <w:pStyle w:val="TableText"/>
              <w:spacing w:line="240" w:lineRule="auto"/>
              <w:rPr>
                <w:rFonts w:cs="Arial"/>
                <w:szCs w:val="16"/>
              </w:rPr>
            </w:pPr>
            <w:r>
              <w:rPr>
                <w:rFonts w:cs="Arial"/>
                <w:szCs w:val="16"/>
              </w:rPr>
              <w:t>[Hemiptera: Margarodidae]</w:t>
            </w:r>
          </w:p>
          <w:p w14:paraId="078EEF75"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Seychelles scale</w:t>
            </w:r>
          </w:p>
        </w:tc>
        <w:tc>
          <w:tcPr>
            <w:tcW w:w="2146" w:type="dxa"/>
            <w:tcBorders>
              <w:left w:val="single" w:sz="2" w:space="0" w:color="999999"/>
              <w:bottom w:val="single" w:sz="2" w:space="0" w:color="auto"/>
              <w:right w:val="single" w:sz="2" w:space="0" w:color="999999"/>
            </w:tcBorders>
            <w:shd w:val="clear" w:color="auto" w:fill="FFFFFF"/>
          </w:tcPr>
          <w:p w14:paraId="11850B5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80FAB31" w14:textId="77777777" w:rsidR="009D3DC8" w:rsidRDefault="009D3DC8">
            <w:pPr>
              <w:pStyle w:val="TableText1"/>
              <w:keepNext w:val="0"/>
              <w:rPr>
                <w:rFonts w:ascii="Arial" w:hAnsi="Arial" w:cs="Arial"/>
                <w:color w:val="auto"/>
                <w:szCs w:val="16"/>
              </w:rPr>
            </w:pPr>
            <w:r>
              <w:rPr>
                <w:rFonts w:ascii="Arial" w:hAnsi="Arial" w:cs="Arial"/>
                <w:color w:val="auto"/>
                <w:szCs w:val="16"/>
              </w:rPr>
              <w:t>(Hill 2008; CABI 2011)</w:t>
            </w:r>
          </w:p>
        </w:tc>
        <w:tc>
          <w:tcPr>
            <w:tcW w:w="2670" w:type="dxa"/>
            <w:tcBorders>
              <w:left w:val="single" w:sz="2" w:space="0" w:color="999999"/>
              <w:bottom w:val="single" w:sz="2" w:space="0" w:color="auto"/>
              <w:right w:val="single" w:sz="2" w:space="0" w:color="999999"/>
            </w:tcBorders>
            <w:shd w:val="clear" w:color="auto" w:fill="FFFFFF"/>
          </w:tcPr>
          <w:p w14:paraId="4C275A4E"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1CC04492" w14:textId="77777777" w:rsidR="009D3DC8" w:rsidRDefault="009D3DC8">
            <w:pPr>
              <w:pStyle w:val="TableText1"/>
              <w:keepNext w:val="0"/>
              <w:rPr>
                <w:rFonts w:ascii="Arial" w:hAnsi="Arial" w:cs="Arial"/>
                <w:color w:val="auto"/>
                <w:szCs w:val="16"/>
              </w:rPr>
            </w:pPr>
            <w:r>
              <w:rPr>
                <w:rFonts w:ascii="Arial" w:hAnsi="Arial" w:cs="Arial"/>
                <w:color w:val="auto"/>
                <w:szCs w:val="16"/>
              </w:rPr>
              <w:t>Infests the leaves and stems of a range of commercial plants, including mangosteen (CABI 2011). No records of association with mangosteen fruit.</w:t>
            </w:r>
          </w:p>
        </w:tc>
        <w:tc>
          <w:tcPr>
            <w:tcW w:w="2007" w:type="dxa"/>
            <w:tcBorders>
              <w:left w:val="single" w:sz="2" w:space="0" w:color="999999"/>
              <w:bottom w:val="single" w:sz="2" w:space="0" w:color="auto"/>
              <w:right w:val="single" w:sz="2" w:space="0" w:color="999999"/>
            </w:tcBorders>
            <w:shd w:val="clear" w:color="auto" w:fill="FFFFFF"/>
          </w:tcPr>
          <w:p w14:paraId="17134D8A"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A9258F5" w14:textId="77777777" w:rsidR="009D3DC8" w:rsidRDefault="009D3DC8">
            <w:pPr>
              <w:pStyle w:val="TableText1"/>
              <w:keepNext w:val="0"/>
              <w:rPr>
                <w:rFonts w:ascii="Arial" w:hAnsi="Arial" w:cs="Arial"/>
                <w:color w:val="auto"/>
                <w:szCs w:val="16"/>
              </w:rPr>
            </w:pPr>
            <w:r>
              <w:rPr>
                <w:rFonts w:ascii="Arial" w:hAnsi="Arial" w:cs="Arial"/>
                <w:color w:val="auto"/>
                <w:szCs w:val="16"/>
              </w:rPr>
              <w:t>NSW, NT, Qld (APPD 2011)</w:t>
            </w:r>
          </w:p>
        </w:tc>
        <w:tc>
          <w:tcPr>
            <w:tcW w:w="2537" w:type="dxa"/>
            <w:tcBorders>
              <w:left w:val="single" w:sz="2" w:space="0" w:color="999999"/>
              <w:bottom w:val="single" w:sz="2" w:space="0" w:color="auto"/>
              <w:right w:val="single" w:sz="2" w:space="0" w:color="999999"/>
            </w:tcBorders>
            <w:shd w:val="clear" w:color="auto" w:fill="FFFFFF"/>
          </w:tcPr>
          <w:p w14:paraId="3B6BA731"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2BF9C3C4"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27D7FC30"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65EB1AF4"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AA2A77D" w14:textId="77777777" w:rsidR="009D3DC8" w:rsidRDefault="009D3DC8">
            <w:pPr>
              <w:pStyle w:val="TableText"/>
              <w:spacing w:line="240" w:lineRule="auto"/>
              <w:rPr>
                <w:rFonts w:cs="Arial"/>
                <w:szCs w:val="16"/>
              </w:rPr>
            </w:pPr>
            <w:r>
              <w:rPr>
                <w:rFonts w:cs="Arial"/>
                <w:i/>
                <w:szCs w:val="16"/>
              </w:rPr>
              <w:lastRenderedPageBreak/>
              <w:t xml:space="preserve">Ischnaspis longirostris </w:t>
            </w:r>
            <w:r>
              <w:rPr>
                <w:rFonts w:cs="Arial"/>
                <w:szCs w:val="16"/>
              </w:rPr>
              <w:t>(Signoret, 1882)</w:t>
            </w:r>
          </w:p>
          <w:p w14:paraId="3D001E15" w14:textId="77777777" w:rsidR="009D3DC8" w:rsidRDefault="009D3DC8">
            <w:pPr>
              <w:pStyle w:val="TableText"/>
              <w:spacing w:line="240" w:lineRule="auto"/>
              <w:rPr>
                <w:rFonts w:cs="Arial"/>
                <w:szCs w:val="16"/>
              </w:rPr>
            </w:pPr>
            <w:r>
              <w:rPr>
                <w:rFonts w:cs="Arial"/>
                <w:szCs w:val="16"/>
              </w:rPr>
              <w:t>[Hemiptera: Diaspididae]</w:t>
            </w:r>
          </w:p>
          <w:p w14:paraId="488EE3E5"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Black thread scale</w:t>
            </w:r>
          </w:p>
        </w:tc>
        <w:tc>
          <w:tcPr>
            <w:tcW w:w="2146" w:type="dxa"/>
            <w:tcBorders>
              <w:left w:val="single" w:sz="2" w:space="0" w:color="999999"/>
              <w:bottom w:val="single" w:sz="2" w:space="0" w:color="auto"/>
              <w:right w:val="single" w:sz="2" w:space="0" w:color="999999"/>
            </w:tcBorders>
            <w:shd w:val="clear" w:color="auto" w:fill="FFFFFF"/>
          </w:tcPr>
          <w:p w14:paraId="2CC9A0F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E31A063" w14:textId="77777777" w:rsidR="009D3DC8" w:rsidRDefault="009D3DC8">
            <w:pPr>
              <w:pStyle w:val="TableText1"/>
              <w:keepNext w:val="0"/>
              <w:rPr>
                <w:rFonts w:ascii="Arial" w:hAnsi="Arial" w:cs="Arial"/>
                <w:color w:val="auto"/>
                <w:szCs w:val="16"/>
              </w:rPr>
            </w:pPr>
            <w:r>
              <w:rPr>
                <w:rFonts w:ascii="Arial" w:hAnsi="Arial" w:cs="Arial"/>
                <w:color w:val="auto"/>
                <w:szCs w:val="16"/>
              </w:rPr>
              <w:t>(Miller</w:t>
            </w:r>
            <w:r>
              <w:rPr>
                <w:rFonts w:ascii="Arial" w:hAnsi="Arial" w:cs="Arial"/>
                <w:i/>
                <w:color w:val="auto"/>
                <w:szCs w:val="16"/>
              </w:rPr>
              <w:t xml:space="preserve"> et al.</w:t>
            </w:r>
            <w:r>
              <w:rPr>
                <w:rFonts w:ascii="Arial" w:hAnsi="Arial" w:cs="Arial"/>
                <w:color w:val="auto"/>
                <w:szCs w:val="16"/>
              </w:rPr>
              <w:t xml:space="preserve"> 2011)</w:t>
            </w:r>
          </w:p>
        </w:tc>
        <w:tc>
          <w:tcPr>
            <w:tcW w:w="2670" w:type="dxa"/>
            <w:tcBorders>
              <w:left w:val="single" w:sz="2" w:space="0" w:color="999999"/>
              <w:bottom w:val="single" w:sz="2" w:space="0" w:color="auto"/>
              <w:right w:val="single" w:sz="2" w:space="0" w:color="999999"/>
            </w:tcBorders>
            <w:shd w:val="clear" w:color="auto" w:fill="FFFFFF"/>
          </w:tcPr>
          <w:p w14:paraId="60E2E2A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B1F42EA" w14:textId="77777777" w:rsidR="009D3DC8" w:rsidRDefault="009D3DC8">
            <w:pPr>
              <w:pStyle w:val="TableText1"/>
              <w:keepNext w:val="0"/>
              <w:rPr>
                <w:rFonts w:ascii="Arial" w:hAnsi="Arial" w:cs="Arial"/>
                <w:color w:val="auto"/>
                <w:szCs w:val="16"/>
              </w:rPr>
            </w:pPr>
            <w:r>
              <w:rPr>
                <w:rFonts w:ascii="Arial" w:hAnsi="Arial" w:cs="Arial"/>
                <w:i/>
                <w:color w:val="auto"/>
                <w:szCs w:val="16"/>
              </w:rPr>
              <w:t>Garcinia</w:t>
            </w:r>
            <w:r>
              <w:rPr>
                <w:rFonts w:ascii="Arial" w:hAnsi="Arial" w:cs="Arial"/>
                <w:color w:val="auto"/>
                <w:szCs w:val="16"/>
              </w:rPr>
              <w:t xml:space="preserve"> sp. reported as a host (Watson 2005b; Miller</w:t>
            </w:r>
            <w:r>
              <w:rPr>
                <w:rFonts w:ascii="Arial" w:hAnsi="Arial" w:cs="Arial"/>
                <w:i/>
                <w:color w:val="auto"/>
                <w:szCs w:val="16"/>
              </w:rPr>
              <w:t xml:space="preserve"> et al.</w:t>
            </w:r>
            <w:r>
              <w:rPr>
                <w:rFonts w:ascii="Arial" w:hAnsi="Arial" w:cs="Arial"/>
                <w:color w:val="auto"/>
                <w:szCs w:val="16"/>
              </w:rPr>
              <w:t xml:space="preserve"> 2011). Usually attacks leaves but occasionally bark and fruit (Watson 2005b)</w:t>
            </w:r>
          </w:p>
        </w:tc>
        <w:tc>
          <w:tcPr>
            <w:tcW w:w="2007" w:type="dxa"/>
            <w:tcBorders>
              <w:left w:val="single" w:sz="2" w:space="0" w:color="999999"/>
              <w:bottom w:val="single" w:sz="2" w:space="0" w:color="auto"/>
              <w:right w:val="single" w:sz="2" w:space="0" w:color="999999"/>
            </w:tcBorders>
            <w:shd w:val="clear" w:color="auto" w:fill="FFFFFF"/>
          </w:tcPr>
          <w:p w14:paraId="7957080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ADD2DCC" w14:textId="77777777" w:rsidR="009D3DC8" w:rsidRDefault="009D3DC8">
            <w:pPr>
              <w:pStyle w:val="TableText1"/>
              <w:keepNext w:val="0"/>
              <w:rPr>
                <w:rFonts w:ascii="Arial" w:hAnsi="Arial" w:cs="Arial"/>
                <w:color w:val="auto"/>
                <w:szCs w:val="16"/>
              </w:rPr>
            </w:pPr>
            <w:r>
              <w:rPr>
                <w:rFonts w:ascii="Arial" w:hAnsi="Arial" w:cs="Arial"/>
                <w:color w:val="auto"/>
                <w:szCs w:val="16"/>
              </w:rPr>
              <w:t>NT, Qld (APPD 2011)</w:t>
            </w:r>
          </w:p>
          <w:p w14:paraId="3232B8D0" w14:textId="77777777" w:rsidR="009D3DC8" w:rsidRDefault="009D3DC8">
            <w:pPr>
              <w:pStyle w:val="TableText1"/>
              <w:keepNext w:val="0"/>
              <w:rPr>
                <w:rFonts w:ascii="Arial" w:hAnsi="Arial" w:cs="Arial"/>
                <w:color w:val="auto"/>
                <w:szCs w:val="16"/>
              </w:rPr>
            </w:pPr>
            <w:r>
              <w:rPr>
                <w:rFonts w:ascii="Arial" w:hAnsi="Arial" w:cs="Arial"/>
                <w:color w:val="auto"/>
                <w:szCs w:val="16"/>
              </w:rPr>
              <w:t>Not present in WA (Poole 2010)</w:t>
            </w:r>
          </w:p>
        </w:tc>
        <w:tc>
          <w:tcPr>
            <w:tcW w:w="2537" w:type="dxa"/>
            <w:tcBorders>
              <w:left w:val="single" w:sz="2" w:space="0" w:color="999999"/>
              <w:bottom w:val="single" w:sz="2" w:space="0" w:color="auto"/>
              <w:right w:val="single" w:sz="2" w:space="0" w:color="999999"/>
            </w:tcBorders>
            <w:shd w:val="clear" w:color="auto" w:fill="FFFFFF"/>
          </w:tcPr>
          <w:p w14:paraId="5EE8C4E6" w14:textId="77777777" w:rsidR="009D3DC8" w:rsidRDefault="009D3DC8">
            <w:pPr>
              <w:pStyle w:val="TableText1"/>
              <w:keepNext w:val="0"/>
              <w:ind w:left="24"/>
              <w:rPr>
                <w:rFonts w:ascii="Arial" w:hAnsi="Arial" w:cs="Arial"/>
                <w:color w:val="auto"/>
                <w:szCs w:val="16"/>
                <w:lang w:val="pt-BR"/>
              </w:rPr>
            </w:pPr>
            <w:r>
              <w:rPr>
                <w:rFonts w:ascii="Arial" w:hAnsi="Arial" w:cs="Arial"/>
                <w:color w:val="auto"/>
                <w:szCs w:val="16"/>
                <w:lang w:val="pt-BR"/>
              </w:rPr>
              <w:t>Yes</w:t>
            </w:r>
          </w:p>
          <w:p w14:paraId="22D69462"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val="pt-BR"/>
              </w:rPr>
              <w:t>Has a wide host range (Williams and Watson 1988a) and is already established in northern Australia (APPD 2011). Can be dispersed by wind and plant material (Beardsley and Gonzalez 1975).</w:t>
            </w:r>
          </w:p>
        </w:tc>
        <w:tc>
          <w:tcPr>
            <w:tcW w:w="2270" w:type="dxa"/>
            <w:gridSpan w:val="2"/>
            <w:tcBorders>
              <w:left w:val="single" w:sz="2" w:space="0" w:color="999999"/>
              <w:bottom w:val="single" w:sz="2" w:space="0" w:color="auto"/>
              <w:right w:val="single" w:sz="2" w:space="0" w:color="999999"/>
            </w:tcBorders>
            <w:shd w:val="clear" w:color="auto" w:fill="FFFFFF"/>
          </w:tcPr>
          <w:p w14:paraId="1D072B80" w14:textId="77777777" w:rsidR="009D3DC8" w:rsidRDefault="009D3DC8">
            <w:pPr>
              <w:pStyle w:val="TableText1"/>
              <w:keepNext w:val="0"/>
              <w:ind w:left="24"/>
              <w:rPr>
                <w:rFonts w:ascii="Arial" w:hAnsi="Arial" w:cs="Arial"/>
                <w:color w:val="auto"/>
                <w:szCs w:val="16"/>
                <w:lang w:val="pt-BR"/>
              </w:rPr>
            </w:pPr>
            <w:r>
              <w:rPr>
                <w:rFonts w:ascii="Arial" w:hAnsi="Arial" w:cs="Arial"/>
                <w:color w:val="auto"/>
                <w:szCs w:val="16"/>
                <w:lang w:val="pt-BR"/>
              </w:rPr>
              <w:t>Yes</w:t>
            </w:r>
          </w:p>
          <w:p w14:paraId="371C944F"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val="pt-BR"/>
              </w:rPr>
              <w:t>It is considered an important pest in Malaysia, Brazil and the US (Watson 2005b).</w:t>
            </w:r>
          </w:p>
        </w:tc>
        <w:tc>
          <w:tcPr>
            <w:tcW w:w="1163" w:type="dxa"/>
            <w:tcBorders>
              <w:left w:val="single" w:sz="2" w:space="0" w:color="999999"/>
              <w:bottom w:val="single" w:sz="2" w:space="0" w:color="auto"/>
            </w:tcBorders>
            <w:shd w:val="clear" w:color="auto" w:fill="FFFFFF"/>
          </w:tcPr>
          <w:p w14:paraId="5E726720"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rPr>
              <w:t>Yes (WA)</w:t>
            </w:r>
          </w:p>
        </w:tc>
      </w:tr>
      <w:tr w:rsidR="009D3DC8" w14:paraId="7238BAF1"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775E4CD" w14:textId="77777777" w:rsidR="009D3DC8" w:rsidRDefault="009D3DC8">
            <w:pPr>
              <w:pStyle w:val="TableText"/>
              <w:spacing w:line="240" w:lineRule="auto"/>
              <w:rPr>
                <w:rFonts w:cs="Arial"/>
                <w:szCs w:val="16"/>
              </w:rPr>
            </w:pPr>
            <w:r>
              <w:rPr>
                <w:rFonts w:cs="Arial"/>
                <w:i/>
                <w:szCs w:val="16"/>
              </w:rPr>
              <w:t xml:space="preserve">Maconellicoccus hirsutus </w:t>
            </w:r>
            <w:r>
              <w:rPr>
                <w:rFonts w:cs="Arial"/>
                <w:szCs w:val="16"/>
              </w:rPr>
              <w:t>(Green, 1908)</w:t>
            </w:r>
          </w:p>
          <w:p w14:paraId="50D73E00" w14:textId="77777777" w:rsidR="009D3DC8" w:rsidRDefault="009D3DC8">
            <w:pPr>
              <w:pStyle w:val="TableText"/>
              <w:spacing w:line="240" w:lineRule="auto"/>
              <w:rPr>
                <w:rFonts w:cs="Arial"/>
                <w:szCs w:val="16"/>
              </w:rPr>
            </w:pPr>
            <w:r>
              <w:rPr>
                <w:rFonts w:cs="Arial"/>
                <w:szCs w:val="16"/>
              </w:rPr>
              <w:t>[Hemiptera: Pseudococcidae]</w:t>
            </w:r>
          </w:p>
          <w:p w14:paraId="6C72624F"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Grape mealybug</w:t>
            </w:r>
          </w:p>
        </w:tc>
        <w:tc>
          <w:tcPr>
            <w:tcW w:w="2146" w:type="dxa"/>
            <w:tcBorders>
              <w:left w:val="single" w:sz="2" w:space="0" w:color="999999"/>
              <w:bottom w:val="single" w:sz="2" w:space="0" w:color="auto"/>
              <w:right w:val="single" w:sz="2" w:space="0" w:color="999999"/>
            </w:tcBorders>
            <w:shd w:val="clear" w:color="auto" w:fill="FFFFFF"/>
          </w:tcPr>
          <w:p w14:paraId="7B32688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7E02E26"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2011d)</w:t>
            </w:r>
          </w:p>
        </w:tc>
        <w:tc>
          <w:tcPr>
            <w:tcW w:w="2670" w:type="dxa"/>
            <w:tcBorders>
              <w:left w:val="single" w:sz="2" w:space="0" w:color="999999"/>
              <w:bottom w:val="single" w:sz="2" w:space="0" w:color="auto"/>
              <w:right w:val="single" w:sz="2" w:space="0" w:color="999999"/>
            </w:tcBorders>
            <w:shd w:val="clear" w:color="auto" w:fill="FFFFFF"/>
          </w:tcPr>
          <w:p w14:paraId="4E57497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5A91B2B" w14:textId="77777777" w:rsidR="009D3DC8" w:rsidRDefault="009D3DC8">
            <w:pPr>
              <w:pStyle w:val="TableText1"/>
              <w:keepNext w:val="0"/>
              <w:rPr>
                <w:rFonts w:ascii="Arial" w:hAnsi="Arial" w:cs="Arial"/>
                <w:color w:val="auto"/>
                <w:szCs w:val="16"/>
              </w:rPr>
            </w:pPr>
            <w:r>
              <w:rPr>
                <w:rFonts w:ascii="Arial" w:hAnsi="Arial" w:cs="Arial"/>
                <w:color w:val="auto"/>
                <w:szCs w:val="16"/>
              </w:rPr>
              <w:t>Associated with mangosteen in Hawaii and it attacks the leaf, stem, flower and fruit (USDA-APHIS 2006).</w:t>
            </w:r>
          </w:p>
        </w:tc>
        <w:tc>
          <w:tcPr>
            <w:tcW w:w="2007" w:type="dxa"/>
            <w:tcBorders>
              <w:left w:val="single" w:sz="2" w:space="0" w:color="999999"/>
              <w:bottom w:val="single" w:sz="2" w:space="0" w:color="auto"/>
              <w:right w:val="single" w:sz="2" w:space="0" w:color="999999"/>
            </w:tcBorders>
            <w:shd w:val="clear" w:color="auto" w:fill="FFFFFF"/>
          </w:tcPr>
          <w:p w14:paraId="4383ED0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72A00E9" w14:textId="77777777" w:rsidR="009D3DC8" w:rsidRDefault="009D3DC8">
            <w:pPr>
              <w:pStyle w:val="TableText1"/>
              <w:keepNext w:val="0"/>
              <w:rPr>
                <w:rFonts w:ascii="Arial" w:hAnsi="Arial" w:cs="Arial"/>
                <w:color w:val="auto"/>
                <w:szCs w:val="16"/>
              </w:rPr>
            </w:pPr>
            <w:r>
              <w:rPr>
                <w:rFonts w:ascii="Arial" w:hAnsi="Arial" w:cs="Arial"/>
                <w:color w:val="auto"/>
                <w:szCs w:val="16"/>
              </w:rPr>
              <w:t>NT, Qld, SA, Vic, WA (APPD 2011; Ben-Dov 2011d)</w:t>
            </w:r>
          </w:p>
        </w:tc>
        <w:tc>
          <w:tcPr>
            <w:tcW w:w="2537" w:type="dxa"/>
            <w:tcBorders>
              <w:left w:val="single" w:sz="2" w:space="0" w:color="999999"/>
              <w:bottom w:val="single" w:sz="2" w:space="0" w:color="auto"/>
              <w:right w:val="single" w:sz="2" w:space="0" w:color="999999"/>
            </w:tcBorders>
            <w:shd w:val="clear" w:color="auto" w:fill="FFFFFF"/>
          </w:tcPr>
          <w:p w14:paraId="6171C7C7"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50A1507"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4ED5916C"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rPr>
              <w:t>No</w:t>
            </w:r>
          </w:p>
        </w:tc>
      </w:tr>
      <w:tr w:rsidR="009D3DC8" w14:paraId="4F0AC442"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568A02C" w14:textId="77777777" w:rsidR="009D3DC8" w:rsidRDefault="009D3DC8">
            <w:pPr>
              <w:pStyle w:val="TableText"/>
              <w:spacing w:line="240" w:lineRule="auto"/>
              <w:rPr>
                <w:rFonts w:cs="Arial"/>
                <w:szCs w:val="16"/>
              </w:rPr>
            </w:pPr>
            <w:r>
              <w:rPr>
                <w:rFonts w:cs="Arial"/>
                <w:i/>
                <w:szCs w:val="16"/>
              </w:rPr>
              <w:t xml:space="preserve">Maconellicoccus multipori </w:t>
            </w:r>
            <w:r>
              <w:rPr>
                <w:rFonts w:cs="Arial"/>
                <w:szCs w:val="16"/>
              </w:rPr>
              <w:t>(Takahashi, 1951)</w:t>
            </w:r>
          </w:p>
          <w:p w14:paraId="19D56BC3" w14:textId="77777777" w:rsidR="009D3DC8" w:rsidRDefault="009D3DC8">
            <w:pPr>
              <w:pStyle w:val="TableText"/>
              <w:spacing w:line="240" w:lineRule="auto"/>
              <w:rPr>
                <w:rFonts w:cs="Arial"/>
                <w:szCs w:val="16"/>
              </w:rPr>
            </w:pPr>
            <w:r>
              <w:rPr>
                <w:rFonts w:cs="Arial"/>
                <w:szCs w:val="16"/>
              </w:rPr>
              <w:t>[Hemiptera: Pseudococcidae]</w:t>
            </w:r>
          </w:p>
          <w:p w14:paraId="2B93DF06"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Pink hibiscus mealybug</w:t>
            </w:r>
          </w:p>
        </w:tc>
        <w:tc>
          <w:tcPr>
            <w:tcW w:w="2146" w:type="dxa"/>
            <w:tcBorders>
              <w:left w:val="single" w:sz="2" w:space="0" w:color="999999"/>
              <w:bottom w:val="single" w:sz="2" w:space="0" w:color="auto"/>
              <w:right w:val="single" w:sz="2" w:space="0" w:color="999999"/>
            </w:tcBorders>
            <w:shd w:val="clear" w:color="auto" w:fill="FFFFFF"/>
          </w:tcPr>
          <w:p w14:paraId="62DFB21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ABFC5B7"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2011d)</w:t>
            </w:r>
          </w:p>
        </w:tc>
        <w:tc>
          <w:tcPr>
            <w:tcW w:w="2670" w:type="dxa"/>
            <w:tcBorders>
              <w:left w:val="single" w:sz="2" w:space="0" w:color="999999"/>
              <w:bottom w:val="single" w:sz="2" w:space="0" w:color="auto"/>
              <w:right w:val="single" w:sz="2" w:space="0" w:color="999999"/>
            </w:tcBorders>
            <w:shd w:val="clear" w:color="auto" w:fill="FFFFFF"/>
          </w:tcPr>
          <w:p w14:paraId="6A10E182"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24A824E0" w14:textId="77777777" w:rsidR="009D3DC8" w:rsidRDefault="009D3DC8">
            <w:pPr>
              <w:pStyle w:val="TableText1"/>
              <w:keepNext w:val="0"/>
              <w:rPr>
                <w:rFonts w:ascii="Arial" w:hAnsi="Arial" w:cs="Arial"/>
                <w:color w:val="auto"/>
                <w:szCs w:val="16"/>
              </w:rPr>
            </w:pPr>
            <w:r>
              <w:rPr>
                <w:rFonts w:ascii="Arial" w:hAnsi="Arial" w:cs="Arial"/>
                <w:i/>
                <w:color w:val="auto"/>
                <w:szCs w:val="16"/>
              </w:rPr>
              <w:t xml:space="preserve">Garcinia </w:t>
            </w:r>
            <w:r>
              <w:rPr>
                <w:rFonts w:ascii="Arial" w:hAnsi="Arial" w:cs="Arial"/>
                <w:color w:val="auto"/>
                <w:szCs w:val="16"/>
              </w:rPr>
              <w:t>sp. reported as a host (Ben-Dov 2011d). Feeds on the roots of host plants (Williams 2004).</w:t>
            </w:r>
          </w:p>
        </w:tc>
        <w:tc>
          <w:tcPr>
            <w:tcW w:w="2007" w:type="dxa"/>
            <w:tcBorders>
              <w:left w:val="single" w:sz="2" w:space="0" w:color="999999"/>
              <w:bottom w:val="single" w:sz="2" w:space="0" w:color="auto"/>
              <w:right w:val="single" w:sz="2" w:space="0" w:color="999999"/>
            </w:tcBorders>
            <w:shd w:val="clear" w:color="auto" w:fill="FFFFFF"/>
          </w:tcPr>
          <w:p w14:paraId="619B6763"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21DA1BC8"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76880D4"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0F230F33"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rPr>
              <w:t>No</w:t>
            </w:r>
          </w:p>
        </w:tc>
      </w:tr>
      <w:tr w:rsidR="009D3DC8" w14:paraId="16FDF64D"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B1802AC" w14:textId="77777777" w:rsidR="009D3DC8" w:rsidRDefault="009D3DC8">
            <w:pPr>
              <w:pStyle w:val="TableText"/>
              <w:spacing w:line="240" w:lineRule="auto"/>
              <w:rPr>
                <w:rFonts w:cs="Arial"/>
                <w:szCs w:val="16"/>
              </w:rPr>
            </w:pPr>
            <w:r>
              <w:rPr>
                <w:rFonts w:cs="Arial"/>
                <w:i/>
                <w:szCs w:val="16"/>
              </w:rPr>
              <w:lastRenderedPageBreak/>
              <w:t>Paracoccus interceptus</w:t>
            </w:r>
            <w:r>
              <w:rPr>
                <w:rFonts w:cs="Arial"/>
                <w:szCs w:val="16"/>
              </w:rPr>
              <w:t xml:space="preserve"> Lit, 1997</w:t>
            </w:r>
          </w:p>
          <w:p w14:paraId="132B7381" w14:textId="77777777" w:rsidR="009D3DC8" w:rsidRDefault="009D3DC8">
            <w:pPr>
              <w:pStyle w:val="TableText"/>
              <w:spacing w:line="240" w:lineRule="auto"/>
              <w:rPr>
                <w:rFonts w:cs="Arial"/>
                <w:szCs w:val="16"/>
              </w:rPr>
            </w:pPr>
            <w:r>
              <w:rPr>
                <w:rFonts w:cs="Arial"/>
                <w:szCs w:val="16"/>
              </w:rPr>
              <w:t>[Hemiptera: Pseudococcidae]</w:t>
            </w:r>
          </w:p>
          <w:p w14:paraId="04FAC87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Intercepted mealybug</w:t>
            </w:r>
          </w:p>
        </w:tc>
        <w:tc>
          <w:tcPr>
            <w:tcW w:w="2146" w:type="dxa"/>
            <w:tcBorders>
              <w:left w:val="single" w:sz="2" w:space="0" w:color="999999"/>
              <w:bottom w:val="single" w:sz="2" w:space="0" w:color="auto"/>
              <w:right w:val="single" w:sz="2" w:space="0" w:color="999999"/>
            </w:tcBorders>
            <w:shd w:val="clear" w:color="auto" w:fill="FFFFFF"/>
          </w:tcPr>
          <w:p w14:paraId="23E89A2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D6F853E" w14:textId="77777777" w:rsidR="009D3DC8" w:rsidRDefault="009D3DC8">
            <w:pPr>
              <w:pStyle w:val="TableText1"/>
              <w:keepNext w:val="0"/>
              <w:rPr>
                <w:rFonts w:ascii="Arial" w:hAnsi="Arial" w:cs="Arial"/>
                <w:color w:val="auto"/>
                <w:szCs w:val="16"/>
              </w:rPr>
            </w:pPr>
            <w:r>
              <w:rPr>
                <w:rFonts w:ascii="Arial" w:hAnsi="Arial" w:cs="Arial"/>
                <w:color w:val="auto"/>
                <w:szCs w:val="16"/>
              </w:rPr>
              <w:t>(Williams 2004)</w:t>
            </w:r>
          </w:p>
        </w:tc>
        <w:tc>
          <w:tcPr>
            <w:tcW w:w="2670" w:type="dxa"/>
            <w:tcBorders>
              <w:left w:val="single" w:sz="2" w:space="0" w:color="999999"/>
              <w:bottom w:val="single" w:sz="2" w:space="0" w:color="auto"/>
              <w:right w:val="single" w:sz="2" w:space="0" w:color="999999"/>
            </w:tcBorders>
            <w:shd w:val="clear" w:color="auto" w:fill="FFFFFF"/>
          </w:tcPr>
          <w:p w14:paraId="2A576DA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7162FC6"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Has been intercepted in the US on mangosteen (Williams 2004)  </w:t>
            </w:r>
          </w:p>
        </w:tc>
        <w:tc>
          <w:tcPr>
            <w:tcW w:w="2007" w:type="dxa"/>
            <w:tcBorders>
              <w:left w:val="single" w:sz="2" w:space="0" w:color="999999"/>
              <w:bottom w:val="single" w:sz="2" w:space="0" w:color="auto"/>
              <w:right w:val="single" w:sz="2" w:space="0" w:color="999999"/>
            </w:tcBorders>
            <w:shd w:val="clear" w:color="auto" w:fill="FFFFFF"/>
          </w:tcPr>
          <w:p w14:paraId="2933C128"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No records found </w:t>
            </w:r>
          </w:p>
        </w:tc>
        <w:tc>
          <w:tcPr>
            <w:tcW w:w="2537" w:type="dxa"/>
            <w:tcBorders>
              <w:left w:val="single" w:sz="2" w:space="0" w:color="999999"/>
              <w:bottom w:val="single" w:sz="2" w:space="0" w:color="auto"/>
              <w:right w:val="single" w:sz="2" w:space="0" w:color="999999"/>
            </w:tcBorders>
            <w:shd w:val="clear" w:color="auto" w:fill="FFFFFF"/>
          </w:tcPr>
          <w:p w14:paraId="4185E9AF"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eastAsia="en-AU"/>
              </w:rPr>
              <w:t>Yes</w:t>
            </w:r>
          </w:p>
          <w:p w14:paraId="4962A35C" w14:textId="77777777" w:rsidR="009D3DC8" w:rsidRDefault="009D3DC8">
            <w:pPr>
              <w:pStyle w:val="TableText1"/>
              <w:keepNext w:val="0"/>
              <w:ind w:left="24"/>
              <w:rPr>
                <w:rFonts w:ascii="Arial" w:hAnsi="Arial" w:cs="Arial"/>
                <w:color w:val="auto"/>
                <w:szCs w:val="16"/>
                <w:lang w:eastAsia="en-AU"/>
              </w:rPr>
            </w:pPr>
            <w:r>
              <w:rPr>
                <w:rFonts w:ascii="Arial" w:hAnsi="Arial" w:cs="Arial"/>
                <w:color w:val="auto"/>
                <w:szCs w:val="16"/>
                <w:lang w:eastAsia="en-AU"/>
              </w:rPr>
              <w:t>Has a wide host range (Ben-Dov 2011d) and susceptible hosts are present in Australia.</w:t>
            </w:r>
          </w:p>
        </w:tc>
        <w:tc>
          <w:tcPr>
            <w:tcW w:w="2270" w:type="dxa"/>
            <w:gridSpan w:val="2"/>
            <w:tcBorders>
              <w:left w:val="single" w:sz="2" w:space="0" w:color="999999"/>
              <w:bottom w:val="single" w:sz="2" w:space="0" w:color="auto"/>
              <w:right w:val="single" w:sz="2" w:space="0" w:color="999999"/>
            </w:tcBorders>
            <w:shd w:val="clear" w:color="auto" w:fill="FFFFFF"/>
          </w:tcPr>
          <w:p w14:paraId="6821D08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4495ED2"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Williams (2004) states that </w:t>
            </w:r>
            <w:r>
              <w:rPr>
                <w:rFonts w:ascii="Arial" w:hAnsi="Arial" w:cs="Arial"/>
                <w:i/>
                <w:color w:val="auto"/>
                <w:szCs w:val="16"/>
              </w:rPr>
              <w:t>P. interceptus</w:t>
            </w:r>
            <w:r>
              <w:rPr>
                <w:rFonts w:ascii="Arial" w:hAnsi="Arial" w:cs="Arial"/>
                <w:color w:val="auto"/>
                <w:szCs w:val="16"/>
              </w:rPr>
              <w:t xml:space="preserve"> must be regarded as a possible invasive species as it is frequently intercepted by quarantine inspections in the US. </w:t>
            </w:r>
          </w:p>
          <w:p w14:paraId="3DC79CB2" w14:textId="77777777" w:rsidR="009D3DC8" w:rsidRDefault="009D3DC8">
            <w:pPr>
              <w:pStyle w:val="TableText1"/>
              <w:keepNext w:val="0"/>
              <w:rPr>
                <w:rFonts w:ascii="Arial" w:hAnsi="Arial" w:cs="Arial"/>
                <w:color w:val="auto"/>
                <w:szCs w:val="16"/>
              </w:rPr>
            </w:pPr>
            <w:r>
              <w:rPr>
                <w:rFonts w:ascii="Arial" w:hAnsi="Arial" w:cs="Arial"/>
                <w:color w:val="auto"/>
                <w:szCs w:val="16"/>
              </w:rPr>
              <w:t>Mealybugs feed on sap, stressing their host plants and reducing the yield of commercial crops. The production of honeydew by mealybugs also promotes the growth of sooty moulds, which reduces the marketability of fruit (CABI 2011).</w:t>
            </w:r>
          </w:p>
        </w:tc>
        <w:tc>
          <w:tcPr>
            <w:tcW w:w="1163" w:type="dxa"/>
            <w:tcBorders>
              <w:left w:val="single" w:sz="2" w:space="0" w:color="999999"/>
              <w:bottom w:val="single" w:sz="2" w:space="0" w:color="auto"/>
            </w:tcBorders>
            <w:shd w:val="clear" w:color="auto" w:fill="FFFFFF"/>
          </w:tcPr>
          <w:p w14:paraId="2DD31CA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3A821857"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7DEA916" w14:textId="77777777" w:rsidR="009D3DC8" w:rsidRDefault="009D3DC8">
            <w:pPr>
              <w:pStyle w:val="TableText"/>
              <w:spacing w:line="240" w:lineRule="auto"/>
              <w:rPr>
                <w:rFonts w:cs="Arial"/>
                <w:szCs w:val="16"/>
              </w:rPr>
            </w:pPr>
            <w:r>
              <w:rPr>
                <w:rFonts w:cs="Arial"/>
                <w:i/>
                <w:szCs w:val="16"/>
              </w:rPr>
              <w:lastRenderedPageBreak/>
              <w:t>Paraputo odontomachi</w:t>
            </w:r>
            <w:r>
              <w:rPr>
                <w:rFonts w:cs="Arial"/>
                <w:szCs w:val="16"/>
              </w:rPr>
              <w:t xml:space="preserve"> (Takahashi, 1951)</w:t>
            </w:r>
          </w:p>
          <w:p w14:paraId="240984EA"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[Hemiptera: Pseudococcidae]</w:t>
            </w:r>
          </w:p>
        </w:tc>
        <w:tc>
          <w:tcPr>
            <w:tcW w:w="2146" w:type="dxa"/>
            <w:tcBorders>
              <w:left w:val="single" w:sz="2" w:space="0" w:color="999999"/>
              <w:bottom w:val="single" w:sz="2" w:space="0" w:color="auto"/>
              <w:right w:val="single" w:sz="2" w:space="0" w:color="999999"/>
            </w:tcBorders>
            <w:shd w:val="clear" w:color="auto" w:fill="FFFFFF"/>
          </w:tcPr>
          <w:p w14:paraId="1C3CC94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30221BF" w14:textId="77777777" w:rsidR="009D3DC8" w:rsidRDefault="009D3DC8">
            <w:pPr>
              <w:pStyle w:val="TableText1"/>
              <w:keepNext w:val="0"/>
              <w:rPr>
                <w:rFonts w:ascii="Arial" w:hAnsi="Arial" w:cs="Arial"/>
                <w:color w:val="auto"/>
                <w:szCs w:val="16"/>
              </w:rPr>
            </w:pPr>
            <w:r>
              <w:rPr>
                <w:rFonts w:ascii="Arial" w:hAnsi="Arial" w:cs="Arial"/>
                <w:color w:val="auto"/>
                <w:szCs w:val="16"/>
              </w:rPr>
              <w:t>(Williams 2004)</w:t>
            </w:r>
          </w:p>
        </w:tc>
        <w:tc>
          <w:tcPr>
            <w:tcW w:w="2670" w:type="dxa"/>
            <w:tcBorders>
              <w:left w:val="single" w:sz="2" w:space="0" w:color="999999"/>
              <w:bottom w:val="single" w:sz="2" w:space="0" w:color="auto"/>
              <w:right w:val="single" w:sz="2" w:space="0" w:color="999999"/>
            </w:tcBorders>
            <w:shd w:val="clear" w:color="auto" w:fill="FFFFFF"/>
          </w:tcPr>
          <w:p w14:paraId="63D599B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477E372"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(Williams 2004).</w:t>
            </w:r>
          </w:p>
        </w:tc>
        <w:tc>
          <w:tcPr>
            <w:tcW w:w="2007" w:type="dxa"/>
            <w:tcBorders>
              <w:left w:val="single" w:sz="2" w:space="0" w:color="999999"/>
              <w:bottom w:val="single" w:sz="2" w:space="0" w:color="auto"/>
              <w:right w:val="single" w:sz="2" w:space="0" w:color="999999"/>
            </w:tcBorders>
            <w:shd w:val="clear" w:color="auto" w:fill="FFFFFF"/>
          </w:tcPr>
          <w:p w14:paraId="565D4296"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52D05AD8"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E39EEF5" w14:textId="77777777" w:rsidR="009D3DC8" w:rsidRDefault="009D3DC8">
            <w:pPr>
              <w:pStyle w:val="TableText1"/>
              <w:keepNext w:val="0"/>
              <w:rPr>
                <w:rFonts w:ascii="Arial" w:hAnsi="Arial" w:cs="Arial"/>
                <w:color w:val="auto"/>
                <w:szCs w:val="16"/>
              </w:rPr>
            </w:pPr>
            <w:r>
              <w:rPr>
                <w:rFonts w:ascii="Arial" w:hAnsi="Arial" w:cs="Arial"/>
                <w:color w:val="auto"/>
                <w:szCs w:val="16"/>
              </w:rPr>
              <w:t>Has a wide host range (Ben-Dov 2011d) and susceptible hosts are present in Australia.</w:t>
            </w:r>
          </w:p>
        </w:tc>
        <w:tc>
          <w:tcPr>
            <w:tcW w:w="2270" w:type="dxa"/>
            <w:gridSpan w:val="2"/>
            <w:tcBorders>
              <w:left w:val="single" w:sz="2" w:space="0" w:color="999999"/>
              <w:bottom w:val="single" w:sz="2" w:space="0" w:color="auto"/>
              <w:right w:val="single" w:sz="2" w:space="0" w:color="999999"/>
            </w:tcBorders>
            <w:shd w:val="clear" w:color="auto" w:fill="FFFFFF"/>
          </w:tcPr>
          <w:p w14:paraId="2F90E25B"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4487D1F"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Williams (2004) states that </w:t>
            </w:r>
            <w:r>
              <w:rPr>
                <w:rFonts w:ascii="Arial" w:hAnsi="Arial" w:cs="Arial"/>
                <w:i/>
                <w:color w:val="auto"/>
                <w:szCs w:val="16"/>
              </w:rPr>
              <w:t>P. odontomachi</w:t>
            </w:r>
            <w:r>
              <w:rPr>
                <w:rFonts w:ascii="Arial" w:hAnsi="Arial" w:cs="Arial"/>
                <w:color w:val="auto"/>
                <w:szCs w:val="16"/>
              </w:rPr>
              <w:t xml:space="preserve"> must be regarded as a possible invasive species as it is frequently intercepted by quarantine inspections in the US. </w:t>
            </w:r>
          </w:p>
          <w:p w14:paraId="4BF4F3B7"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This species is not known to cause any damage but it is protected by ants and has a wide distribution in southern Asia on economically important plants (Williams 2004). Mealybugs feed on sap, stressing their host plants and reducing the yield of commercial crops. The production of honeydew by mealybugs also promotes the growth of sooty moulds, which reduces the marketability of fruit (CABI 2011). </w:t>
            </w:r>
          </w:p>
        </w:tc>
        <w:tc>
          <w:tcPr>
            <w:tcW w:w="1163" w:type="dxa"/>
            <w:tcBorders>
              <w:left w:val="single" w:sz="2" w:space="0" w:color="999999"/>
              <w:bottom w:val="single" w:sz="2" w:space="0" w:color="auto"/>
            </w:tcBorders>
            <w:shd w:val="clear" w:color="auto" w:fill="FFFFFF"/>
          </w:tcPr>
          <w:p w14:paraId="0F368B13"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7E13797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BECA38A" w14:textId="77777777" w:rsidR="009D3DC8" w:rsidRDefault="009D3DC8">
            <w:pPr>
              <w:pStyle w:val="TableText"/>
              <w:spacing w:line="240" w:lineRule="auto"/>
              <w:rPr>
                <w:rFonts w:cs="Arial"/>
                <w:szCs w:val="16"/>
              </w:rPr>
            </w:pPr>
            <w:r>
              <w:rPr>
                <w:rFonts w:cs="Arial"/>
                <w:i/>
                <w:szCs w:val="16"/>
              </w:rPr>
              <w:t>Parlatoria ziziphi</w:t>
            </w:r>
            <w:r>
              <w:rPr>
                <w:rFonts w:cs="Arial"/>
                <w:szCs w:val="16"/>
              </w:rPr>
              <w:t xml:space="preserve"> (Lucas, 1853)</w:t>
            </w:r>
          </w:p>
          <w:p w14:paraId="304AA81F" w14:textId="77777777" w:rsidR="009D3DC8" w:rsidRDefault="009D3DC8">
            <w:pPr>
              <w:pStyle w:val="TableText"/>
              <w:spacing w:line="240" w:lineRule="auto"/>
              <w:rPr>
                <w:rFonts w:cs="Arial"/>
                <w:szCs w:val="16"/>
              </w:rPr>
            </w:pPr>
            <w:r>
              <w:rPr>
                <w:rFonts w:cs="Arial"/>
                <w:szCs w:val="16"/>
              </w:rPr>
              <w:t>[Hemiptera: Diaspididae]</w:t>
            </w:r>
          </w:p>
          <w:p w14:paraId="3B206F9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Black parlatoria scale</w:t>
            </w:r>
          </w:p>
        </w:tc>
        <w:tc>
          <w:tcPr>
            <w:tcW w:w="2146" w:type="dxa"/>
            <w:tcBorders>
              <w:left w:val="single" w:sz="2" w:space="0" w:color="999999"/>
              <w:bottom w:val="single" w:sz="2" w:space="0" w:color="auto"/>
              <w:right w:val="single" w:sz="2" w:space="0" w:color="999999"/>
            </w:tcBorders>
            <w:shd w:val="clear" w:color="auto" w:fill="FFFFFF"/>
          </w:tcPr>
          <w:p w14:paraId="66652AB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224F09E"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2011c)</w:t>
            </w:r>
          </w:p>
        </w:tc>
        <w:tc>
          <w:tcPr>
            <w:tcW w:w="2670" w:type="dxa"/>
            <w:tcBorders>
              <w:left w:val="single" w:sz="2" w:space="0" w:color="999999"/>
              <w:bottom w:val="single" w:sz="2" w:space="0" w:color="auto"/>
              <w:right w:val="single" w:sz="2" w:space="0" w:color="999999"/>
            </w:tcBorders>
            <w:shd w:val="clear" w:color="auto" w:fill="FFFFFF"/>
          </w:tcPr>
          <w:p w14:paraId="6E2FCF70"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3B35E70F" w14:textId="77777777" w:rsidR="009D3DC8" w:rsidRDefault="009D3DC8">
            <w:pPr>
              <w:pStyle w:val="TableText1"/>
              <w:keepNext w:val="0"/>
              <w:rPr>
                <w:rFonts w:ascii="Arial" w:hAnsi="Arial" w:cs="Arial"/>
                <w:color w:val="auto"/>
                <w:szCs w:val="16"/>
              </w:rPr>
            </w:pPr>
            <w:r>
              <w:rPr>
                <w:rFonts w:ascii="Arial" w:hAnsi="Arial" w:cs="Arial"/>
                <w:color w:val="auto"/>
                <w:szCs w:val="16"/>
              </w:rPr>
              <w:t>Feeds exclusively on citrus and is rarely recorded on other hosts (Fasulo and Brooks 1993). Although it has been recorded on mangosteen in Hawaii, the host range of this species appears to be restricted to Rutaceae and records from other hosts are questionable (Blackburn and Miller 1984; USDA-APHIS 2006).</w:t>
            </w:r>
          </w:p>
        </w:tc>
        <w:tc>
          <w:tcPr>
            <w:tcW w:w="2007" w:type="dxa"/>
            <w:tcBorders>
              <w:left w:val="single" w:sz="2" w:space="0" w:color="999999"/>
              <w:bottom w:val="single" w:sz="2" w:space="0" w:color="auto"/>
              <w:right w:val="single" w:sz="2" w:space="0" w:color="999999"/>
            </w:tcBorders>
            <w:shd w:val="clear" w:color="auto" w:fill="FFFFFF"/>
          </w:tcPr>
          <w:p w14:paraId="1DEE0F88" w14:textId="77777777" w:rsidR="009D3DC8" w:rsidRDefault="009D3DC8">
            <w:pPr>
              <w:pStyle w:val="TableText1"/>
              <w:keepNext w:val="0"/>
              <w:rPr>
                <w:rFonts w:ascii="Arial" w:hAnsi="Arial" w:cs="Arial"/>
                <w:color w:val="auto"/>
                <w:szCs w:val="16"/>
              </w:rPr>
            </w:pPr>
            <w:r>
              <w:rPr>
                <w:rFonts w:ascii="Arial" w:hAnsi="Arial" w:cs="Arial"/>
                <w:color w:val="auto"/>
                <w:szCs w:val="16"/>
              </w:rPr>
              <w:t>No current records found</w:t>
            </w:r>
          </w:p>
          <w:p w14:paraId="50D68928" w14:textId="77777777" w:rsidR="009D3DC8" w:rsidRDefault="009D3DC8">
            <w:pPr>
              <w:pStyle w:val="TableText1"/>
              <w:keepNext w:val="0"/>
              <w:rPr>
                <w:rFonts w:ascii="Arial" w:hAnsi="Arial" w:cs="Arial"/>
                <w:color w:val="auto"/>
                <w:szCs w:val="16"/>
              </w:rPr>
            </w:pPr>
            <w:r>
              <w:rPr>
                <w:rFonts w:ascii="Arial" w:hAnsi="Arial" w:cs="Arial"/>
                <w:color w:val="auto"/>
                <w:szCs w:val="16"/>
              </w:rPr>
              <w:t>Eradicated from NT</w:t>
            </w:r>
          </w:p>
        </w:tc>
        <w:tc>
          <w:tcPr>
            <w:tcW w:w="2537" w:type="dxa"/>
            <w:tcBorders>
              <w:left w:val="single" w:sz="2" w:space="0" w:color="999999"/>
              <w:bottom w:val="single" w:sz="2" w:space="0" w:color="auto"/>
              <w:right w:val="single" w:sz="2" w:space="0" w:color="999999"/>
            </w:tcBorders>
            <w:shd w:val="clear" w:color="auto" w:fill="FFFFFF"/>
          </w:tcPr>
          <w:p w14:paraId="51589893"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EE21F76"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53DDC676"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0E1B983"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4C282AA4" w14:textId="77777777" w:rsidR="009D3DC8" w:rsidRDefault="009D3DC8">
            <w:pPr>
              <w:pStyle w:val="TableText"/>
              <w:spacing w:line="240" w:lineRule="auto"/>
              <w:rPr>
                <w:rFonts w:cs="Arial"/>
                <w:szCs w:val="16"/>
              </w:rPr>
            </w:pPr>
            <w:r>
              <w:rPr>
                <w:rFonts w:cs="Arial"/>
                <w:i/>
                <w:szCs w:val="16"/>
              </w:rPr>
              <w:lastRenderedPageBreak/>
              <w:t>Planococcus citri</w:t>
            </w:r>
            <w:r>
              <w:rPr>
                <w:rFonts w:cs="Arial"/>
                <w:szCs w:val="16"/>
              </w:rPr>
              <w:t xml:space="preserve"> (Rissol, 1813)</w:t>
            </w:r>
          </w:p>
          <w:p w14:paraId="3BF8B004" w14:textId="77777777" w:rsidR="009D3DC8" w:rsidRDefault="009D3DC8">
            <w:pPr>
              <w:pStyle w:val="TableText"/>
              <w:spacing w:line="240" w:lineRule="auto"/>
              <w:rPr>
                <w:rFonts w:cs="Arial"/>
                <w:szCs w:val="16"/>
              </w:rPr>
            </w:pPr>
            <w:r>
              <w:rPr>
                <w:rFonts w:cs="Arial"/>
                <w:szCs w:val="16"/>
              </w:rPr>
              <w:t>[Hemiptera: Pseudococcidae]</w:t>
            </w:r>
          </w:p>
          <w:p w14:paraId="4E856C82"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Citrus mealybug</w:t>
            </w:r>
          </w:p>
        </w:tc>
        <w:tc>
          <w:tcPr>
            <w:tcW w:w="2146" w:type="dxa"/>
            <w:tcBorders>
              <w:left w:val="single" w:sz="2" w:space="0" w:color="999999"/>
              <w:bottom w:val="single" w:sz="2" w:space="0" w:color="auto"/>
              <w:right w:val="single" w:sz="2" w:space="0" w:color="999999"/>
            </w:tcBorders>
            <w:shd w:val="clear" w:color="auto" w:fill="FFFFFF"/>
          </w:tcPr>
          <w:p w14:paraId="6FA0960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EA7C24F"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(Bigger 2009) </w:t>
            </w:r>
          </w:p>
        </w:tc>
        <w:tc>
          <w:tcPr>
            <w:tcW w:w="2670" w:type="dxa"/>
            <w:tcBorders>
              <w:left w:val="single" w:sz="2" w:space="0" w:color="999999"/>
              <w:bottom w:val="single" w:sz="2" w:space="0" w:color="auto"/>
              <w:right w:val="single" w:sz="2" w:space="0" w:color="999999"/>
            </w:tcBorders>
            <w:shd w:val="clear" w:color="auto" w:fill="FFFFFF"/>
          </w:tcPr>
          <w:p w14:paraId="04D64D0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C550664" w14:textId="77777777" w:rsidR="009D3DC8" w:rsidRDefault="009D3DC8">
            <w:pPr>
              <w:pStyle w:val="TableText1"/>
              <w:keepNext w:val="0"/>
              <w:rPr>
                <w:rFonts w:ascii="Arial" w:hAnsi="Arial" w:cs="Arial"/>
                <w:color w:val="auto"/>
                <w:szCs w:val="16"/>
              </w:rPr>
            </w:pPr>
            <w:r>
              <w:rPr>
                <w:rFonts w:ascii="Arial" w:hAnsi="Arial" w:cs="Arial"/>
                <w:color w:val="auto"/>
                <w:szCs w:val="16"/>
              </w:rPr>
              <w:t>Highly polyphagous in the tropical and subtropical regions (Kalshoven 1981). Found on mangosteen fruit, stems and flowers(Astridge 1998).</w:t>
            </w:r>
          </w:p>
        </w:tc>
        <w:tc>
          <w:tcPr>
            <w:tcW w:w="2007" w:type="dxa"/>
            <w:tcBorders>
              <w:left w:val="single" w:sz="2" w:space="0" w:color="999999"/>
              <w:bottom w:val="single" w:sz="2" w:space="0" w:color="auto"/>
              <w:right w:val="single" w:sz="2" w:space="0" w:color="999999"/>
            </w:tcBorders>
            <w:shd w:val="clear" w:color="auto" w:fill="FFFFFF"/>
          </w:tcPr>
          <w:p w14:paraId="54E2FAC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2BC6776" w14:textId="77777777" w:rsidR="009D3DC8" w:rsidRDefault="009D3DC8">
            <w:pPr>
              <w:pStyle w:val="TableText1"/>
              <w:keepNext w:val="0"/>
              <w:rPr>
                <w:rFonts w:ascii="Arial" w:hAnsi="Arial" w:cs="Arial"/>
                <w:color w:val="auto"/>
                <w:szCs w:val="16"/>
              </w:rPr>
            </w:pPr>
            <w:r>
              <w:rPr>
                <w:rFonts w:ascii="Arial" w:hAnsi="Arial" w:cs="Arial"/>
                <w:color w:val="auto"/>
                <w:szCs w:val="16"/>
              </w:rPr>
              <w:t>All states and territories (CSIRO 2005; APPD 2011)</w:t>
            </w:r>
          </w:p>
        </w:tc>
        <w:tc>
          <w:tcPr>
            <w:tcW w:w="2537" w:type="dxa"/>
            <w:tcBorders>
              <w:left w:val="single" w:sz="2" w:space="0" w:color="999999"/>
              <w:bottom w:val="single" w:sz="2" w:space="0" w:color="auto"/>
              <w:right w:val="single" w:sz="2" w:space="0" w:color="999999"/>
            </w:tcBorders>
            <w:shd w:val="clear" w:color="auto" w:fill="FFFFFF"/>
          </w:tcPr>
          <w:p w14:paraId="30D9DD4E"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310BBF18" w14:textId="77777777" w:rsidR="009D3DC8" w:rsidRDefault="009D3DC8">
            <w:pPr>
              <w:pStyle w:val="TableText1"/>
              <w:keepNext w:val="0"/>
              <w:rPr>
                <w:rFonts w:ascii="Arial" w:hAnsi="Arial" w:cs="Arial"/>
                <w:color w:val="auto"/>
                <w:szCs w:val="16"/>
              </w:rPr>
            </w:pPr>
            <w:r>
              <w:rPr>
                <w:rFonts w:ascii="Arial" w:hAnsi="Arial" w:cs="Arial"/>
                <w:color w:val="auto"/>
                <w:szCs w:val="16"/>
                <w:lang w:val="pt-BR"/>
              </w:rPr>
              <w:t>Assessment not required</w:t>
            </w:r>
          </w:p>
        </w:tc>
        <w:tc>
          <w:tcPr>
            <w:tcW w:w="1163" w:type="dxa"/>
            <w:tcBorders>
              <w:left w:val="single" w:sz="2" w:space="0" w:color="999999"/>
              <w:bottom w:val="single" w:sz="2" w:space="0" w:color="auto"/>
            </w:tcBorders>
            <w:shd w:val="clear" w:color="auto" w:fill="FFFFFF"/>
          </w:tcPr>
          <w:p w14:paraId="2AAED9AE"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70357BA4"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E968D23" w14:textId="77777777" w:rsidR="009D3DC8" w:rsidRDefault="009D3DC8">
            <w:pPr>
              <w:pStyle w:val="TableText"/>
              <w:spacing w:line="240" w:lineRule="auto"/>
              <w:rPr>
                <w:rFonts w:cs="Arial"/>
                <w:i/>
                <w:szCs w:val="16"/>
              </w:rPr>
            </w:pPr>
            <w:r>
              <w:rPr>
                <w:rFonts w:cs="Arial"/>
                <w:i/>
                <w:szCs w:val="16"/>
              </w:rPr>
              <w:t xml:space="preserve">Planococcus lilacinus </w:t>
            </w:r>
            <w:r>
              <w:rPr>
                <w:rFonts w:cs="Arial"/>
                <w:szCs w:val="16"/>
              </w:rPr>
              <w:t>(Cockerell,1905)</w:t>
            </w:r>
          </w:p>
          <w:p w14:paraId="30B15A8C" w14:textId="77777777" w:rsidR="009D3DC8" w:rsidRDefault="009D3DC8">
            <w:pPr>
              <w:pStyle w:val="TableText"/>
              <w:spacing w:line="240" w:lineRule="auto"/>
              <w:rPr>
                <w:rFonts w:cs="Arial"/>
                <w:szCs w:val="16"/>
              </w:rPr>
            </w:pPr>
            <w:r>
              <w:rPr>
                <w:rFonts w:cs="Arial"/>
                <w:szCs w:val="16"/>
              </w:rPr>
              <w:t>[Hemiptera: Pseudococcidae]</w:t>
            </w:r>
          </w:p>
          <w:p w14:paraId="1EEB76BE"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Coffee mealybug</w:t>
            </w:r>
          </w:p>
        </w:tc>
        <w:tc>
          <w:tcPr>
            <w:tcW w:w="2146" w:type="dxa"/>
            <w:tcBorders>
              <w:left w:val="single" w:sz="2" w:space="0" w:color="999999"/>
              <w:bottom w:val="single" w:sz="2" w:space="0" w:color="auto"/>
              <w:right w:val="single" w:sz="2" w:space="0" w:color="999999"/>
            </w:tcBorders>
            <w:shd w:val="clear" w:color="auto" w:fill="FFFFFF"/>
          </w:tcPr>
          <w:p w14:paraId="4A370E3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D2A5BB5"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2011d)</w:t>
            </w:r>
          </w:p>
        </w:tc>
        <w:tc>
          <w:tcPr>
            <w:tcW w:w="2670" w:type="dxa"/>
            <w:tcBorders>
              <w:left w:val="single" w:sz="2" w:space="0" w:color="999999"/>
              <w:bottom w:val="single" w:sz="2" w:space="0" w:color="auto"/>
              <w:right w:val="single" w:sz="2" w:space="0" w:color="999999"/>
            </w:tcBorders>
            <w:shd w:val="clear" w:color="auto" w:fill="FFFFFF"/>
          </w:tcPr>
          <w:p w14:paraId="1D0CF9E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5DC1A3E"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(USDA-APHIS 2006).</w:t>
            </w:r>
          </w:p>
        </w:tc>
        <w:tc>
          <w:tcPr>
            <w:tcW w:w="2007" w:type="dxa"/>
            <w:tcBorders>
              <w:left w:val="single" w:sz="2" w:space="0" w:color="999999"/>
              <w:bottom w:val="single" w:sz="2" w:space="0" w:color="auto"/>
              <w:right w:val="single" w:sz="2" w:space="0" w:color="999999"/>
            </w:tcBorders>
            <w:shd w:val="clear" w:color="auto" w:fill="FFFFFF"/>
          </w:tcPr>
          <w:p w14:paraId="37E771A6"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44FFBED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2489678" w14:textId="77777777" w:rsidR="009D3DC8" w:rsidRDefault="009D3DC8">
            <w:pPr>
              <w:pStyle w:val="TableText1"/>
              <w:keepNext w:val="0"/>
              <w:rPr>
                <w:rFonts w:ascii="Arial" w:hAnsi="Arial" w:cs="Arial"/>
                <w:color w:val="auto"/>
                <w:szCs w:val="16"/>
              </w:rPr>
            </w:pPr>
            <w:r>
              <w:rPr>
                <w:rFonts w:ascii="Arial" w:hAnsi="Arial" w:cs="Arial"/>
                <w:color w:val="auto"/>
                <w:szCs w:val="16"/>
              </w:rPr>
              <w:t>Has a wide host range including several garden ornamentals (Ben-Dov 2011d). Easily dispersed by wind and plant material (Williams and Watson 1988b).</w:t>
            </w:r>
          </w:p>
        </w:tc>
        <w:tc>
          <w:tcPr>
            <w:tcW w:w="2270" w:type="dxa"/>
            <w:gridSpan w:val="2"/>
            <w:tcBorders>
              <w:left w:val="single" w:sz="2" w:space="0" w:color="999999"/>
              <w:bottom w:val="single" w:sz="2" w:space="0" w:color="auto"/>
              <w:right w:val="single" w:sz="2" w:space="0" w:color="999999"/>
            </w:tcBorders>
            <w:shd w:val="clear" w:color="auto" w:fill="FFFFFF"/>
          </w:tcPr>
          <w:p w14:paraId="55C1500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42940D0" w14:textId="77777777" w:rsidR="009D3DC8" w:rsidRDefault="009D3DC8">
            <w:pPr>
              <w:pStyle w:val="TableText1"/>
              <w:keepNext w:val="0"/>
              <w:rPr>
                <w:rFonts w:ascii="Arial" w:hAnsi="Arial" w:cs="Arial"/>
                <w:color w:val="auto"/>
                <w:szCs w:val="16"/>
              </w:rPr>
            </w:pPr>
            <w:r>
              <w:rPr>
                <w:rFonts w:ascii="Arial" w:hAnsi="Arial" w:cs="Arial"/>
                <w:color w:val="auto"/>
                <w:szCs w:val="16"/>
              </w:rPr>
              <w:t>A serious pest of cocoa (Cox 1989) causing severe damage to young trees by killing the tips of branches. It is such an important pest of coffee, cocoa, custard apples, coconuts and mandarins in parts of India that chemical control is warranted (CABI 2011; Ben-Dov 2011d).</w:t>
            </w:r>
          </w:p>
        </w:tc>
        <w:tc>
          <w:tcPr>
            <w:tcW w:w="1163" w:type="dxa"/>
            <w:tcBorders>
              <w:left w:val="single" w:sz="2" w:space="0" w:color="999999"/>
              <w:bottom w:val="single" w:sz="2" w:space="0" w:color="auto"/>
            </w:tcBorders>
            <w:shd w:val="clear" w:color="auto" w:fill="FFFFFF"/>
          </w:tcPr>
          <w:p w14:paraId="6DA864F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2B1FAED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4ED539CA" w14:textId="77777777" w:rsidR="009D3DC8" w:rsidRDefault="009D3DC8">
            <w:pPr>
              <w:pStyle w:val="TableText"/>
              <w:spacing w:line="240" w:lineRule="auto"/>
              <w:rPr>
                <w:rFonts w:cs="Arial"/>
                <w:i/>
                <w:szCs w:val="16"/>
              </w:rPr>
            </w:pPr>
            <w:r>
              <w:rPr>
                <w:rFonts w:cs="Arial"/>
                <w:i/>
                <w:szCs w:val="16"/>
              </w:rPr>
              <w:t xml:space="preserve">Planococcus minor </w:t>
            </w:r>
            <w:r>
              <w:rPr>
                <w:rFonts w:cs="Arial"/>
                <w:szCs w:val="16"/>
              </w:rPr>
              <w:t>(Maskell, 1897)</w:t>
            </w:r>
          </w:p>
          <w:p w14:paraId="6516D3EC" w14:textId="77777777" w:rsidR="009D3DC8" w:rsidRDefault="009D3DC8">
            <w:pPr>
              <w:pStyle w:val="TableText"/>
              <w:spacing w:line="240" w:lineRule="auto"/>
              <w:rPr>
                <w:rFonts w:cs="Arial"/>
                <w:szCs w:val="16"/>
              </w:rPr>
            </w:pPr>
            <w:r>
              <w:rPr>
                <w:rFonts w:cs="Arial"/>
                <w:szCs w:val="16"/>
              </w:rPr>
              <w:t>[Hemiptera: Pseudococcidae]</w:t>
            </w:r>
          </w:p>
          <w:p w14:paraId="37CCE0E6"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Pacific mealybug</w:t>
            </w:r>
          </w:p>
        </w:tc>
        <w:tc>
          <w:tcPr>
            <w:tcW w:w="2146" w:type="dxa"/>
            <w:tcBorders>
              <w:left w:val="single" w:sz="2" w:space="0" w:color="999999"/>
              <w:bottom w:val="single" w:sz="2" w:space="0" w:color="auto"/>
              <w:right w:val="single" w:sz="2" w:space="0" w:color="999999"/>
            </w:tcBorders>
            <w:shd w:val="clear" w:color="auto" w:fill="FFFFFF"/>
          </w:tcPr>
          <w:p w14:paraId="49DC9B11"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F35A7E7"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2011d)</w:t>
            </w:r>
          </w:p>
        </w:tc>
        <w:tc>
          <w:tcPr>
            <w:tcW w:w="2670" w:type="dxa"/>
            <w:tcBorders>
              <w:left w:val="single" w:sz="2" w:space="0" w:color="999999"/>
              <w:bottom w:val="single" w:sz="2" w:space="0" w:color="auto"/>
              <w:right w:val="single" w:sz="2" w:space="0" w:color="999999"/>
            </w:tcBorders>
            <w:shd w:val="clear" w:color="auto" w:fill="FFFFFF"/>
          </w:tcPr>
          <w:p w14:paraId="387722C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D7D3E26"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(USDA-APHIS 2006).</w:t>
            </w:r>
          </w:p>
        </w:tc>
        <w:tc>
          <w:tcPr>
            <w:tcW w:w="2007" w:type="dxa"/>
            <w:tcBorders>
              <w:left w:val="single" w:sz="2" w:space="0" w:color="999999"/>
              <w:bottom w:val="single" w:sz="2" w:space="0" w:color="auto"/>
              <w:right w:val="single" w:sz="2" w:space="0" w:color="999999"/>
            </w:tcBorders>
            <w:shd w:val="clear" w:color="auto" w:fill="FFFFFF"/>
          </w:tcPr>
          <w:p w14:paraId="58C61131"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18E7964"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NSW, NT, SA, Qld (CSIRO 2005; APPD 2011) </w:t>
            </w:r>
          </w:p>
          <w:p w14:paraId="11D3BD15" w14:textId="77777777" w:rsidR="009D3DC8" w:rsidRDefault="009D3DC8">
            <w:pPr>
              <w:pStyle w:val="TableText1"/>
              <w:keepNext w:val="0"/>
              <w:rPr>
                <w:rFonts w:ascii="Arial" w:hAnsi="Arial" w:cs="Arial"/>
                <w:color w:val="auto"/>
                <w:szCs w:val="16"/>
              </w:rPr>
            </w:pPr>
            <w:r>
              <w:rPr>
                <w:rFonts w:ascii="Arial" w:hAnsi="Arial" w:cs="Arial"/>
                <w:color w:val="auto"/>
                <w:szCs w:val="16"/>
              </w:rPr>
              <w:t>Not present in WA (Poole 2010)</w:t>
            </w:r>
          </w:p>
        </w:tc>
        <w:tc>
          <w:tcPr>
            <w:tcW w:w="2537" w:type="dxa"/>
            <w:tcBorders>
              <w:left w:val="single" w:sz="2" w:space="0" w:color="999999"/>
              <w:bottom w:val="single" w:sz="2" w:space="0" w:color="auto"/>
              <w:right w:val="single" w:sz="2" w:space="0" w:color="999999"/>
            </w:tcBorders>
            <w:shd w:val="clear" w:color="auto" w:fill="FFFFFF"/>
          </w:tcPr>
          <w:p w14:paraId="03099A9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27D0D31" w14:textId="77777777" w:rsidR="009D3DC8" w:rsidRDefault="009D3DC8">
            <w:pPr>
              <w:pStyle w:val="TableText1"/>
              <w:keepNext w:val="0"/>
              <w:rPr>
                <w:rFonts w:ascii="Arial" w:hAnsi="Arial" w:cs="Arial"/>
                <w:color w:val="auto"/>
                <w:szCs w:val="16"/>
              </w:rPr>
            </w:pPr>
            <w:r>
              <w:rPr>
                <w:rFonts w:ascii="Arial" w:hAnsi="Arial" w:cs="Arial"/>
                <w:color w:val="auto"/>
                <w:szCs w:val="16"/>
              </w:rPr>
              <w:t>Has a wide host range across more than 60 plant families (Ben-Dov 2011d). Easily dispersed by wind and plant material (Williams and Watson 1988b).</w:t>
            </w:r>
          </w:p>
        </w:tc>
        <w:tc>
          <w:tcPr>
            <w:tcW w:w="2270" w:type="dxa"/>
            <w:gridSpan w:val="2"/>
            <w:tcBorders>
              <w:left w:val="single" w:sz="2" w:space="0" w:color="999999"/>
              <w:bottom w:val="single" w:sz="2" w:space="0" w:color="auto"/>
              <w:right w:val="single" w:sz="2" w:space="0" w:color="999999"/>
            </w:tcBorders>
            <w:shd w:val="clear" w:color="auto" w:fill="FFFFFF"/>
          </w:tcPr>
          <w:p w14:paraId="326FE553" w14:textId="77777777" w:rsidR="009D3DC8" w:rsidRDefault="009D3DC8">
            <w:pPr>
              <w:pStyle w:val="TableText1"/>
              <w:keepNext w:val="0"/>
              <w:rPr>
                <w:rFonts w:ascii="Arial" w:hAnsi="Arial" w:cs="Arial"/>
                <w:color w:val="auto"/>
                <w:szCs w:val="16"/>
                <w:lang w:val="pt-BR"/>
              </w:rPr>
            </w:pPr>
            <w:r>
              <w:rPr>
                <w:rFonts w:ascii="Arial" w:hAnsi="Arial" w:cs="Arial"/>
                <w:color w:val="auto"/>
                <w:szCs w:val="16"/>
                <w:lang w:val="pt-BR"/>
              </w:rPr>
              <w:t>Yes</w:t>
            </w:r>
          </w:p>
          <w:p w14:paraId="09BD6770" w14:textId="77777777" w:rsidR="009D3DC8" w:rsidRDefault="009D3DC8">
            <w:pPr>
              <w:pStyle w:val="TableText1"/>
              <w:keepNext w:val="0"/>
              <w:rPr>
                <w:rFonts w:ascii="Arial" w:hAnsi="Arial" w:cs="Arial"/>
                <w:color w:val="auto"/>
                <w:szCs w:val="16"/>
              </w:rPr>
            </w:pPr>
            <w:r>
              <w:rPr>
                <w:rFonts w:ascii="Arial" w:hAnsi="Arial" w:cs="Arial"/>
                <w:color w:val="auto"/>
                <w:szCs w:val="16"/>
              </w:rPr>
              <w:t>A pest of numerous crops (Venette and Davis 2004) and a serious pest of cocoa (Cox 1989); causing severe damage to young trees by killing the tips of the branches.</w:t>
            </w:r>
          </w:p>
        </w:tc>
        <w:tc>
          <w:tcPr>
            <w:tcW w:w="1163" w:type="dxa"/>
            <w:tcBorders>
              <w:left w:val="single" w:sz="2" w:space="0" w:color="999999"/>
              <w:bottom w:val="single" w:sz="2" w:space="0" w:color="auto"/>
            </w:tcBorders>
            <w:shd w:val="clear" w:color="auto" w:fill="FFFFFF"/>
          </w:tcPr>
          <w:p w14:paraId="4235F5B3" w14:textId="77777777" w:rsidR="009D3DC8" w:rsidRDefault="009D3DC8">
            <w:pPr>
              <w:pStyle w:val="TableText1"/>
              <w:keepNext w:val="0"/>
              <w:rPr>
                <w:rFonts w:ascii="Arial" w:hAnsi="Arial" w:cs="Arial"/>
                <w:color w:val="auto"/>
                <w:szCs w:val="16"/>
              </w:rPr>
            </w:pPr>
            <w:r>
              <w:rPr>
                <w:rFonts w:ascii="Arial" w:hAnsi="Arial" w:cs="Arial"/>
                <w:color w:val="auto"/>
                <w:szCs w:val="16"/>
              </w:rPr>
              <w:t>Yes (WA)</w:t>
            </w:r>
          </w:p>
        </w:tc>
      </w:tr>
      <w:tr w:rsidR="009D3DC8" w14:paraId="5314A9F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79834DA3" w14:textId="77777777" w:rsidR="009D3DC8" w:rsidRDefault="009D3DC8">
            <w:pPr>
              <w:pStyle w:val="TableText"/>
              <w:spacing w:line="240" w:lineRule="auto"/>
              <w:rPr>
                <w:rFonts w:cs="Arial"/>
                <w:szCs w:val="16"/>
              </w:rPr>
            </w:pPr>
            <w:r>
              <w:rPr>
                <w:rFonts w:cs="Arial"/>
                <w:i/>
                <w:szCs w:val="16"/>
              </w:rPr>
              <w:lastRenderedPageBreak/>
              <w:t>Pseudaonidia trilobitiformis</w:t>
            </w:r>
            <w:r>
              <w:rPr>
                <w:rFonts w:cs="Arial"/>
                <w:szCs w:val="16"/>
              </w:rPr>
              <w:t xml:space="preserve"> (Green, 1896) </w:t>
            </w:r>
          </w:p>
          <w:p w14:paraId="3D4656C2" w14:textId="77777777" w:rsidR="009D3DC8" w:rsidRDefault="009D3DC8">
            <w:pPr>
              <w:pStyle w:val="TableText"/>
              <w:spacing w:line="240" w:lineRule="auto"/>
              <w:rPr>
                <w:rFonts w:cs="Arial"/>
                <w:szCs w:val="16"/>
              </w:rPr>
            </w:pPr>
            <w:r>
              <w:rPr>
                <w:rFonts w:cs="Arial"/>
                <w:szCs w:val="16"/>
              </w:rPr>
              <w:t>[Hemiptera: Diaspididae]</w:t>
            </w:r>
          </w:p>
          <w:p w14:paraId="4E7B23B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Cashew scale</w:t>
            </w:r>
          </w:p>
        </w:tc>
        <w:tc>
          <w:tcPr>
            <w:tcW w:w="2146" w:type="dxa"/>
            <w:tcBorders>
              <w:left w:val="single" w:sz="2" w:space="0" w:color="999999"/>
              <w:bottom w:val="single" w:sz="2" w:space="0" w:color="auto"/>
              <w:right w:val="single" w:sz="2" w:space="0" w:color="999999"/>
            </w:tcBorders>
            <w:shd w:val="clear" w:color="auto" w:fill="FFFFFF"/>
          </w:tcPr>
          <w:p w14:paraId="6516427A"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2012D18"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2011c)</w:t>
            </w:r>
          </w:p>
        </w:tc>
        <w:tc>
          <w:tcPr>
            <w:tcW w:w="2670" w:type="dxa"/>
            <w:tcBorders>
              <w:left w:val="single" w:sz="2" w:space="0" w:color="999999"/>
              <w:bottom w:val="single" w:sz="2" w:space="0" w:color="auto"/>
              <w:right w:val="single" w:sz="2" w:space="0" w:color="999999"/>
            </w:tcBorders>
            <w:shd w:val="clear" w:color="auto" w:fill="FFFFFF"/>
          </w:tcPr>
          <w:p w14:paraId="222BC557"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43E695C"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(USDA-APHIS 2006).</w:t>
            </w:r>
          </w:p>
        </w:tc>
        <w:tc>
          <w:tcPr>
            <w:tcW w:w="2007" w:type="dxa"/>
            <w:tcBorders>
              <w:left w:val="single" w:sz="2" w:space="0" w:color="999999"/>
              <w:bottom w:val="single" w:sz="2" w:space="0" w:color="auto"/>
              <w:right w:val="single" w:sz="2" w:space="0" w:color="999999"/>
            </w:tcBorders>
            <w:shd w:val="clear" w:color="auto" w:fill="FFFFFF"/>
          </w:tcPr>
          <w:p w14:paraId="695C9E3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12EEC91" w14:textId="77777777" w:rsidR="009D3DC8" w:rsidRDefault="009D3DC8">
            <w:pPr>
              <w:pStyle w:val="TableText1"/>
              <w:keepNext w:val="0"/>
              <w:rPr>
                <w:rFonts w:ascii="Arial" w:hAnsi="Arial" w:cs="Arial"/>
                <w:color w:val="auto"/>
                <w:szCs w:val="16"/>
              </w:rPr>
            </w:pPr>
            <w:r>
              <w:rPr>
                <w:rFonts w:ascii="Arial" w:hAnsi="Arial" w:cs="Arial"/>
                <w:color w:val="auto"/>
                <w:szCs w:val="16"/>
              </w:rPr>
              <w:t>NT, Qld (APPD 2011)</w:t>
            </w:r>
          </w:p>
          <w:p w14:paraId="203633D2" w14:textId="77777777" w:rsidR="009D3DC8" w:rsidRDefault="009D3DC8">
            <w:pPr>
              <w:pStyle w:val="TableText1"/>
              <w:keepNext w:val="0"/>
              <w:rPr>
                <w:rFonts w:ascii="Arial" w:hAnsi="Arial" w:cs="Arial"/>
                <w:color w:val="auto"/>
                <w:szCs w:val="16"/>
              </w:rPr>
            </w:pPr>
            <w:r>
              <w:rPr>
                <w:rFonts w:ascii="Arial" w:hAnsi="Arial" w:cs="Arial"/>
                <w:color w:val="auto"/>
                <w:szCs w:val="16"/>
              </w:rPr>
              <w:t>Not present in WA (Poole 2010)</w:t>
            </w:r>
          </w:p>
        </w:tc>
        <w:tc>
          <w:tcPr>
            <w:tcW w:w="2537" w:type="dxa"/>
            <w:tcBorders>
              <w:left w:val="single" w:sz="2" w:space="0" w:color="999999"/>
              <w:bottom w:val="single" w:sz="2" w:space="0" w:color="auto"/>
              <w:right w:val="single" w:sz="2" w:space="0" w:color="999999"/>
            </w:tcBorders>
            <w:shd w:val="clear" w:color="auto" w:fill="FFFFFF"/>
          </w:tcPr>
          <w:p w14:paraId="5A6EBB28" w14:textId="77777777" w:rsidR="009D3DC8" w:rsidRDefault="009D3DC8">
            <w:pPr>
              <w:pStyle w:val="TableText1"/>
              <w:keepNext w:val="0"/>
              <w:rPr>
                <w:rFonts w:ascii="Arial" w:hAnsi="Arial" w:cs="Arial"/>
                <w:color w:val="auto"/>
                <w:szCs w:val="16"/>
                <w:lang w:val="en-US"/>
              </w:rPr>
            </w:pPr>
            <w:r>
              <w:rPr>
                <w:rFonts w:ascii="Arial" w:hAnsi="Arial" w:cs="Arial"/>
                <w:color w:val="auto"/>
                <w:szCs w:val="16"/>
                <w:lang w:val="en-US"/>
              </w:rPr>
              <w:t>Yes</w:t>
            </w:r>
          </w:p>
          <w:p w14:paraId="650ECC63" w14:textId="77777777" w:rsidR="009D3DC8" w:rsidRDefault="009D3DC8">
            <w:pPr>
              <w:pStyle w:val="TableText1"/>
              <w:keepNext w:val="0"/>
              <w:rPr>
                <w:rFonts w:ascii="Arial" w:hAnsi="Arial" w:cs="Arial"/>
                <w:color w:val="auto"/>
                <w:szCs w:val="16"/>
              </w:rPr>
            </w:pPr>
            <w:r>
              <w:rPr>
                <w:rFonts w:ascii="Arial" w:hAnsi="Arial" w:cs="Arial"/>
                <w:color w:val="auto"/>
                <w:szCs w:val="16"/>
                <w:lang w:val="en-US"/>
              </w:rPr>
              <w:t>Has a wide host range with hosts recorded from 42 plant families, but host range is probably wider (Watson 2005c). Easily dispersed by wind, plant material or fruit pickers (Williams and Watson 1988a).</w:t>
            </w:r>
          </w:p>
        </w:tc>
        <w:tc>
          <w:tcPr>
            <w:tcW w:w="2270" w:type="dxa"/>
            <w:gridSpan w:val="2"/>
            <w:tcBorders>
              <w:left w:val="single" w:sz="2" w:space="0" w:color="999999"/>
              <w:bottom w:val="single" w:sz="2" w:space="0" w:color="auto"/>
              <w:right w:val="single" w:sz="2" w:space="0" w:color="999999"/>
            </w:tcBorders>
            <w:shd w:val="clear" w:color="auto" w:fill="FFFFFF"/>
          </w:tcPr>
          <w:p w14:paraId="03C3F086" w14:textId="77777777" w:rsidR="009D3DC8" w:rsidRDefault="009D3DC8">
            <w:pPr>
              <w:pStyle w:val="TableText1"/>
              <w:keepNext w:val="0"/>
              <w:rPr>
                <w:rFonts w:ascii="Arial" w:hAnsi="Arial" w:cs="Arial"/>
                <w:color w:val="auto"/>
                <w:szCs w:val="16"/>
                <w:lang w:val="en-US"/>
              </w:rPr>
            </w:pPr>
            <w:r>
              <w:rPr>
                <w:rFonts w:ascii="Arial" w:hAnsi="Arial" w:cs="Arial"/>
                <w:color w:val="auto"/>
                <w:szCs w:val="16"/>
                <w:lang w:val="en-US"/>
              </w:rPr>
              <w:t>Yes</w:t>
            </w:r>
          </w:p>
          <w:p w14:paraId="0EEEF024" w14:textId="77777777" w:rsidR="009D3DC8" w:rsidRDefault="009D3DC8">
            <w:pPr>
              <w:pStyle w:val="TableText1"/>
              <w:keepNext w:val="0"/>
              <w:rPr>
                <w:rFonts w:ascii="Arial" w:hAnsi="Arial" w:cs="Arial"/>
                <w:color w:val="auto"/>
                <w:szCs w:val="16"/>
              </w:rPr>
            </w:pPr>
            <w:r>
              <w:rPr>
                <w:rFonts w:ascii="Arial" w:hAnsi="Arial" w:cs="Arial"/>
                <w:color w:val="auto"/>
                <w:szCs w:val="16"/>
                <w:lang w:val="en-US"/>
              </w:rPr>
              <w:t xml:space="preserve">Causes significant economic damage to </w:t>
            </w:r>
            <w:r>
              <w:rPr>
                <w:rFonts w:ascii="Arial" w:hAnsi="Arial" w:cs="Arial"/>
                <w:i/>
                <w:color w:val="auto"/>
                <w:szCs w:val="16"/>
                <w:lang w:val="en-US"/>
              </w:rPr>
              <w:t>Citrus</w:t>
            </w:r>
            <w:r>
              <w:rPr>
                <w:rFonts w:ascii="Arial" w:hAnsi="Arial" w:cs="Arial"/>
                <w:color w:val="auto"/>
                <w:szCs w:val="16"/>
                <w:lang w:val="en-US"/>
              </w:rPr>
              <w:t xml:space="preserve">, cashew and cocao (Watson 2005c). Furthermore, </w:t>
            </w:r>
            <w:r>
              <w:rPr>
                <w:rFonts w:ascii="Arial" w:hAnsi="Arial" w:cs="Arial"/>
                <w:color w:val="auto"/>
                <w:szCs w:val="16"/>
              </w:rPr>
              <w:t>hard scales cause a range of damage to their host plants including: chlorosis; discolouration of fruit; shoot, leaf and branch deformation; galls; necrosis of cambial tissues; and deformation, discolouration and abortion of fruit (Kosztarab 1990).</w:t>
            </w:r>
          </w:p>
        </w:tc>
        <w:tc>
          <w:tcPr>
            <w:tcW w:w="1163" w:type="dxa"/>
            <w:tcBorders>
              <w:left w:val="single" w:sz="2" w:space="0" w:color="999999"/>
              <w:bottom w:val="single" w:sz="2" w:space="0" w:color="auto"/>
            </w:tcBorders>
            <w:shd w:val="clear" w:color="auto" w:fill="FFFFFF"/>
          </w:tcPr>
          <w:p w14:paraId="7F7F560A" w14:textId="77777777" w:rsidR="009D3DC8" w:rsidRDefault="009D3DC8">
            <w:pPr>
              <w:pStyle w:val="TableText1"/>
              <w:keepNext w:val="0"/>
              <w:rPr>
                <w:rFonts w:ascii="Arial" w:hAnsi="Arial" w:cs="Arial"/>
                <w:color w:val="auto"/>
                <w:szCs w:val="16"/>
              </w:rPr>
            </w:pPr>
            <w:r>
              <w:rPr>
                <w:rFonts w:ascii="Arial" w:hAnsi="Arial" w:cs="Arial"/>
                <w:color w:val="auto"/>
                <w:szCs w:val="16"/>
              </w:rPr>
              <w:t>Yes (WA)</w:t>
            </w:r>
          </w:p>
        </w:tc>
      </w:tr>
      <w:tr w:rsidR="009D3DC8" w14:paraId="04FB8344"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AC9CED5" w14:textId="77777777" w:rsidR="009D3DC8" w:rsidRDefault="009D3DC8">
            <w:pPr>
              <w:pStyle w:val="TableText"/>
              <w:spacing w:line="240" w:lineRule="auto"/>
              <w:rPr>
                <w:rFonts w:cs="Arial"/>
                <w:szCs w:val="16"/>
              </w:rPr>
            </w:pPr>
            <w:r>
              <w:rPr>
                <w:rFonts w:cs="Arial"/>
                <w:i/>
                <w:szCs w:val="16"/>
              </w:rPr>
              <w:t>Pseudococcus aurantiacus</w:t>
            </w:r>
            <w:r>
              <w:rPr>
                <w:rFonts w:cs="Arial"/>
                <w:szCs w:val="16"/>
              </w:rPr>
              <w:t xml:space="preserve"> Williams, 2004</w:t>
            </w:r>
          </w:p>
          <w:p w14:paraId="0B10BA9E" w14:textId="77777777" w:rsidR="009D3DC8" w:rsidRDefault="009D3DC8">
            <w:pPr>
              <w:pStyle w:val="TableText"/>
              <w:spacing w:line="240" w:lineRule="auto"/>
              <w:rPr>
                <w:rFonts w:cs="Arial"/>
                <w:szCs w:val="16"/>
              </w:rPr>
            </w:pPr>
            <w:r>
              <w:rPr>
                <w:rFonts w:cs="Arial"/>
                <w:szCs w:val="16"/>
              </w:rPr>
              <w:t>[Hemiptera: Pseudococcidae]</w:t>
            </w:r>
          </w:p>
          <w:p w14:paraId="1BD3EED5"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Orange-coloured mealybug</w:t>
            </w:r>
          </w:p>
        </w:tc>
        <w:tc>
          <w:tcPr>
            <w:tcW w:w="2146" w:type="dxa"/>
            <w:tcBorders>
              <w:left w:val="single" w:sz="2" w:space="0" w:color="999999"/>
              <w:bottom w:val="single" w:sz="2" w:space="0" w:color="auto"/>
              <w:right w:val="single" w:sz="2" w:space="0" w:color="999999"/>
            </w:tcBorders>
            <w:shd w:val="clear" w:color="auto" w:fill="FFFFFF"/>
          </w:tcPr>
          <w:p w14:paraId="2C7E1408"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BD348A6" w14:textId="77777777" w:rsidR="009D3DC8" w:rsidRDefault="009D3DC8">
            <w:pPr>
              <w:pStyle w:val="TableText1"/>
              <w:keepNext w:val="0"/>
              <w:rPr>
                <w:rFonts w:ascii="Arial" w:hAnsi="Arial" w:cs="Arial"/>
                <w:color w:val="auto"/>
                <w:szCs w:val="16"/>
              </w:rPr>
            </w:pPr>
            <w:r>
              <w:rPr>
                <w:rFonts w:ascii="Arial" w:hAnsi="Arial" w:cs="Arial"/>
                <w:color w:val="auto"/>
                <w:szCs w:val="16"/>
              </w:rPr>
              <w:t>(Williams 2004)</w:t>
            </w:r>
          </w:p>
        </w:tc>
        <w:tc>
          <w:tcPr>
            <w:tcW w:w="2670" w:type="dxa"/>
            <w:tcBorders>
              <w:left w:val="single" w:sz="2" w:space="0" w:color="999999"/>
              <w:bottom w:val="single" w:sz="2" w:space="0" w:color="auto"/>
              <w:right w:val="single" w:sz="2" w:space="0" w:color="999999"/>
            </w:tcBorders>
            <w:shd w:val="clear" w:color="auto" w:fill="FFFFFF"/>
          </w:tcPr>
          <w:p w14:paraId="73970F0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52849CD"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(Williams 2004).</w:t>
            </w:r>
          </w:p>
        </w:tc>
        <w:tc>
          <w:tcPr>
            <w:tcW w:w="2007" w:type="dxa"/>
            <w:tcBorders>
              <w:left w:val="single" w:sz="2" w:space="0" w:color="999999"/>
              <w:bottom w:val="single" w:sz="2" w:space="0" w:color="auto"/>
              <w:right w:val="single" w:sz="2" w:space="0" w:color="999999"/>
            </w:tcBorders>
            <w:shd w:val="clear" w:color="auto" w:fill="FFFFFF"/>
          </w:tcPr>
          <w:p w14:paraId="75A3F13F"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2D6AEB6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9D6CA60" w14:textId="77777777" w:rsidR="009D3DC8" w:rsidRDefault="009D3DC8">
            <w:pPr>
              <w:pStyle w:val="TableText1"/>
              <w:keepNext w:val="0"/>
              <w:rPr>
                <w:rFonts w:ascii="Arial" w:hAnsi="Arial" w:cs="Arial"/>
                <w:color w:val="auto"/>
                <w:szCs w:val="16"/>
              </w:rPr>
            </w:pPr>
            <w:r>
              <w:rPr>
                <w:rFonts w:ascii="Arial" w:hAnsi="Arial" w:cs="Arial"/>
                <w:color w:val="auto"/>
                <w:szCs w:val="16"/>
              </w:rPr>
              <w:t>Has a wide host range (Ben-Dov 2011d) and susceptible hosts are present in Australia.</w:t>
            </w:r>
          </w:p>
        </w:tc>
        <w:tc>
          <w:tcPr>
            <w:tcW w:w="2270" w:type="dxa"/>
            <w:gridSpan w:val="2"/>
            <w:tcBorders>
              <w:left w:val="single" w:sz="2" w:space="0" w:color="999999"/>
              <w:bottom w:val="single" w:sz="2" w:space="0" w:color="auto"/>
              <w:right w:val="single" w:sz="2" w:space="0" w:color="999999"/>
            </w:tcBorders>
            <w:shd w:val="clear" w:color="auto" w:fill="FFFFFF"/>
          </w:tcPr>
          <w:p w14:paraId="401EC8E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80DFB7D" w14:textId="77777777" w:rsidR="009D3DC8" w:rsidRDefault="009D3DC8">
            <w:pPr>
              <w:pStyle w:val="TableText1"/>
              <w:keepNext w:val="0"/>
              <w:rPr>
                <w:rFonts w:ascii="Arial" w:hAnsi="Arial" w:cs="Arial"/>
                <w:color w:val="auto"/>
                <w:szCs w:val="16"/>
              </w:rPr>
            </w:pPr>
            <w:r>
              <w:rPr>
                <w:rFonts w:ascii="Arial" w:hAnsi="Arial" w:cs="Arial"/>
                <w:color w:val="auto"/>
                <w:szCs w:val="16"/>
              </w:rPr>
              <w:t>A polyphagous species that is regularly intercepted on fruit in international trade (Williams 2004). Mealybugs feed on sap, stressing their host plants and reducing the yield of commercial crops. The production of honeydew by mealybugs also promotes the growth of sooty moulds, which reduces the marketability of fruit (CABI 2011).</w:t>
            </w:r>
          </w:p>
        </w:tc>
        <w:tc>
          <w:tcPr>
            <w:tcW w:w="1163" w:type="dxa"/>
            <w:tcBorders>
              <w:left w:val="single" w:sz="2" w:space="0" w:color="999999"/>
              <w:bottom w:val="single" w:sz="2" w:space="0" w:color="auto"/>
            </w:tcBorders>
            <w:shd w:val="clear" w:color="auto" w:fill="FFFFFF"/>
          </w:tcPr>
          <w:p w14:paraId="4B75E5B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4071768E"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FE787FE" w14:textId="77777777" w:rsidR="009D3DC8" w:rsidRDefault="009D3DC8">
            <w:pPr>
              <w:pStyle w:val="TableText"/>
              <w:spacing w:line="240" w:lineRule="auto"/>
              <w:rPr>
                <w:rFonts w:cs="Arial"/>
                <w:szCs w:val="16"/>
              </w:rPr>
            </w:pPr>
            <w:r>
              <w:rPr>
                <w:rFonts w:cs="Arial"/>
                <w:i/>
                <w:szCs w:val="16"/>
              </w:rPr>
              <w:lastRenderedPageBreak/>
              <w:t>Pseudococcus baliteus</w:t>
            </w:r>
            <w:r>
              <w:rPr>
                <w:rFonts w:cs="Arial"/>
                <w:szCs w:val="16"/>
              </w:rPr>
              <w:t xml:space="preserve"> Lit, 1994</w:t>
            </w:r>
          </w:p>
          <w:p w14:paraId="3058EF45" w14:textId="77777777" w:rsidR="009D3DC8" w:rsidRDefault="009D3DC8">
            <w:pPr>
              <w:pStyle w:val="TableText"/>
              <w:spacing w:line="240" w:lineRule="auto"/>
              <w:rPr>
                <w:rFonts w:cs="Arial"/>
                <w:szCs w:val="16"/>
              </w:rPr>
            </w:pPr>
            <w:r>
              <w:rPr>
                <w:rFonts w:cs="Arial"/>
                <w:szCs w:val="16"/>
              </w:rPr>
              <w:t>[Hemiptera: Pseudococcidae]</w:t>
            </w:r>
          </w:p>
          <w:p w14:paraId="5EDFF54B"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Aerial root mealybug</w:t>
            </w:r>
          </w:p>
        </w:tc>
        <w:tc>
          <w:tcPr>
            <w:tcW w:w="2146" w:type="dxa"/>
            <w:tcBorders>
              <w:left w:val="single" w:sz="2" w:space="0" w:color="999999"/>
              <w:bottom w:val="single" w:sz="2" w:space="0" w:color="auto"/>
              <w:right w:val="single" w:sz="2" w:space="0" w:color="999999"/>
            </w:tcBorders>
            <w:shd w:val="clear" w:color="auto" w:fill="FFFFFF"/>
          </w:tcPr>
          <w:p w14:paraId="50D2262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90F3D5A" w14:textId="77777777" w:rsidR="009D3DC8" w:rsidRDefault="009D3DC8">
            <w:pPr>
              <w:pStyle w:val="TableText1"/>
              <w:keepNext w:val="0"/>
              <w:rPr>
                <w:rFonts w:ascii="Arial" w:hAnsi="Arial" w:cs="Arial"/>
                <w:color w:val="auto"/>
                <w:szCs w:val="16"/>
              </w:rPr>
            </w:pPr>
            <w:r>
              <w:rPr>
                <w:rFonts w:ascii="Arial" w:hAnsi="Arial" w:cs="Arial"/>
                <w:color w:val="auto"/>
                <w:szCs w:val="16"/>
              </w:rPr>
              <w:t>(Williams 2004)</w:t>
            </w:r>
          </w:p>
        </w:tc>
        <w:tc>
          <w:tcPr>
            <w:tcW w:w="2670" w:type="dxa"/>
            <w:tcBorders>
              <w:left w:val="single" w:sz="2" w:space="0" w:color="999999"/>
              <w:bottom w:val="single" w:sz="2" w:space="0" w:color="auto"/>
              <w:right w:val="single" w:sz="2" w:space="0" w:color="999999"/>
            </w:tcBorders>
            <w:shd w:val="clear" w:color="auto" w:fill="FFFFFF"/>
          </w:tcPr>
          <w:p w14:paraId="48B17797"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B45CA26"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(Williams 2004).</w:t>
            </w:r>
          </w:p>
        </w:tc>
        <w:tc>
          <w:tcPr>
            <w:tcW w:w="2007" w:type="dxa"/>
            <w:tcBorders>
              <w:left w:val="single" w:sz="2" w:space="0" w:color="999999"/>
              <w:bottom w:val="single" w:sz="2" w:space="0" w:color="auto"/>
              <w:right w:val="single" w:sz="2" w:space="0" w:color="999999"/>
            </w:tcBorders>
            <w:shd w:val="clear" w:color="auto" w:fill="FFFFFF"/>
          </w:tcPr>
          <w:p w14:paraId="1F68FC08"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19998BC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2945F6F" w14:textId="77777777" w:rsidR="009D3DC8" w:rsidRDefault="009D3DC8">
            <w:pPr>
              <w:pStyle w:val="TableText1"/>
              <w:keepNext w:val="0"/>
              <w:rPr>
                <w:rFonts w:ascii="Arial" w:hAnsi="Arial" w:cs="Arial"/>
                <w:color w:val="auto"/>
                <w:szCs w:val="16"/>
              </w:rPr>
            </w:pPr>
            <w:r>
              <w:rPr>
                <w:rFonts w:ascii="Arial" w:hAnsi="Arial" w:cs="Arial"/>
                <w:color w:val="auto"/>
                <w:szCs w:val="16"/>
              </w:rPr>
              <w:t>Has a wide host range (Ben-Dov 2011d) and susceptible hosts are present in Australia.</w:t>
            </w:r>
          </w:p>
        </w:tc>
        <w:tc>
          <w:tcPr>
            <w:tcW w:w="2270" w:type="dxa"/>
            <w:gridSpan w:val="2"/>
            <w:tcBorders>
              <w:left w:val="single" w:sz="2" w:space="0" w:color="999999"/>
              <w:bottom w:val="single" w:sz="2" w:space="0" w:color="auto"/>
              <w:right w:val="single" w:sz="2" w:space="0" w:color="999999"/>
            </w:tcBorders>
            <w:shd w:val="clear" w:color="auto" w:fill="FFFFFF"/>
          </w:tcPr>
          <w:p w14:paraId="011DEEC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45D3C40" w14:textId="77777777" w:rsidR="009D3DC8" w:rsidRDefault="009D3DC8">
            <w:pPr>
              <w:pStyle w:val="TableText1"/>
              <w:keepNext w:val="0"/>
              <w:rPr>
                <w:rFonts w:ascii="Arial" w:hAnsi="Arial" w:cs="Arial"/>
                <w:color w:val="auto"/>
                <w:szCs w:val="16"/>
              </w:rPr>
            </w:pPr>
            <w:r>
              <w:rPr>
                <w:rFonts w:ascii="Arial" w:hAnsi="Arial" w:cs="Arial"/>
                <w:color w:val="auto"/>
                <w:szCs w:val="16"/>
              </w:rPr>
              <w:t>A polyphagous species affecting various fruit trees (Williams 2004). Mealybugs feed on sap, stressing their host plants and reducing the yield of commercial crops. The production of honeydew by mealybugs also promotes the growth of sooty moulds, which reduces the marketability of fruit (CABI 2011).</w:t>
            </w:r>
          </w:p>
        </w:tc>
        <w:tc>
          <w:tcPr>
            <w:tcW w:w="1163" w:type="dxa"/>
            <w:tcBorders>
              <w:left w:val="single" w:sz="2" w:space="0" w:color="999999"/>
              <w:bottom w:val="single" w:sz="2" w:space="0" w:color="auto"/>
            </w:tcBorders>
            <w:shd w:val="clear" w:color="auto" w:fill="FFFFFF"/>
          </w:tcPr>
          <w:p w14:paraId="37DD50C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24C58B5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BDDF442" w14:textId="77777777" w:rsidR="009D3DC8" w:rsidRDefault="009D3DC8">
            <w:pPr>
              <w:pStyle w:val="TableText"/>
              <w:spacing w:line="240" w:lineRule="auto"/>
              <w:rPr>
                <w:rFonts w:cs="Arial"/>
                <w:szCs w:val="16"/>
              </w:rPr>
            </w:pPr>
            <w:r>
              <w:rPr>
                <w:rFonts w:cs="Arial"/>
                <w:i/>
                <w:szCs w:val="16"/>
              </w:rPr>
              <w:t>Pseudococcus cryptus</w:t>
            </w:r>
            <w:r>
              <w:rPr>
                <w:rFonts w:cs="Arial"/>
                <w:szCs w:val="16"/>
              </w:rPr>
              <w:t xml:space="preserve"> Hempel, 1918</w:t>
            </w:r>
          </w:p>
          <w:p w14:paraId="6CF07D89" w14:textId="77777777" w:rsidR="009D3DC8" w:rsidRDefault="009D3DC8">
            <w:pPr>
              <w:pStyle w:val="TableText"/>
              <w:spacing w:line="240" w:lineRule="auto"/>
              <w:rPr>
                <w:rFonts w:cs="Arial"/>
                <w:szCs w:val="16"/>
              </w:rPr>
            </w:pPr>
            <w:r>
              <w:rPr>
                <w:rFonts w:cs="Arial"/>
                <w:szCs w:val="16"/>
              </w:rPr>
              <w:t xml:space="preserve"> [Hemiptera: Pseudococcidae]</w:t>
            </w:r>
          </w:p>
          <w:p w14:paraId="610CF0BF"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Citriculus mealybug; cryptic mealybug</w:t>
            </w:r>
          </w:p>
        </w:tc>
        <w:tc>
          <w:tcPr>
            <w:tcW w:w="2146" w:type="dxa"/>
            <w:tcBorders>
              <w:left w:val="single" w:sz="2" w:space="0" w:color="999999"/>
              <w:bottom w:val="single" w:sz="2" w:space="0" w:color="auto"/>
              <w:right w:val="single" w:sz="2" w:space="0" w:color="999999"/>
            </w:tcBorders>
            <w:shd w:val="clear" w:color="auto" w:fill="FFFFFF"/>
          </w:tcPr>
          <w:p w14:paraId="487CB28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2D957B4"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(Williams 2004) </w:t>
            </w:r>
          </w:p>
        </w:tc>
        <w:tc>
          <w:tcPr>
            <w:tcW w:w="2670" w:type="dxa"/>
            <w:tcBorders>
              <w:left w:val="single" w:sz="2" w:space="0" w:color="999999"/>
              <w:bottom w:val="single" w:sz="2" w:space="0" w:color="auto"/>
              <w:right w:val="single" w:sz="2" w:space="0" w:color="999999"/>
            </w:tcBorders>
            <w:shd w:val="clear" w:color="auto" w:fill="FFFFFF"/>
          </w:tcPr>
          <w:p w14:paraId="170687D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096B2F3"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(Williams 2004).</w:t>
            </w:r>
          </w:p>
        </w:tc>
        <w:tc>
          <w:tcPr>
            <w:tcW w:w="2007" w:type="dxa"/>
            <w:tcBorders>
              <w:left w:val="single" w:sz="2" w:space="0" w:color="999999"/>
              <w:bottom w:val="single" w:sz="2" w:space="0" w:color="auto"/>
              <w:right w:val="single" w:sz="2" w:space="0" w:color="999999"/>
            </w:tcBorders>
            <w:shd w:val="clear" w:color="auto" w:fill="FFFFFF"/>
          </w:tcPr>
          <w:p w14:paraId="605BFEAD"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444609F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DFA1244" w14:textId="77777777" w:rsidR="009D3DC8" w:rsidRDefault="009D3DC8">
            <w:pPr>
              <w:pStyle w:val="TableText1"/>
              <w:keepNext w:val="0"/>
              <w:rPr>
                <w:rFonts w:ascii="Arial" w:hAnsi="Arial" w:cs="Arial"/>
                <w:color w:val="auto"/>
                <w:szCs w:val="16"/>
              </w:rPr>
            </w:pPr>
            <w:r>
              <w:rPr>
                <w:rFonts w:ascii="Arial" w:hAnsi="Arial" w:cs="Arial"/>
                <w:color w:val="auto"/>
                <w:szCs w:val="16"/>
              </w:rPr>
              <w:t>Has a wide host range with hosts across 41 families (Ben-Dov 2011d). Widely distributed in South-east Asia, tropical Africa, mid-eastern Mediterranean and South America (Ben-Dov 2011d) with environments similar to those in Australia.</w:t>
            </w:r>
          </w:p>
        </w:tc>
        <w:tc>
          <w:tcPr>
            <w:tcW w:w="2270" w:type="dxa"/>
            <w:gridSpan w:val="2"/>
            <w:tcBorders>
              <w:left w:val="single" w:sz="2" w:space="0" w:color="999999"/>
              <w:bottom w:val="single" w:sz="2" w:space="0" w:color="auto"/>
              <w:right w:val="single" w:sz="2" w:space="0" w:color="999999"/>
            </w:tcBorders>
            <w:shd w:val="clear" w:color="auto" w:fill="FFFFFF"/>
          </w:tcPr>
          <w:p w14:paraId="0D9B8F0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3C9B3BD"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A pest of citrus (Williams 2004). </w:t>
            </w:r>
          </w:p>
        </w:tc>
        <w:tc>
          <w:tcPr>
            <w:tcW w:w="1163" w:type="dxa"/>
            <w:tcBorders>
              <w:left w:val="single" w:sz="2" w:space="0" w:color="999999"/>
              <w:bottom w:val="single" w:sz="2" w:space="0" w:color="auto"/>
            </w:tcBorders>
            <w:shd w:val="clear" w:color="auto" w:fill="FFFFFF"/>
          </w:tcPr>
          <w:p w14:paraId="0C01311B"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5CA8D73B"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497E3FDF" w14:textId="77777777" w:rsidR="009D3DC8" w:rsidRDefault="009D3DC8">
            <w:pPr>
              <w:pStyle w:val="TableText"/>
              <w:spacing w:line="240" w:lineRule="auto"/>
              <w:rPr>
                <w:rFonts w:cs="Arial"/>
                <w:szCs w:val="16"/>
              </w:rPr>
            </w:pPr>
            <w:r>
              <w:rPr>
                <w:rFonts w:cs="Arial"/>
                <w:i/>
                <w:szCs w:val="16"/>
              </w:rPr>
              <w:t>Pseudococcus longispinus</w:t>
            </w:r>
            <w:r>
              <w:rPr>
                <w:rFonts w:cs="Arial"/>
                <w:szCs w:val="16"/>
              </w:rPr>
              <w:t xml:space="preserve"> (Targiono Tozzetti, 1867)</w:t>
            </w:r>
          </w:p>
          <w:p w14:paraId="0B65369D" w14:textId="77777777" w:rsidR="009D3DC8" w:rsidRDefault="009D3DC8">
            <w:pPr>
              <w:pStyle w:val="TableText"/>
              <w:spacing w:line="240" w:lineRule="auto"/>
              <w:rPr>
                <w:rFonts w:cs="Arial"/>
                <w:szCs w:val="16"/>
              </w:rPr>
            </w:pPr>
            <w:r>
              <w:rPr>
                <w:rFonts w:cs="Arial"/>
                <w:szCs w:val="16"/>
              </w:rPr>
              <w:t>[Hemiptera: Pseudococcidae]</w:t>
            </w:r>
          </w:p>
          <w:p w14:paraId="44ECEE64"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Long tailed mealybug</w:t>
            </w:r>
          </w:p>
        </w:tc>
        <w:tc>
          <w:tcPr>
            <w:tcW w:w="2146" w:type="dxa"/>
            <w:tcBorders>
              <w:left w:val="single" w:sz="2" w:space="0" w:color="999999"/>
              <w:bottom w:val="single" w:sz="2" w:space="0" w:color="auto"/>
              <w:right w:val="single" w:sz="2" w:space="0" w:color="999999"/>
            </w:tcBorders>
            <w:shd w:val="clear" w:color="auto" w:fill="FFFFFF"/>
          </w:tcPr>
          <w:p w14:paraId="5082457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0B10ACE" w14:textId="77777777" w:rsidR="009D3DC8" w:rsidRDefault="009D3DC8">
            <w:pPr>
              <w:pStyle w:val="TableText1"/>
              <w:keepNext w:val="0"/>
              <w:rPr>
                <w:rFonts w:ascii="Arial" w:hAnsi="Arial" w:cs="Arial"/>
                <w:color w:val="auto"/>
                <w:szCs w:val="16"/>
              </w:rPr>
            </w:pPr>
            <w:r>
              <w:rPr>
                <w:rFonts w:ascii="Arial" w:hAnsi="Arial" w:cs="Arial"/>
                <w:color w:val="auto"/>
                <w:szCs w:val="16"/>
              </w:rPr>
              <w:t>(Williams 2004)</w:t>
            </w:r>
          </w:p>
        </w:tc>
        <w:tc>
          <w:tcPr>
            <w:tcW w:w="2670" w:type="dxa"/>
            <w:tcBorders>
              <w:left w:val="single" w:sz="2" w:space="0" w:color="999999"/>
              <w:bottom w:val="single" w:sz="2" w:space="0" w:color="auto"/>
              <w:right w:val="single" w:sz="2" w:space="0" w:color="999999"/>
            </w:tcBorders>
            <w:shd w:val="clear" w:color="auto" w:fill="FFFFFF"/>
          </w:tcPr>
          <w:p w14:paraId="12F8495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A236E64"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(Williams 2004).</w:t>
            </w:r>
          </w:p>
        </w:tc>
        <w:tc>
          <w:tcPr>
            <w:tcW w:w="2007" w:type="dxa"/>
            <w:tcBorders>
              <w:left w:val="single" w:sz="2" w:space="0" w:color="999999"/>
              <w:bottom w:val="single" w:sz="2" w:space="0" w:color="auto"/>
              <w:right w:val="single" w:sz="2" w:space="0" w:color="999999"/>
            </w:tcBorders>
            <w:shd w:val="clear" w:color="auto" w:fill="FFFFFF"/>
          </w:tcPr>
          <w:p w14:paraId="1C4EEAF7"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A98CA25" w14:textId="77777777" w:rsidR="009D3DC8" w:rsidRDefault="009D3DC8">
            <w:pPr>
              <w:pStyle w:val="TableText1"/>
              <w:keepNext w:val="0"/>
              <w:rPr>
                <w:rFonts w:ascii="Arial" w:hAnsi="Arial" w:cs="Arial"/>
                <w:color w:val="auto"/>
                <w:szCs w:val="16"/>
              </w:rPr>
            </w:pPr>
            <w:r>
              <w:rPr>
                <w:rFonts w:ascii="Arial" w:hAnsi="Arial" w:cs="Arial"/>
                <w:color w:val="auto"/>
                <w:szCs w:val="16"/>
              </w:rPr>
              <w:t>All states and territories (Williams 2004; CSIRO 2005; APPD 2011)</w:t>
            </w:r>
          </w:p>
        </w:tc>
        <w:tc>
          <w:tcPr>
            <w:tcW w:w="2537" w:type="dxa"/>
            <w:tcBorders>
              <w:left w:val="single" w:sz="2" w:space="0" w:color="999999"/>
              <w:bottom w:val="single" w:sz="2" w:space="0" w:color="auto"/>
              <w:right w:val="single" w:sz="2" w:space="0" w:color="999999"/>
            </w:tcBorders>
            <w:shd w:val="clear" w:color="auto" w:fill="FFFFFF"/>
          </w:tcPr>
          <w:p w14:paraId="728F9AB2"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0A2E93C8"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63" w:type="dxa"/>
            <w:tcBorders>
              <w:left w:val="single" w:sz="2" w:space="0" w:color="999999"/>
              <w:bottom w:val="single" w:sz="2" w:space="0" w:color="auto"/>
            </w:tcBorders>
            <w:shd w:val="clear" w:color="auto" w:fill="FFFFFF"/>
          </w:tcPr>
          <w:p w14:paraId="37E80F89"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56EAEA46"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455D1D1" w14:textId="77777777" w:rsidR="009D3DC8" w:rsidRDefault="009D3DC8">
            <w:pPr>
              <w:pStyle w:val="TableText"/>
              <w:spacing w:line="240" w:lineRule="auto"/>
              <w:rPr>
                <w:rFonts w:cs="Arial"/>
                <w:szCs w:val="16"/>
              </w:rPr>
            </w:pPr>
            <w:r>
              <w:rPr>
                <w:rFonts w:cs="Arial"/>
                <w:i/>
                <w:szCs w:val="16"/>
              </w:rPr>
              <w:t xml:space="preserve">Pseudococcus viburni </w:t>
            </w:r>
            <w:r>
              <w:rPr>
                <w:rFonts w:cs="Arial"/>
                <w:szCs w:val="16"/>
              </w:rPr>
              <w:t>(Signoret, 1875)</w:t>
            </w:r>
          </w:p>
          <w:p w14:paraId="7B5F2187" w14:textId="77777777" w:rsidR="009D3DC8" w:rsidRDefault="009D3DC8">
            <w:pPr>
              <w:pStyle w:val="TableText"/>
              <w:spacing w:line="240" w:lineRule="auto"/>
              <w:rPr>
                <w:rFonts w:cs="Arial"/>
                <w:szCs w:val="16"/>
              </w:rPr>
            </w:pPr>
            <w:r>
              <w:rPr>
                <w:rFonts w:cs="Arial"/>
                <w:szCs w:val="16"/>
              </w:rPr>
              <w:t>[Hemiptera: Pseudococcidae]</w:t>
            </w:r>
          </w:p>
          <w:p w14:paraId="0B9639BF"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Obscure mealybug</w:t>
            </w:r>
          </w:p>
        </w:tc>
        <w:tc>
          <w:tcPr>
            <w:tcW w:w="2146" w:type="dxa"/>
            <w:tcBorders>
              <w:left w:val="single" w:sz="2" w:space="0" w:color="999999"/>
              <w:bottom w:val="single" w:sz="2" w:space="0" w:color="auto"/>
              <w:right w:val="single" w:sz="2" w:space="0" w:color="999999"/>
            </w:tcBorders>
            <w:shd w:val="clear" w:color="auto" w:fill="FFFFFF"/>
          </w:tcPr>
          <w:p w14:paraId="1D32180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5D15F06"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2011d)</w:t>
            </w:r>
          </w:p>
        </w:tc>
        <w:tc>
          <w:tcPr>
            <w:tcW w:w="2670" w:type="dxa"/>
            <w:tcBorders>
              <w:left w:val="single" w:sz="2" w:space="0" w:color="999999"/>
              <w:bottom w:val="single" w:sz="2" w:space="0" w:color="auto"/>
              <w:right w:val="single" w:sz="2" w:space="0" w:color="999999"/>
            </w:tcBorders>
            <w:shd w:val="clear" w:color="auto" w:fill="FFFFFF"/>
          </w:tcPr>
          <w:p w14:paraId="6C373AC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DD6B6B7" w14:textId="77777777" w:rsidR="009D3DC8" w:rsidRDefault="009D3DC8">
            <w:pPr>
              <w:pStyle w:val="TableText1"/>
              <w:keepNext w:val="0"/>
              <w:rPr>
                <w:rFonts w:ascii="Arial" w:hAnsi="Arial" w:cs="Arial"/>
                <w:color w:val="auto"/>
                <w:szCs w:val="16"/>
              </w:rPr>
            </w:pPr>
            <w:r>
              <w:rPr>
                <w:rFonts w:ascii="Arial" w:hAnsi="Arial" w:cs="Arial"/>
                <w:color w:val="auto"/>
                <w:szCs w:val="16"/>
              </w:rPr>
              <w:t>Has been recorded on mangosteen in Hawaii attacking the fruit (USDA-APHIS 2006).</w:t>
            </w:r>
          </w:p>
        </w:tc>
        <w:tc>
          <w:tcPr>
            <w:tcW w:w="2007" w:type="dxa"/>
            <w:tcBorders>
              <w:left w:val="single" w:sz="2" w:space="0" w:color="999999"/>
              <w:bottom w:val="single" w:sz="2" w:space="0" w:color="auto"/>
              <w:right w:val="single" w:sz="2" w:space="0" w:color="999999"/>
            </w:tcBorders>
            <w:shd w:val="clear" w:color="auto" w:fill="FFFFFF"/>
          </w:tcPr>
          <w:p w14:paraId="512C5CD3"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DF1FC65" w14:textId="77777777" w:rsidR="009D3DC8" w:rsidRDefault="009D3DC8">
            <w:pPr>
              <w:pStyle w:val="TableText1"/>
              <w:keepNext w:val="0"/>
              <w:rPr>
                <w:rFonts w:ascii="Arial" w:hAnsi="Arial" w:cs="Arial"/>
                <w:color w:val="auto"/>
                <w:szCs w:val="16"/>
              </w:rPr>
            </w:pPr>
            <w:r>
              <w:rPr>
                <w:rFonts w:ascii="Arial" w:hAnsi="Arial" w:cs="Arial"/>
                <w:color w:val="auto"/>
                <w:szCs w:val="16"/>
              </w:rPr>
              <w:t>All states and territories (CSIRO 2005; APPD 2011)</w:t>
            </w:r>
          </w:p>
        </w:tc>
        <w:tc>
          <w:tcPr>
            <w:tcW w:w="2537" w:type="dxa"/>
            <w:tcBorders>
              <w:left w:val="single" w:sz="2" w:space="0" w:color="999999"/>
              <w:bottom w:val="single" w:sz="2" w:space="0" w:color="auto"/>
              <w:right w:val="single" w:sz="2" w:space="0" w:color="999999"/>
            </w:tcBorders>
            <w:shd w:val="clear" w:color="auto" w:fill="FFFFFF"/>
          </w:tcPr>
          <w:p w14:paraId="376C7E31"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831ECED"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63" w:type="dxa"/>
            <w:tcBorders>
              <w:left w:val="single" w:sz="2" w:space="0" w:color="999999"/>
              <w:bottom w:val="single" w:sz="2" w:space="0" w:color="auto"/>
            </w:tcBorders>
            <w:shd w:val="clear" w:color="auto" w:fill="FFFFFF"/>
          </w:tcPr>
          <w:p w14:paraId="0E5B12BF"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B239B1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D2A64D0" w14:textId="77777777" w:rsidR="009D3DC8" w:rsidRDefault="009D3DC8">
            <w:pPr>
              <w:pStyle w:val="TableText"/>
              <w:spacing w:line="240" w:lineRule="auto"/>
              <w:rPr>
                <w:rFonts w:cs="Arial"/>
                <w:szCs w:val="16"/>
              </w:rPr>
            </w:pPr>
            <w:r>
              <w:rPr>
                <w:rFonts w:cs="Arial"/>
                <w:i/>
                <w:szCs w:val="16"/>
              </w:rPr>
              <w:lastRenderedPageBreak/>
              <w:t>Pulvinaria psidii</w:t>
            </w:r>
            <w:r>
              <w:rPr>
                <w:rFonts w:cs="Arial"/>
                <w:szCs w:val="16"/>
              </w:rPr>
              <w:t xml:space="preserve"> Maskell, 1893</w:t>
            </w:r>
          </w:p>
          <w:p w14:paraId="2E6A29D3" w14:textId="77777777" w:rsidR="009D3DC8" w:rsidRDefault="009D3DC8">
            <w:pPr>
              <w:pStyle w:val="TableText"/>
              <w:spacing w:line="240" w:lineRule="auto"/>
              <w:rPr>
                <w:rFonts w:cs="Arial"/>
                <w:szCs w:val="16"/>
              </w:rPr>
            </w:pPr>
            <w:r>
              <w:rPr>
                <w:rFonts w:cs="Arial"/>
                <w:szCs w:val="16"/>
              </w:rPr>
              <w:t>[Hemiptera: Coccidae]</w:t>
            </w:r>
          </w:p>
          <w:p w14:paraId="39D34836"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Green shield scale</w:t>
            </w:r>
          </w:p>
        </w:tc>
        <w:tc>
          <w:tcPr>
            <w:tcW w:w="2146" w:type="dxa"/>
            <w:tcBorders>
              <w:left w:val="single" w:sz="2" w:space="0" w:color="999999"/>
              <w:bottom w:val="single" w:sz="2" w:space="0" w:color="auto"/>
              <w:right w:val="single" w:sz="2" w:space="0" w:color="999999"/>
            </w:tcBorders>
            <w:shd w:val="clear" w:color="auto" w:fill="FFFFFF"/>
          </w:tcPr>
          <w:p w14:paraId="7986212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9B381DB"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2011b)</w:t>
            </w:r>
          </w:p>
        </w:tc>
        <w:tc>
          <w:tcPr>
            <w:tcW w:w="2670" w:type="dxa"/>
            <w:tcBorders>
              <w:left w:val="single" w:sz="2" w:space="0" w:color="999999"/>
              <w:bottom w:val="single" w:sz="2" w:space="0" w:color="auto"/>
              <w:right w:val="single" w:sz="2" w:space="0" w:color="999999"/>
            </w:tcBorders>
            <w:shd w:val="clear" w:color="auto" w:fill="FFFFFF"/>
          </w:tcPr>
          <w:p w14:paraId="6689858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4D547A4"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Mainly occurs on leaves and stems of woody hosts (CABI 2011). Sometimes occurs on fruit where the crawlers excrete honeydew causing sooty mould to grow on the fruit (CABI 2011). </w:t>
            </w:r>
          </w:p>
        </w:tc>
        <w:tc>
          <w:tcPr>
            <w:tcW w:w="2007" w:type="dxa"/>
            <w:tcBorders>
              <w:left w:val="single" w:sz="2" w:space="0" w:color="999999"/>
              <w:bottom w:val="single" w:sz="2" w:space="0" w:color="auto"/>
              <w:right w:val="single" w:sz="2" w:space="0" w:color="999999"/>
            </w:tcBorders>
            <w:shd w:val="clear" w:color="auto" w:fill="FFFFFF"/>
          </w:tcPr>
          <w:p w14:paraId="452A3B1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02AADE4" w14:textId="77777777" w:rsidR="009D3DC8" w:rsidRDefault="009D3DC8">
            <w:pPr>
              <w:pStyle w:val="TableText1"/>
              <w:keepNext w:val="0"/>
              <w:rPr>
                <w:rFonts w:ascii="Arial" w:hAnsi="Arial" w:cs="Arial"/>
                <w:color w:val="auto"/>
                <w:szCs w:val="16"/>
              </w:rPr>
            </w:pPr>
            <w:r>
              <w:rPr>
                <w:rFonts w:ascii="Arial" w:hAnsi="Arial" w:cs="Arial"/>
                <w:color w:val="auto"/>
                <w:szCs w:val="16"/>
              </w:rPr>
              <w:t>NSW, NT, Qld (APPD 2011)</w:t>
            </w:r>
          </w:p>
        </w:tc>
        <w:tc>
          <w:tcPr>
            <w:tcW w:w="2537" w:type="dxa"/>
            <w:tcBorders>
              <w:left w:val="single" w:sz="2" w:space="0" w:color="999999"/>
              <w:bottom w:val="single" w:sz="2" w:space="0" w:color="auto"/>
              <w:right w:val="single" w:sz="2" w:space="0" w:color="999999"/>
            </w:tcBorders>
            <w:shd w:val="clear" w:color="auto" w:fill="FFFFFF"/>
          </w:tcPr>
          <w:p w14:paraId="005DBBF4"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270034FE"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63" w:type="dxa"/>
            <w:tcBorders>
              <w:left w:val="single" w:sz="2" w:space="0" w:color="999999"/>
              <w:bottom w:val="single" w:sz="2" w:space="0" w:color="auto"/>
            </w:tcBorders>
            <w:shd w:val="clear" w:color="auto" w:fill="FFFFFF"/>
          </w:tcPr>
          <w:p w14:paraId="4DFDC2B6"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3D5A7D21"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4002ABB5" w14:textId="77777777" w:rsidR="009D3DC8" w:rsidRDefault="009D3DC8">
            <w:pPr>
              <w:pStyle w:val="TableText"/>
              <w:spacing w:line="240" w:lineRule="auto"/>
              <w:rPr>
                <w:rFonts w:cs="Arial"/>
                <w:szCs w:val="16"/>
              </w:rPr>
            </w:pPr>
            <w:r>
              <w:rPr>
                <w:rFonts w:cs="Arial"/>
                <w:i/>
                <w:szCs w:val="16"/>
              </w:rPr>
              <w:t>Rastrococcus spinosus</w:t>
            </w:r>
            <w:r>
              <w:rPr>
                <w:rFonts w:cs="Arial"/>
                <w:szCs w:val="16"/>
              </w:rPr>
              <w:t xml:space="preserve"> (Robinson, 1918)</w:t>
            </w:r>
          </w:p>
          <w:p w14:paraId="4182287A" w14:textId="77777777" w:rsidR="009D3DC8" w:rsidRDefault="009D3DC8">
            <w:pPr>
              <w:pStyle w:val="TableText"/>
              <w:spacing w:line="240" w:lineRule="auto"/>
              <w:rPr>
                <w:rFonts w:cs="Arial"/>
                <w:szCs w:val="16"/>
              </w:rPr>
            </w:pPr>
            <w:r>
              <w:rPr>
                <w:rFonts w:cs="Arial"/>
                <w:szCs w:val="16"/>
              </w:rPr>
              <w:t>[Hemiptera: Pseudococcidae]</w:t>
            </w:r>
          </w:p>
          <w:p w14:paraId="3957B57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Philippine mango mealybug; mango mealybug</w:t>
            </w:r>
          </w:p>
        </w:tc>
        <w:tc>
          <w:tcPr>
            <w:tcW w:w="2146" w:type="dxa"/>
            <w:tcBorders>
              <w:left w:val="single" w:sz="2" w:space="0" w:color="999999"/>
              <w:bottom w:val="single" w:sz="2" w:space="0" w:color="auto"/>
              <w:right w:val="single" w:sz="2" w:space="0" w:color="999999"/>
            </w:tcBorders>
            <w:shd w:val="clear" w:color="auto" w:fill="FFFFFF"/>
          </w:tcPr>
          <w:p w14:paraId="74D9C50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168E18E"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(Williams 2004) </w:t>
            </w:r>
          </w:p>
        </w:tc>
        <w:tc>
          <w:tcPr>
            <w:tcW w:w="2670" w:type="dxa"/>
            <w:tcBorders>
              <w:left w:val="single" w:sz="2" w:space="0" w:color="999999"/>
              <w:bottom w:val="single" w:sz="2" w:space="0" w:color="auto"/>
              <w:right w:val="single" w:sz="2" w:space="0" w:color="999999"/>
            </w:tcBorders>
            <w:shd w:val="clear" w:color="auto" w:fill="FFFFFF"/>
          </w:tcPr>
          <w:p w14:paraId="0FA1E50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0DBC1E3" w14:textId="77777777" w:rsidR="009D3DC8" w:rsidRDefault="009D3DC8">
            <w:pPr>
              <w:pStyle w:val="TableText1"/>
              <w:keepNext w:val="0"/>
              <w:rPr>
                <w:rFonts w:ascii="Arial" w:hAnsi="Arial" w:cs="Arial"/>
                <w:color w:val="auto"/>
                <w:szCs w:val="16"/>
              </w:rPr>
            </w:pPr>
            <w:r>
              <w:rPr>
                <w:rFonts w:ascii="Arial" w:hAnsi="Arial" w:cs="Arial"/>
                <w:color w:val="auto"/>
                <w:szCs w:val="16"/>
              </w:rPr>
              <w:t>Has been intercepted in the US on mangosteen (Williams 2004).</w:t>
            </w:r>
          </w:p>
        </w:tc>
        <w:tc>
          <w:tcPr>
            <w:tcW w:w="2007" w:type="dxa"/>
            <w:tcBorders>
              <w:left w:val="single" w:sz="2" w:space="0" w:color="999999"/>
              <w:bottom w:val="single" w:sz="2" w:space="0" w:color="auto"/>
              <w:right w:val="single" w:sz="2" w:space="0" w:color="999999"/>
            </w:tcBorders>
            <w:shd w:val="clear" w:color="auto" w:fill="FFFFFF"/>
          </w:tcPr>
          <w:p w14:paraId="19AA0FD6"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2C2E4D93"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762C929" w14:textId="77777777" w:rsidR="009D3DC8" w:rsidRDefault="009D3DC8">
            <w:pPr>
              <w:pStyle w:val="TableText1"/>
              <w:keepNext w:val="0"/>
              <w:rPr>
                <w:rFonts w:ascii="Arial" w:hAnsi="Arial" w:cs="Arial"/>
                <w:color w:val="auto"/>
                <w:szCs w:val="16"/>
              </w:rPr>
            </w:pPr>
            <w:r>
              <w:rPr>
                <w:rFonts w:ascii="Arial" w:hAnsi="Arial" w:cs="Arial"/>
                <w:color w:val="auto"/>
                <w:szCs w:val="16"/>
              </w:rPr>
              <w:t>Has several hosts including mango, citrus, coffee and cashew (Maynard</w:t>
            </w:r>
            <w:r>
              <w:rPr>
                <w:rFonts w:ascii="Arial" w:hAnsi="Arial" w:cs="Arial"/>
                <w:i/>
                <w:color w:val="auto"/>
                <w:szCs w:val="16"/>
              </w:rPr>
              <w:t xml:space="preserve"> et al.</w:t>
            </w:r>
            <w:r>
              <w:rPr>
                <w:rFonts w:ascii="Arial" w:hAnsi="Arial" w:cs="Arial"/>
                <w:color w:val="auto"/>
                <w:szCs w:val="16"/>
              </w:rPr>
              <w:t xml:space="preserve"> 2004). These hosts are grown across Australia.</w:t>
            </w:r>
          </w:p>
        </w:tc>
        <w:tc>
          <w:tcPr>
            <w:tcW w:w="2270" w:type="dxa"/>
            <w:gridSpan w:val="2"/>
            <w:tcBorders>
              <w:left w:val="single" w:sz="2" w:space="0" w:color="999999"/>
              <w:bottom w:val="single" w:sz="2" w:space="0" w:color="auto"/>
              <w:right w:val="single" w:sz="2" w:space="0" w:color="999999"/>
            </w:tcBorders>
            <w:shd w:val="clear" w:color="auto" w:fill="FFFFFF"/>
          </w:tcPr>
          <w:p w14:paraId="73CBEBA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11D5E7B" w14:textId="77777777" w:rsidR="009D3DC8" w:rsidRDefault="009D3DC8">
            <w:pPr>
              <w:pStyle w:val="TableText1"/>
              <w:keepNext w:val="0"/>
              <w:rPr>
                <w:rFonts w:ascii="Arial" w:hAnsi="Arial" w:cs="Arial"/>
                <w:color w:val="auto"/>
                <w:szCs w:val="16"/>
              </w:rPr>
            </w:pPr>
            <w:r>
              <w:rPr>
                <w:rFonts w:ascii="Arial" w:hAnsi="Arial" w:cs="Arial"/>
                <w:color w:val="auto"/>
                <w:szCs w:val="16"/>
              </w:rPr>
              <w:t>A pest of economic significance on mango and citrus in West Africa (Williams 2004), and on mango in Pakistan (Mahmood</w:t>
            </w:r>
            <w:r>
              <w:rPr>
                <w:rFonts w:ascii="Arial" w:hAnsi="Arial" w:cs="Arial"/>
                <w:i/>
                <w:color w:val="auto"/>
                <w:szCs w:val="16"/>
              </w:rPr>
              <w:t xml:space="preserve"> et al.</w:t>
            </w:r>
            <w:r>
              <w:rPr>
                <w:rFonts w:ascii="Arial" w:hAnsi="Arial" w:cs="Arial"/>
                <w:color w:val="auto"/>
                <w:szCs w:val="16"/>
              </w:rPr>
              <w:t xml:space="preserve"> 1983).</w:t>
            </w:r>
          </w:p>
        </w:tc>
        <w:tc>
          <w:tcPr>
            <w:tcW w:w="1163" w:type="dxa"/>
            <w:tcBorders>
              <w:left w:val="single" w:sz="2" w:space="0" w:color="999999"/>
              <w:bottom w:val="single" w:sz="2" w:space="0" w:color="auto"/>
            </w:tcBorders>
            <w:shd w:val="clear" w:color="auto" w:fill="FFFFFF"/>
          </w:tcPr>
          <w:p w14:paraId="0EBE80A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1DAEFC2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37F3B7F" w14:textId="77777777" w:rsidR="009D3DC8" w:rsidRDefault="009D3DC8">
            <w:pPr>
              <w:pStyle w:val="TableText"/>
              <w:spacing w:line="240" w:lineRule="auto"/>
              <w:rPr>
                <w:rFonts w:cs="Arial"/>
                <w:szCs w:val="16"/>
              </w:rPr>
            </w:pPr>
            <w:r>
              <w:rPr>
                <w:rFonts w:cs="Arial"/>
                <w:i/>
                <w:szCs w:val="16"/>
              </w:rPr>
              <w:t xml:space="preserve">Saissetia coffeae </w:t>
            </w:r>
            <w:r>
              <w:rPr>
                <w:rFonts w:cs="Arial"/>
                <w:szCs w:val="16"/>
              </w:rPr>
              <w:t>(Walker, 1852)</w:t>
            </w:r>
          </w:p>
          <w:p w14:paraId="531A4F2D" w14:textId="77777777" w:rsidR="009D3DC8" w:rsidRDefault="009D3DC8">
            <w:pPr>
              <w:pStyle w:val="TableText"/>
              <w:spacing w:line="240" w:lineRule="auto"/>
              <w:rPr>
                <w:rFonts w:cs="Arial"/>
                <w:szCs w:val="16"/>
              </w:rPr>
            </w:pPr>
            <w:r>
              <w:rPr>
                <w:rFonts w:cs="Arial"/>
                <w:szCs w:val="16"/>
              </w:rPr>
              <w:t>[Hemiptera: Coccidae]</w:t>
            </w:r>
          </w:p>
          <w:p w14:paraId="335C5B9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Brown scale</w:t>
            </w:r>
          </w:p>
        </w:tc>
        <w:tc>
          <w:tcPr>
            <w:tcW w:w="2146" w:type="dxa"/>
            <w:tcBorders>
              <w:left w:val="single" w:sz="2" w:space="0" w:color="999999"/>
              <w:bottom w:val="single" w:sz="2" w:space="0" w:color="auto"/>
              <w:right w:val="single" w:sz="2" w:space="0" w:color="999999"/>
            </w:tcBorders>
            <w:shd w:val="clear" w:color="auto" w:fill="FFFFFF"/>
          </w:tcPr>
          <w:p w14:paraId="7932C5C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BDA9B9E" w14:textId="77777777" w:rsidR="009D3DC8" w:rsidRDefault="009D3DC8">
            <w:pPr>
              <w:pStyle w:val="TableText1"/>
              <w:keepNext w:val="0"/>
              <w:rPr>
                <w:rFonts w:ascii="Arial" w:hAnsi="Arial" w:cs="Arial"/>
                <w:color w:val="auto"/>
                <w:szCs w:val="16"/>
              </w:rPr>
            </w:pPr>
            <w:r>
              <w:rPr>
                <w:rFonts w:ascii="Arial" w:hAnsi="Arial" w:cs="Arial"/>
                <w:color w:val="auto"/>
                <w:szCs w:val="16"/>
              </w:rPr>
              <w:t>(Ben-Dov 2011b)</w:t>
            </w:r>
          </w:p>
        </w:tc>
        <w:tc>
          <w:tcPr>
            <w:tcW w:w="2670" w:type="dxa"/>
            <w:tcBorders>
              <w:left w:val="single" w:sz="2" w:space="0" w:color="999999"/>
              <w:bottom w:val="single" w:sz="2" w:space="0" w:color="auto"/>
              <w:right w:val="single" w:sz="2" w:space="0" w:color="999999"/>
            </w:tcBorders>
            <w:shd w:val="clear" w:color="auto" w:fill="FFFFFF"/>
          </w:tcPr>
          <w:p w14:paraId="7C90CFF1"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A863EB2" w14:textId="77777777" w:rsidR="009D3DC8" w:rsidRDefault="009D3DC8">
            <w:pPr>
              <w:pStyle w:val="TableText1"/>
              <w:keepNext w:val="0"/>
              <w:rPr>
                <w:rFonts w:ascii="Arial" w:hAnsi="Arial" w:cs="Arial"/>
                <w:color w:val="auto"/>
                <w:szCs w:val="16"/>
              </w:rPr>
            </w:pPr>
            <w:r>
              <w:rPr>
                <w:rFonts w:ascii="Arial" w:hAnsi="Arial" w:cs="Arial"/>
                <w:color w:val="auto"/>
                <w:szCs w:val="16"/>
              </w:rPr>
              <w:t>May affect fruit of host plants (Martin Kessing</w:t>
            </w:r>
            <w:r>
              <w:rPr>
                <w:rFonts w:ascii="Arial" w:hAnsi="Arial" w:cs="Arial"/>
                <w:i/>
                <w:color w:val="auto"/>
                <w:szCs w:val="16"/>
              </w:rPr>
              <w:t xml:space="preserve"> et al.</w:t>
            </w:r>
            <w:r>
              <w:rPr>
                <w:rFonts w:ascii="Arial" w:hAnsi="Arial" w:cs="Arial"/>
                <w:color w:val="auto"/>
                <w:szCs w:val="16"/>
              </w:rPr>
              <w:t xml:space="preserve"> 2007). </w:t>
            </w:r>
            <w:r>
              <w:rPr>
                <w:rFonts w:ascii="Arial" w:hAnsi="Arial" w:cs="Arial"/>
                <w:i/>
                <w:color w:val="auto"/>
                <w:szCs w:val="16"/>
              </w:rPr>
              <w:t>Garcinia</w:t>
            </w:r>
            <w:r>
              <w:rPr>
                <w:rFonts w:ascii="Arial" w:hAnsi="Arial" w:cs="Arial"/>
                <w:color w:val="auto"/>
                <w:szCs w:val="16"/>
              </w:rPr>
              <w:t xml:space="preserve"> sp. reported as a host (Ben-Dov 2011b).</w:t>
            </w:r>
          </w:p>
        </w:tc>
        <w:tc>
          <w:tcPr>
            <w:tcW w:w="2007" w:type="dxa"/>
            <w:tcBorders>
              <w:left w:val="single" w:sz="2" w:space="0" w:color="999999"/>
              <w:bottom w:val="single" w:sz="2" w:space="0" w:color="auto"/>
              <w:right w:val="single" w:sz="2" w:space="0" w:color="999999"/>
            </w:tcBorders>
            <w:shd w:val="clear" w:color="auto" w:fill="FFFFFF"/>
          </w:tcPr>
          <w:p w14:paraId="6B200D1A"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7A38180" w14:textId="77777777" w:rsidR="009D3DC8" w:rsidRDefault="009D3DC8">
            <w:pPr>
              <w:pStyle w:val="TableText1"/>
              <w:keepNext w:val="0"/>
              <w:rPr>
                <w:rFonts w:ascii="Arial" w:hAnsi="Arial" w:cs="Arial"/>
                <w:color w:val="auto"/>
                <w:szCs w:val="16"/>
              </w:rPr>
            </w:pPr>
            <w:r>
              <w:rPr>
                <w:rFonts w:ascii="Arial" w:hAnsi="Arial" w:cs="Arial"/>
                <w:color w:val="auto"/>
                <w:szCs w:val="16"/>
              </w:rPr>
              <w:t>All states and territories (CSIRO 2005; APPD 2011)</w:t>
            </w:r>
          </w:p>
        </w:tc>
        <w:tc>
          <w:tcPr>
            <w:tcW w:w="2537" w:type="dxa"/>
            <w:tcBorders>
              <w:left w:val="single" w:sz="2" w:space="0" w:color="999999"/>
              <w:bottom w:val="single" w:sz="2" w:space="0" w:color="auto"/>
              <w:right w:val="single" w:sz="2" w:space="0" w:color="999999"/>
            </w:tcBorders>
            <w:shd w:val="clear" w:color="auto" w:fill="FFFFFF"/>
          </w:tcPr>
          <w:p w14:paraId="66ABEA6F"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C4D837B"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63" w:type="dxa"/>
            <w:tcBorders>
              <w:left w:val="single" w:sz="2" w:space="0" w:color="999999"/>
              <w:bottom w:val="single" w:sz="2" w:space="0" w:color="auto"/>
            </w:tcBorders>
            <w:shd w:val="clear" w:color="auto" w:fill="FFFFFF"/>
          </w:tcPr>
          <w:p w14:paraId="74B9F9BF"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6C440BDE"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D0CA0C3" w14:textId="77777777" w:rsidR="009D3DC8" w:rsidRDefault="009D3DC8">
            <w:pPr>
              <w:pStyle w:val="TableText"/>
              <w:spacing w:line="240" w:lineRule="auto"/>
              <w:rPr>
                <w:rFonts w:cs="Arial"/>
                <w:szCs w:val="16"/>
              </w:rPr>
            </w:pPr>
            <w:r>
              <w:rPr>
                <w:rFonts w:cs="Arial"/>
                <w:i/>
                <w:szCs w:val="16"/>
              </w:rPr>
              <w:t>Toxoptera aurantii</w:t>
            </w:r>
            <w:r>
              <w:rPr>
                <w:rFonts w:cs="Arial"/>
                <w:szCs w:val="16"/>
              </w:rPr>
              <w:t xml:space="preserve"> (Boyer de Fonscolombe, 1841)</w:t>
            </w:r>
          </w:p>
          <w:p w14:paraId="488039F2" w14:textId="77777777" w:rsidR="009D3DC8" w:rsidRDefault="009D3DC8">
            <w:pPr>
              <w:pStyle w:val="TableText"/>
              <w:spacing w:line="240" w:lineRule="auto"/>
              <w:rPr>
                <w:rFonts w:cs="Arial"/>
                <w:szCs w:val="16"/>
              </w:rPr>
            </w:pPr>
            <w:r>
              <w:rPr>
                <w:rFonts w:cs="Arial"/>
                <w:szCs w:val="16"/>
              </w:rPr>
              <w:t>[Hemiptera: Aphididae]</w:t>
            </w:r>
          </w:p>
          <w:p w14:paraId="7A3BE256"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Black citrus aphid</w:t>
            </w:r>
          </w:p>
        </w:tc>
        <w:tc>
          <w:tcPr>
            <w:tcW w:w="2146" w:type="dxa"/>
            <w:tcBorders>
              <w:left w:val="single" w:sz="2" w:space="0" w:color="999999"/>
              <w:bottom w:val="single" w:sz="2" w:space="0" w:color="auto"/>
              <w:right w:val="single" w:sz="2" w:space="0" w:color="999999"/>
            </w:tcBorders>
            <w:shd w:val="clear" w:color="auto" w:fill="FFFFFF"/>
          </w:tcPr>
          <w:p w14:paraId="6666ECE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59A8CD2"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(Bigger 2009) </w:t>
            </w:r>
          </w:p>
        </w:tc>
        <w:tc>
          <w:tcPr>
            <w:tcW w:w="2670" w:type="dxa"/>
            <w:tcBorders>
              <w:left w:val="single" w:sz="2" w:space="0" w:color="999999"/>
              <w:bottom w:val="single" w:sz="2" w:space="0" w:color="auto"/>
              <w:right w:val="single" w:sz="2" w:space="0" w:color="999999"/>
            </w:tcBorders>
            <w:shd w:val="clear" w:color="auto" w:fill="FFFFFF"/>
          </w:tcPr>
          <w:p w14:paraId="65190B49"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0CD2D5CD" w14:textId="77777777" w:rsidR="009D3DC8" w:rsidRDefault="009D3DC8">
            <w:pPr>
              <w:pStyle w:val="TableText1"/>
              <w:keepNext w:val="0"/>
              <w:rPr>
                <w:rFonts w:ascii="Arial" w:hAnsi="Arial" w:cs="Arial"/>
                <w:color w:val="auto"/>
                <w:szCs w:val="16"/>
              </w:rPr>
            </w:pPr>
            <w:r>
              <w:rPr>
                <w:rFonts w:ascii="Arial" w:hAnsi="Arial" w:cs="Arial"/>
                <w:color w:val="auto"/>
                <w:szCs w:val="16"/>
              </w:rPr>
              <w:t>Associated with the leaves (Yunus and Ho 1980) and commonly found on young shoots and petioles of host plants (Kalshoven 1981).</w:t>
            </w:r>
          </w:p>
        </w:tc>
        <w:tc>
          <w:tcPr>
            <w:tcW w:w="2007" w:type="dxa"/>
            <w:tcBorders>
              <w:left w:val="single" w:sz="2" w:space="0" w:color="999999"/>
              <w:bottom w:val="single" w:sz="2" w:space="0" w:color="auto"/>
              <w:right w:val="single" w:sz="2" w:space="0" w:color="999999"/>
            </w:tcBorders>
            <w:shd w:val="clear" w:color="auto" w:fill="FFFFFF"/>
          </w:tcPr>
          <w:p w14:paraId="0F60CAA1"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F4A3BF6" w14:textId="77777777" w:rsidR="009D3DC8" w:rsidRDefault="009D3DC8">
            <w:pPr>
              <w:pStyle w:val="TableText1"/>
              <w:keepNext w:val="0"/>
              <w:rPr>
                <w:rFonts w:ascii="Arial" w:hAnsi="Arial" w:cs="Arial"/>
                <w:color w:val="auto"/>
                <w:szCs w:val="16"/>
              </w:rPr>
            </w:pPr>
            <w:r>
              <w:rPr>
                <w:rFonts w:ascii="Arial" w:hAnsi="Arial" w:cs="Arial"/>
                <w:color w:val="auto"/>
                <w:szCs w:val="16"/>
              </w:rPr>
              <w:t>Qld, NSW, Vic., Tas., WA (CSIRO 2005; Poole 2010)</w:t>
            </w:r>
          </w:p>
        </w:tc>
        <w:tc>
          <w:tcPr>
            <w:tcW w:w="2537" w:type="dxa"/>
            <w:tcBorders>
              <w:left w:val="single" w:sz="2" w:space="0" w:color="999999"/>
              <w:bottom w:val="single" w:sz="2" w:space="0" w:color="auto"/>
              <w:right w:val="single" w:sz="2" w:space="0" w:color="999999"/>
            </w:tcBorders>
            <w:shd w:val="clear" w:color="auto" w:fill="FFFFFF"/>
          </w:tcPr>
          <w:p w14:paraId="2DEB0C0F"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2D3A5E10"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63" w:type="dxa"/>
            <w:tcBorders>
              <w:left w:val="single" w:sz="2" w:space="0" w:color="999999"/>
              <w:bottom w:val="single" w:sz="2" w:space="0" w:color="auto"/>
            </w:tcBorders>
            <w:shd w:val="clear" w:color="auto" w:fill="FFFFFF"/>
          </w:tcPr>
          <w:p w14:paraId="333751A6"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0B1E6C1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9883731" w14:textId="77777777" w:rsidR="009D3DC8" w:rsidRDefault="009D3DC8">
            <w:pPr>
              <w:pStyle w:val="TableText"/>
              <w:spacing w:line="240" w:lineRule="auto"/>
              <w:rPr>
                <w:rFonts w:cs="Arial"/>
                <w:szCs w:val="16"/>
              </w:rPr>
            </w:pPr>
            <w:r>
              <w:rPr>
                <w:rFonts w:cs="Arial"/>
                <w:i/>
                <w:szCs w:val="16"/>
              </w:rPr>
              <w:t>Vinsonia stellifera</w:t>
            </w:r>
            <w:r>
              <w:rPr>
                <w:rFonts w:cs="Arial"/>
                <w:szCs w:val="16"/>
              </w:rPr>
              <w:t xml:space="preserve"> (Westwood, 1871)</w:t>
            </w:r>
          </w:p>
          <w:p w14:paraId="49BA09DF" w14:textId="77777777" w:rsidR="009D3DC8" w:rsidRDefault="009D3DC8">
            <w:pPr>
              <w:pStyle w:val="TableText"/>
              <w:spacing w:line="240" w:lineRule="auto"/>
              <w:rPr>
                <w:rFonts w:cs="Arial"/>
                <w:szCs w:val="16"/>
              </w:rPr>
            </w:pPr>
            <w:r>
              <w:rPr>
                <w:rFonts w:cs="Arial"/>
                <w:szCs w:val="16"/>
              </w:rPr>
              <w:t>[Hemiptera: Coccidae]</w:t>
            </w:r>
          </w:p>
          <w:p w14:paraId="01199D43"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Stellate scale</w:t>
            </w:r>
          </w:p>
        </w:tc>
        <w:tc>
          <w:tcPr>
            <w:tcW w:w="2146" w:type="dxa"/>
            <w:tcBorders>
              <w:left w:val="single" w:sz="2" w:space="0" w:color="999999"/>
              <w:bottom w:val="single" w:sz="2" w:space="0" w:color="auto"/>
              <w:right w:val="single" w:sz="2" w:space="0" w:color="999999"/>
            </w:tcBorders>
            <w:shd w:val="clear" w:color="auto" w:fill="FFFFFF"/>
          </w:tcPr>
          <w:p w14:paraId="4EB2C05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A8ADCB9" w14:textId="77777777" w:rsidR="009D3DC8" w:rsidRDefault="009D3DC8">
            <w:pPr>
              <w:pStyle w:val="TableText1"/>
              <w:keepNext w:val="0"/>
              <w:rPr>
                <w:rFonts w:ascii="Arial" w:hAnsi="Arial" w:cs="Arial"/>
                <w:color w:val="auto"/>
                <w:szCs w:val="16"/>
              </w:rPr>
            </w:pPr>
            <w:r>
              <w:rPr>
                <w:rFonts w:ascii="Arial" w:hAnsi="Arial" w:cs="Arial"/>
                <w:color w:val="auto"/>
                <w:szCs w:val="16"/>
              </w:rPr>
              <w:t>(Kalshoven 1981)</w:t>
            </w:r>
          </w:p>
        </w:tc>
        <w:tc>
          <w:tcPr>
            <w:tcW w:w="2670" w:type="dxa"/>
            <w:tcBorders>
              <w:left w:val="single" w:sz="2" w:space="0" w:color="999999"/>
              <w:bottom w:val="single" w:sz="2" w:space="0" w:color="auto"/>
              <w:right w:val="single" w:sz="2" w:space="0" w:color="999999"/>
            </w:tcBorders>
            <w:shd w:val="clear" w:color="auto" w:fill="FFFFFF"/>
          </w:tcPr>
          <w:p w14:paraId="7C426CD6"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1B564076"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Associated with the leaves of host plants, including mangosteen (Kalshoven 1981). </w:t>
            </w:r>
          </w:p>
        </w:tc>
        <w:tc>
          <w:tcPr>
            <w:tcW w:w="2007" w:type="dxa"/>
            <w:tcBorders>
              <w:left w:val="single" w:sz="2" w:space="0" w:color="999999"/>
              <w:bottom w:val="single" w:sz="2" w:space="0" w:color="auto"/>
              <w:right w:val="single" w:sz="2" w:space="0" w:color="999999"/>
            </w:tcBorders>
            <w:shd w:val="clear" w:color="auto" w:fill="FFFFFF"/>
          </w:tcPr>
          <w:p w14:paraId="56F3A5F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C31D56E" w14:textId="77777777" w:rsidR="009D3DC8" w:rsidRDefault="009D3DC8">
            <w:pPr>
              <w:pStyle w:val="TableText1"/>
              <w:keepNext w:val="0"/>
              <w:rPr>
                <w:rFonts w:ascii="Arial" w:hAnsi="Arial" w:cs="Arial"/>
                <w:color w:val="auto"/>
                <w:szCs w:val="16"/>
              </w:rPr>
            </w:pPr>
            <w:r>
              <w:rPr>
                <w:rFonts w:ascii="Arial" w:hAnsi="Arial" w:cs="Arial"/>
                <w:color w:val="auto"/>
                <w:szCs w:val="16"/>
              </w:rPr>
              <w:t>NT (APPD 2011)</w:t>
            </w:r>
          </w:p>
        </w:tc>
        <w:tc>
          <w:tcPr>
            <w:tcW w:w="2537" w:type="dxa"/>
            <w:tcBorders>
              <w:left w:val="single" w:sz="2" w:space="0" w:color="999999"/>
              <w:bottom w:val="single" w:sz="2" w:space="0" w:color="auto"/>
              <w:right w:val="single" w:sz="2" w:space="0" w:color="999999"/>
            </w:tcBorders>
            <w:shd w:val="clear" w:color="auto" w:fill="FFFFFF"/>
          </w:tcPr>
          <w:p w14:paraId="7ED5D6B7"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C9B310D"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63" w:type="dxa"/>
            <w:tcBorders>
              <w:left w:val="single" w:sz="2" w:space="0" w:color="999999"/>
              <w:bottom w:val="single" w:sz="2" w:space="0" w:color="auto"/>
            </w:tcBorders>
            <w:shd w:val="clear" w:color="auto" w:fill="FFFFFF"/>
          </w:tcPr>
          <w:p w14:paraId="18B5A242"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703C7CD2" w14:textId="77777777">
        <w:trPr>
          <w:cantSplit/>
          <w:trHeight w:val="75"/>
          <w:jc w:val="center"/>
        </w:trPr>
        <w:tc>
          <w:tcPr>
            <w:tcW w:w="15840" w:type="dxa"/>
            <w:gridSpan w:val="9"/>
            <w:tcBorders>
              <w:bottom w:val="single" w:sz="2" w:space="0" w:color="auto"/>
            </w:tcBorders>
            <w:shd w:val="clear" w:color="auto" w:fill="E6E6E6"/>
          </w:tcPr>
          <w:p w14:paraId="29244A20" w14:textId="77777777" w:rsidR="009D3DC8" w:rsidRDefault="009D3DC8">
            <w:pPr>
              <w:pStyle w:val="TableText1"/>
              <w:rPr>
                <w:rFonts w:ascii="Arial" w:hAnsi="Arial" w:cs="Arial"/>
                <w:color w:val="auto"/>
                <w:szCs w:val="16"/>
              </w:rPr>
            </w:pPr>
            <w:r>
              <w:rPr>
                <w:rFonts w:ascii="Arial" w:hAnsi="Arial" w:cs="Arial"/>
                <w:b/>
                <w:color w:val="auto"/>
                <w:szCs w:val="16"/>
              </w:rPr>
              <w:lastRenderedPageBreak/>
              <w:t>Order Hymenoptera</w:t>
            </w:r>
          </w:p>
        </w:tc>
      </w:tr>
      <w:tr w:rsidR="009D3DC8" w14:paraId="4E2D0BAC"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B8D8444" w14:textId="77777777" w:rsidR="009D3DC8" w:rsidRDefault="009D3DC8">
            <w:pPr>
              <w:pStyle w:val="TableText"/>
              <w:spacing w:line="240" w:lineRule="auto"/>
              <w:rPr>
                <w:rFonts w:cs="Arial"/>
                <w:szCs w:val="16"/>
              </w:rPr>
            </w:pPr>
            <w:r>
              <w:rPr>
                <w:rFonts w:cs="Arial"/>
                <w:i/>
                <w:szCs w:val="16"/>
              </w:rPr>
              <w:t xml:space="preserve">Camponotus </w:t>
            </w:r>
            <w:r>
              <w:rPr>
                <w:rFonts w:cs="Arial"/>
                <w:szCs w:val="16"/>
              </w:rPr>
              <w:t>sp.</w:t>
            </w:r>
          </w:p>
          <w:p w14:paraId="5F1807D5"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37F15C2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1685174" w14:textId="77777777" w:rsidR="009D3DC8" w:rsidRDefault="009D3DC8">
            <w:pPr>
              <w:spacing w:before="60" w:after="60" w:line="240" w:lineRule="auto"/>
              <w:rPr>
                <w:rFonts w:ascii="Arial" w:hAnsi="Arial" w:cs="Arial"/>
                <w:sz w:val="16"/>
                <w:szCs w:val="16"/>
              </w:rPr>
            </w:pPr>
            <w:r>
              <w:rPr>
                <w:rFonts w:ascii="Arial" w:hAnsi="Arial" w:cs="Arial"/>
                <w:sz w:val="16"/>
                <w:szCs w:val="16"/>
              </w:rPr>
              <w:t>(Ito</w:t>
            </w:r>
            <w:r>
              <w:rPr>
                <w:rFonts w:ascii="Arial" w:hAnsi="Arial" w:cs="Arial"/>
                <w:i/>
                <w:sz w:val="16"/>
                <w:szCs w:val="16"/>
              </w:rPr>
              <w:t xml:space="preserve"> et al.</w:t>
            </w:r>
            <w:r>
              <w:rPr>
                <w:rFonts w:ascii="Arial" w:hAnsi="Arial" w:cs="Arial"/>
                <w:sz w:val="16"/>
                <w:szCs w:val="16"/>
              </w:rPr>
              <w:t xml:space="preserve"> 2001; 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5A09A57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F1D5CEF" w14:textId="77777777" w:rsidR="009D3DC8" w:rsidRDefault="009D3DC8">
            <w:pPr>
              <w:pStyle w:val="TableText1"/>
              <w:keepNext w:val="0"/>
              <w:rPr>
                <w:rFonts w:ascii="Arial" w:hAnsi="Arial" w:cs="Arial"/>
                <w:color w:val="auto"/>
                <w:szCs w:val="16"/>
              </w:rPr>
            </w:pPr>
            <w:r>
              <w:rPr>
                <w:rFonts w:ascii="Arial" w:hAnsi="Arial" w:cs="Arial"/>
                <w:i/>
                <w:color w:val="auto"/>
                <w:szCs w:val="16"/>
              </w:rPr>
              <w:t>Camponotus</w:t>
            </w:r>
            <w:r>
              <w:rPr>
                <w:rFonts w:ascii="Arial" w:hAnsi="Arial" w:cs="Arial"/>
                <w:color w:val="auto"/>
                <w:szCs w:val="16"/>
              </w:rPr>
              <w:t xml:space="preserve"> 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64831816"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Camponotus</w:t>
            </w:r>
            <w:r>
              <w:rPr>
                <w:rFonts w:ascii="Arial" w:hAnsi="Arial" w:cs="Arial"/>
                <w:color w:val="auto"/>
                <w:szCs w:val="16"/>
              </w:rPr>
              <w:t xml:space="preserve"> is present in Australia, some individual species may not be present in Australia (CSIRO 2005).</w:t>
            </w:r>
          </w:p>
        </w:tc>
        <w:tc>
          <w:tcPr>
            <w:tcW w:w="2537" w:type="dxa"/>
            <w:vMerge w:val="restart"/>
            <w:tcBorders>
              <w:left w:val="single" w:sz="2" w:space="0" w:color="999999"/>
              <w:right w:val="single" w:sz="2" w:space="0" w:color="999999"/>
            </w:tcBorders>
            <w:shd w:val="clear" w:color="auto" w:fill="FFFFFF"/>
          </w:tcPr>
          <w:p w14:paraId="143FE6FA"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28CB645" w14:textId="77777777" w:rsidR="009D3DC8" w:rsidRDefault="009D3DC8">
            <w:pPr>
              <w:pStyle w:val="TableText1"/>
              <w:keepNext w:val="0"/>
              <w:rPr>
                <w:rFonts w:ascii="Arial" w:hAnsi="Arial" w:cs="Arial"/>
                <w:color w:val="auto"/>
                <w:szCs w:val="16"/>
              </w:rPr>
            </w:pPr>
            <w:r>
              <w:rPr>
                <w:rFonts w:ascii="Arial" w:hAnsi="Arial" w:cs="Arial"/>
                <w:color w:val="auto"/>
                <w:szCs w:val="16"/>
              </w:rPr>
              <w:t>Ants can establish and spread in Australia; other species in the assessed genera are already present (CSIRO 2011). Ants are highly adaptive, competitive and are general predators or scavengers, feeding on a wide range of prey including other arthropods and seeds (CSIRO 2011).</w:t>
            </w:r>
          </w:p>
        </w:tc>
        <w:tc>
          <w:tcPr>
            <w:tcW w:w="2270" w:type="dxa"/>
            <w:gridSpan w:val="2"/>
            <w:vMerge w:val="restart"/>
            <w:tcBorders>
              <w:left w:val="single" w:sz="2" w:space="0" w:color="999999"/>
              <w:right w:val="single" w:sz="2" w:space="0" w:color="999999"/>
            </w:tcBorders>
            <w:shd w:val="clear" w:color="auto" w:fill="FFFFFF"/>
          </w:tcPr>
          <w:p w14:paraId="1B3970C7"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5A83194" w14:textId="77777777" w:rsidR="009D3DC8" w:rsidRDefault="009D3DC8">
            <w:pPr>
              <w:pStyle w:val="TableText1"/>
              <w:keepNext w:val="0"/>
              <w:rPr>
                <w:rFonts w:ascii="Arial" w:hAnsi="Arial" w:cs="Arial"/>
                <w:color w:val="auto"/>
                <w:szCs w:val="16"/>
              </w:rPr>
            </w:pPr>
            <w:r>
              <w:rPr>
                <w:rFonts w:ascii="Arial" w:hAnsi="Arial" w:cs="Arial"/>
                <w:color w:val="auto"/>
                <w:szCs w:val="16"/>
              </w:rPr>
              <w:t>Invasive ants may alter an ecosystem by interfering with mutualistic relationships. Invasive ant species will compete for resources with native species (GISD 2010). Ants can cause indirect damage through proliferation of honeydew secreting pests. The potential impact on native invertebrates in regions lacking native predacious ants is particularly great and invasive ants have been implicated in the decline of many non-ant invertebrates (GISD 2010).</w:t>
            </w:r>
          </w:p>
        </w:tc>
        <w:tc>
          <w:tcPr>
            <w:tcW w:w="1163" w:type="dxa"/>
            <w:vMerge w:val="restart"/>
            <w:tcBorders>
              <w:left w:val="single" w:sz="2" w:space="0" w:color="999999"/>
            </w:tcBorders>
            <w:shd w:val="clear" w:color="auto" w:fill="FFFFFF"/>
          </w:tcPr>
          <w:p w14:paraId="20829F7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tc>
      </w:tr>
      <w:tr w:rsidR="009D3DC8" w14:paraId="624D9C3E"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125A518" w14:textId="77777777" w:rsidR="009D3DC8" w:rsidRDefault="009D3DC8">
            <w:pPr>
              <w:pStyle w:val="TableText"/>
              <w:spacing w:line="240" w:lineRule="auto"/>
              <w:rPr>
                <w:rFonts w:cs="Arial"/>
                <w:szCs w:val="16"/>
              </w:rPr>
            </w:pPr>
            <w:r>
              <w:rPr>
                <w:rFonts w:cs="Arial"/>
                <w:i/>
                <w:szCs w:val="16"/>
              </w:rPr>
              <w:t>Cardiocondyla</w:t>
            </w:r>
            <w:r>
              <w:rPr>
                <w:rFonts w:cs="Arial"/>
                <w:szCs w:val="16"/>
              </w:rPr>
              <w:t xml:space="preserve"> sp.</w:t>
            </w:r>
          </w:p>
          <w:p w14:paraId="0C3B5ADF"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5C19C59F"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3BF4FD5" w14:textId="77777777" w:rsidR="009D3DC8" w:rsidRDefault="009D3DC8">
            <w:pPr>
              <w:pStyle w:val="TableText1"/>
              <w:keepNext w:val="0"/>
              <w:rPr>
                <w:rFonts w:ascii="Arial" w:hAnsi="Arial" w:cs="Arial"/>
                <w:color w:val="auto"/>
                <w:szCs w:val="16"/>
              </w:rPr>
            </w:pPr>
            <w:r>
              <w:rPr>
                <w:rFonts w:ascii="Arial" w:hAnsi="Arial" w:cs="Arial"/>
                <w:color w:val="auto"/>
                <w:szCs w:val="16"/>
              </w:rPr>
              <w:t>(Ito</w:t>
            </w:r>
            <w:r>
              <w:rPr>
                <w:rFonts w:ascii="Arial" w:hAnsi="Arial" w:cs="Arial"/>
                <w:i/>
                <w:color w:val="auto"/>
                <w:szCs w:val="16"/>
              </w:rPr>
              <w:t xml:space="preserve"> et al.</w:t>
            </w:r>
            <w:r>
              <w:rPr>
                <w:rFonts w:ascii="Arial" w:hAnsi="Arial" w:cs="Arial"/>
                <w:color w:val="auto"/>
                <w:szCs w:val="16"/>
              </w:rPr>
              <w:t xml:space="preserve"> 2001; Rizali</w:t>
            </w:r>
            <w:r>
              <w:rPr>
                <w:rFonts w:ascii="Arial" w:hAnsi="Arial" w:cs="Arial"/>
                <w:i/>
                <w:color w:val="auto"/>
                <w:szCs w:val="16"/>
              </w:rPr>
              <w:t xml:space="preserve"> et al.</w:t>
            </w:r>
            <w:r>
              <w:rPr>
                <w:rFonts w:ascii="Arial" w:hAnsi="Arial" w:cs="Arial"/>
                <w:color w:val="auto"/>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3D668DD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25D88A4" w14:textId="77777777" w:rsidR="009D3DC8" w:rsidRDefault="009D3DC8">
            <w:pPr>
              <w:pStyle w:val="TableText1"/>
              <w:keepNext w:val="0"/>
              <w:rPr>
                <w:rFonts w:ascii="Arial" w:hAnsi="Arial" w:cs="Arial"/>
                <w:color w:val="auto"/>
                <w:szCs w:val="16"/>
              </w:rPr>
            </w:pPr>
            <w:r>
              <w:rPr>
                <w:rFonts w:ascii="Arial" w:hAnsi="Arial" w:cs="Arial"/>
                <w:i/>
                <w:color w:val="auto"/>
                <w:szCs w:val="16"/>
              </w:rPr>
              <w:t>Cardiocondyla</w:t>
            </w:r>
            <w:r>
              <w:rPr>
                <w:rFonts w:ascii="Arial" w:hAnsi="Arial" w:cs="Arial"/>
                <w:color w:val="auto"/>
                <w:szCs w:val="16"/>
              </w:rPr>
              <w:t xml:space="preserve"> 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794FD33E"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Cardiocondyla</w:t>
            </w:r>
            <w:r>
              <w:rPr>
                <w:rFonts w:ascii="Arial" w:hAnsi="Arial" w:cs="Arial"/>
                <w:color w:val="auto"/>
                <w:szCs w:val="16"/>
              </w:rPr>
              <w:t xml:space="preserve"> is present in Australia, some individual species may not be present in Australia (CSIRO 2005).</w:t>
            </w:r>
          </w:p>
        </w:tc>
        <w:tc>
          <w:tcPr>
            <w:tcW w:w="2537" w:type="dxa"/>
            <w:vMerge/>
            <w:tcBorders>
              <w:left w:val="single" w:sz="2" w:space="0" w:color="999999"/>
              <w:right w:val="single" w:sz="2" w:space="0" w:color="999999"/>
            </w:tcBorders>
            <w:shd w:val="clear" w:color="auto" w:fill="FFFFFF"/>
          </w:tcPr>
          <w:p w14:paraId="0667DF4C"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59EE1E21"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1F06C8AF" w14:textId="77777777" w:rsidR="009D3DC8" w:rsidRDefault="009D3DC8">
            <w:pPr>
              <w:pStyle w:val="TableText1"/>
              <w:keepNext w:val="0"/>
              <w:rPr>
                <w:rFonts w:ascii="Arial" w:hAnsi="Arial" w:cs="Arial"/>
                <w:color w:val="auto"/>
                <w:szCs w:val="16"/>
              </w:rPr>
            </w:pPr>
          </w:p>
        </w:tc>
      </w:tr>
      <w:tr w:rsidR="009D3DC8" w14:paraId="525D898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66FD8FA" w14:textId="77777777" w:rsidR="009D3DC8" w:rsidRDefault="009D3DC8">
            <w:pPr>
              <w:pStyle w:val="TableText"/>
              <w:spacing w:line="240" w:lineRule="auto"/>
              <w:rPr>
                <w:rFonts w:cs="Arial"/>
                <w:szCs w:val="16"/>
              </w:rPr>
            </w:pPr>
            <w:r>
              <w:rPr>
                <w:rFonts w:cs="Arial"/>
                <w:i/>
                <w:szCs w:val="16"/>
              </w:rPr>
              <w:t>Crematogaster</w:t>
            </w:r>
            <w:r>
              <w:rPr>
                <w:rFonts w:cs="Arial"/>
                <w:szCs w:val="16"/>
              </w:rPr>
              <w:t xml:space="preserve"> sp</w:t>
            </w:r>
            <w:r>
              <w:rPr>
                <w:rFonts w:cs="Arial"/>
                <w:i/>
                <w:szCs w:val="16"/>
              </w:rPr>
              <w:t xml:space="preserve">. </w:t>
            </w:r>
          </w:p>
          <w:p w14:paraId="1BE3E296"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10786053"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513FCBB" w14:textId="77777777" w:rsidR="009D3DC8" w:rsidRDefault="009D3DC8">
            <w:pPr>
              <w:pStyle w:val="TableText1"/>
              <w:keepNext w:val="0"/>
              <w:rPr>
                <w:rFonts w:ascii="Arial" w:hAnsi="Arial" w:cs="Arial"/>
                <w:color w:val="auto"/>
                <w:szCs w:val="16"/>
              </w:rPr>
            </w:pPr>
            <w:r>
              <w:rPr>
                <w:rFonts w:ascii="Arial" w:hAnsi="Arial" w:cs="Arial"/>
                <w:color w:val="auto"/>
                <w:szCs w:val="16"/>
              </w:rPr>
              <w:t>(Ito</w:t>
            </w:r>
            <w:r>
              <w:rPr>
                <w:rFonts w:ascii="Arial" w:hAnsi="Arial" w:cs="Arial"/>
                <w:i/>
                <w:color w:val="auto"/>
                <w:szCs w:val="16"/>
              </w:rPr>
              <w:t xml:space="preserve"> et al.</w:t>
            </w:r>
            <w:r>
              <w:rPr>
                <w:rFonts w:ascii="Arial" w:hAnsi="Arial" w:cs="Arial"/>
                <w:color w:val="auto"/>
                <w:szCs w:val="16"/>
              </w:rPr>
              <w:t xml:space="preserve"> 2001; Rizali</w:t>
            </w:r>
            <w:r>
              <w:rPr>
                <w:rFonts w:ascii="Arial" w:hAnsi="Arial" w:cs="Arial"/>
                <w:i/>
                <w:color w:val="auto"/>
                <w:szCs w:val="16"/>
              </w:rPr>
              <w:t xml:space="preserve"> et al.</w:t>
            </w:r>
            <w:r>
              <w:rPr>
                <w:rFonts w:ascii="Arial" w:hAnsi="Arial" w:cs="Arial"/>
                <w:color w:val="auto"/>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1AD3951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20A357E" w14:textId="77777777" w:rsidR="009D3DC8" w:rsidRDefault="009D3DC8">
            <w:pPr>
              <w:pStyle w:val="TableText1"/>
              <w:keepNext w:val="0"/>
              <w:rPr>
                <w:rFonts w:ascii="Arial" w:hAnsi="Arial" w:cs="Arial"/>
                <w:color w:val="auto"/>
                <w:szCs w:val="16"/>
              </w:rPr>
            </w:pPr>
            <w:r>
              <w:rPr>
                <w:rFonts w:ascii="Arial" w:hAnsi="Arial" w:cs="Arial"/>
                <w:i/>
                <w:color w:val="auto"/>
                <w:szCs w:val="16"/>
              </w:rPr>
              <w:t>Crematogaster</w:t>
            </w:r>
            <w:r>
              <w:rPr>
                <w:rFonts w:ascii="Arial" w:hAnsi="Arial" w:cs="Arial"/>
                <w:color w:val="auto"/>
                <w:szCs w:val="16"/>
              </w:rPr>
              <w:t xml:space="preserve"> 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1CB302D6" w14:textId="77777777" w:rsidR="009D3DC8" w:rsidRDefault="009D3DC8">
            <w:pPr>
              <w:pStyle w:val="TableText1"/>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Crematogaster</w:t>
            </w:r>
            <w:r>
              <w:rPr>
                <w:rFonts w:ascii="Arial" w:hAnsi="Arial" w:cs="Arial"/>
                <w:color w:val="auto"/>
                <w:szCs w:val="16"/>
              </w:rPr>
              <w:t xml:space="preserve"> is present in Australia, some individual species may not be present in Australia (CSIRO 2005).</w:t>
            </w:r>
          </w:p>
        </w:tc>
        <w:tc>
          <w:tcPr>
            <w:tcW w:w="2537" w:type="dxa"/>
            <w:vMerge/>
            <w:tcBorders>
              <w:left w:val="single" w:sz="2" w:space="0" w:color="999999"/>
              <w:right w:val="single" w:sz="2" w:space="0" w:color="999999"/>
            </w:tcBorders>
            <w:shd w:val="clear" w:color="auto" w:fill="FFFFFF"/>
          </w:tcPr>
          <w:p w14:paraId="1A8079FA"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4DD42211"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5E2BD37F" w14:textId="77777777" w:rsidR="009D3DC8" w:rsidRDefault="009D3DC8">
            <w:pPr>
              <w:pStyle w:val="TableText1"/>
              <w:keepNext w:val="0"/>
              <w:rPr>
                <w:rFonts w:ascii="Arial" w:hAnsi="Arial" w:cs="Arial"/>
                <w:color w:val="auto"/>
                <w:szCs w:val="16"/>
              </w:rPr>
            </w:pPr>
          </w:p>
        </w:tc>
      </w:tr>
      <w:tr w:rsidR="009D3DC8" w14:paraId="684664C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970CF96" w14:textId="77777777" w:rsidR="009D3DC8" w:rsidRDefault="009D3DC8">
            <w:pPr>
              <w:pStyle w:val="TableText"/>
              <w:spacing w:line="240" w:lineRule="auto"/>
              <w:rPr>
                <w:rFonts w:cs="Arial"/>
                <w:szCs w:val="16"/>
              </w:rPr>
            </w:pPr>
            <w:r>
              <w:rPr>
                <w:rFonts w:cs="Arial"/>
                <w:i/>
                <w:szCs w:val="16"/>
              </w:rPr>
              <w:t>Dolichoderus</w:t>
            </w:r>
            <w:r>
              <w:rPr>
                <w:rFonts w:cs="Arial"/>
                <w:szCs w:val="16"/>
              </w:rPr>
              <w:t xml:space="preserve"> sp.</w:t>
            </w:r>
            <w:r>
              <w:rPr>
                <w:rFonts w:cs="Arial"/>
                <w:i/>
                <w:szCs w:val="16"/>
              </w:rPr>
              <w:t xml:space="preserve"> </w:t>
            </w:r>
          </w:p>
          <w:p w14:paraId="27D89066" w14:textId="77777777" w:rsidR="009D3DC8" w:rsidRDefault="009D3DC8">
            <w:pPr>
              <w:pStyle w:val="TableText"/>
              <w:spacing w:line="240" w:lineRule="auto"/>
              <w:rPr>
                <w:rFonts w:cs="Arial"/>
                <w:szCs w:val="16"/>
              </w:rPr>
            </w:pPr>
            <w:r>
              <w:rPr>
                <w:rFonts w:cs="Arial"/>
                <w:szCs w:val="16"/>
              </w:rPr>
              <w:t>[Hymenoptera: Formicidae]</w:t>
            </w:r>
          </w:p>
          <w:p w14:paraId="3A2869E7"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Black ants</w:t>
            </w:r>
          </w:p>
        </w:tc>
        <w:tc>
          <w:tcPr>
            <w:tcW w:w="2146" w:type="dxa"/>
            <w:tcBorders>
              <w:left w:val="single" w:sz="2" w:space="0" w:color="999999"/>
              <w:bottom w:val="single" w:sz="2" w:space="0" w:color="auto"/>
              <w:right w:val="single" w:sz="2" w:space="0" w:color="999999"/>
            </w:tcBorders>
            <w:shd w:val="clear" w:color="auto" w:fill="FFFFFF"/>
          </w:tcPr>
          <w:p w14:paraId="3B739C6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D4330CB" w14:textId="77777777" w:rsidR="009D3DC8" w:rsidRDefault="009D3DC8">
            <w:pPr>
              <w:pStyle w:val="TableText1"/>
              <w:keepNext w:val="0"/>
              <w:rPr>
                <w:rFonts w:ascii="Arial" w:hAnsi="Arial" w:cs="Arial"/>
                <w:color w:val="auto"/>
                <w:szCs w:val="16"/>
              </w:rPr>
            </w:pPr>
            <w:r>
              <w:rPr>
                <w:rFonts w:ascii="Arial" w:hAnsi="Arial" w:cs="Arial"/>
                <w:color w:val="auto"/>
                <w:szCs w:val="16"/>
              </w:rPr>
              <w:t>(Ito</w:t>
            </w:r>
            <w:r>
              <w:rPr>
                <w:rFonts w:ascii="Arial" w:hAnsi="Arial" w:cs="Arial"/>
                <w:i/>
                <w:color w:val="auto"/>
                <w:szCs w:val="16"/>
              </w:rPr>
              <w:t xml:space="preserve"> et al.</w:t>
            </w:r>
            <w:r>
              <w:rPr>
                <w:rFonts w:ascii="Arial" w:hAnsi="Arial" w:cs="Arial"/>
                <w:color w:val="auto"/>
                <w:szCs w:val="16"/>
              </w:rPr>
              <w:t xml:space="preserve"> 2001; Rizali</w:t>
            </w:r>
            <w:r>
              <w:rPr>
                <w:rFonts w:ascii="Arial" w:hAnsi="Arial" w:cs="Arial"/>
                <w:i/>
                <w:color w:val="auto"/>
                <w:szCs w:val="16"/>
              </w:rPr>
              <w:t xml:space="preserve"> et al.</w:t>
            </w:r>
            <w:r>
              <w:rPr>
                <w:rFonts w:ascii="Arial" w:hAnsi="Arial" w:cs="Arial"/>
                <w:color w:val="auto"/>
                <w:szCs w:val="16"/>
              </w:rPr>
              <w:t xml:space="preserve"> 2008) </w:t>
            </w:r>
          </w:p>
        </w:tc>
        <w:tc>
          <w:tcPr>
            <w:tcW w:w="2670" w:type="dxa"/>
            <w:tcBorders>
              <w:left w:val="single" w:sz="2" w:space="0" w:color="999999"/>
              <w:bottom w:val="single" w:sz="2" w:space="0" w:color="auto"/>
              <w:right w:val="single" w:sz="2" w:space="0" w:color="999999"/>
            </w:tcBorders>
            <w:shd w:val="clear" w:color="auto" w:fill="FFFFFF"/>
          </w:tcPr>
          <w:p w14:paraId="75B3C9B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D4F4A61" w14:textId="77777777" w:rsidR="009D3DC8" w:rsidRDefault="009D3DC8">
            <w:pPr>
              <w:pStyle w:val="TableText1"/>
              <w:keepNext w:val="0"/>
              <w:rPr>
                <w:rFonts w:ascii="Arial" w:hAnsi="Arial" w:cs="Arial"/>
                <w:color w:val="auto"/>
                <w:szCs w:val="16"/>
              </w:rPr>
            </w:pPr>
            <w:r>
              <w:rPr>
                <w:rFonts w:ascii="Arial" w:hAnsi="Arial" w:cs="Arial"/>
                <w:i/>
                <w:color w:val="auto"/>
                <w:szCs w:val="16"/>
              </w:rPr>
              <w:t>Dolichoderus</w:t>
            </w:r>
            <w:r>
              <w:rPr>
                <w:rFonts w:ascii="Arial" w:hAnsi="Arial" w:cs="Arial"/>
                <w:color w:val="auto"/>
                <w:szCs w:val="16"/>
              </w:rPr>
              <w:t xml:space="preserve"> 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35E52250"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Dolichoderus</w:t>
            </w:r>
            <w:r>
              <w:rPr>
                <w:rFonts w:ascii="Arial" w:hAnsi="Arial" w:cs="Arial"/>
                <w:color w:val="auto"/>
                <w:szCs w:val="16"/>
              </w:rPr>
              <w:t xml:space="preserve"> is present in Australia, some individual species may not be present in Australia (AntWeb 2011).</w:t>
            </w:r>
          </w:p>
        </w:tc>
        <w:tc>
          <w:tcPr>
            <w:tcW w:w="2537" w:type="dxa"/>
            <w:vMerge/>
            <w:tcBorders>
              <w:left w:val="single" w:sz="2" w:space="0" w:color="999999"/>
              <w:right w:val="single" w:sz="2" w:space="0" w:color="999999"/>
            </w:tcBorders>
            <w:shd w:val="clear" w:color="auto" w:fill="FFFFFF"/>
          </w:tcPr>
          <w:p w14:paraId="32621DF2"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7923A04E"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66C9D6E8" w14:textId="77777777" w:rsidR="009D3DC8" w:rsidRDefault="009D3DC8">
            <w:pPr>
              <w:pStyle w:val="TableText1"/>
              <w:keepNext w:val="0"/>
              <w:rPr>
                <w:rFonts w:ascii="Arial" w:hAnsi="Arial" w:cs="Arial"/>
                <w:color w:val="auto"/>
                <w:szCs w:val="16"/>
              </w:rPr>
            </w:pPr>
          </w:p>
        </w:tc>
      </w:tr>
      <w:tr w:rsidR="009D3DC8" w14:paraId="441AF7D2"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F9653EE" w14:textId="77777777" w:rsidR="009D3DC8" w:rsidRDefault="009D3DC8">
            <w:pPr>
              <w:pStyle w:val="TableText"/>
              <w:spacing w:line="240" w:lineRule="auto"/>
              <w:rPr>
                <w:rFonts w:cs="Arial"/>
                <w:i/>
                <w:szCs w:val="16"/>
              </w:rPr>
            </w:pPr>
            <w:r>
              <w:rPr>
                <w:rFonts w:cs="Arial"/>
                <w:i/>
                <w:szCs w:val="16"/>
              </w:rPr>
              <w:t xml:space="preserve">Iridomyrmex </w:t>
            </w:r>
            <w:r>
              <w:rPr>
                <w:rFonts w:cs="Arial"/>
                <w:szCs w:val="16"/>
              </w:rPr>
              <w:t>sp</w:t>
            </w:r>
            <w:r>
              <w:rPr>
                <w:rFonts w:cs="Arial"/>
                <w:i/>
                <w:szCs w:val="16"/>
              </w:rPr>
              <w:t>.</w:t>
            </w:r>
          </w:p>
          <w:p w14:paraId="751EBF87"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37A697C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D1A73C2" w14:textId="77777777" w:rsidR="009D3DC8" w:rsidRDefault="009D3DC8">
            <w:pPr>
              <w:pStyle w:val="TableText1"/>
              <w:keepNext w:val="0"/>
              <w:rPr>
                <w:rFonts w:ascii="Arial" w:hAnsi="Arial" w:cs="Arial"/>
                <w:color w:val="auto"/>
                <w:szCs w:val="16"/>
              </w:rPr>
            </w:pPr>
            <w:r>
              <w:rPr>
                <w:rFonts w:ascii="Arial" w:hAnsi="Arial" w:cs="Arial"/>
                <w:color w:val="auto"/>
                <w:szCs w:val="16"/>
              </w:rPr>
              <w:t>(AntWeb 2011)</w:t>
            </w:r>
          </w:p>
        </w:tc>
        <w:tc>
          <w:tcPr>
            <w:tcW w:w="2670" w:type="dxa"/>
            <w:tcBorders>
              <w:left w:val="single" w:sz="2" w:space="0" w:color="999999"/>
              <w:bottom w:val="single" w:sz="2" w:space="0" w:color="auto"/>
              <w:right w:val="single" w:sz="2" w:space="0" w:color="999999"/>
            </w:tcBorders>
            <w:shd w:val="clear" w:color="auto" w:fill="FFFFFF"/>
          </w:tcPr>
          <w:p w14:paraId="4AD79C9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CA00348" w14:textId="77777777" w:rsidR="009D3DC8" w:rsidRDefault="009D3DC8">
            <w:pPr>
              <w:pStyle w:val="TableText1"/>
              <w:keepNext w:val="0"/>
              <w:rPr>
                <w:rFonts w:ascii="Arial" w:hAnsi="Arial" w:cs="Arial"/>
                <w:color w:val="auto"/>
                <w:szCs w:val="16"/>
              </w:rPr>
            </w:pPr>
            <w:r>
              <w:rPr>
                <w:rFonts w:ascii="Arial" w:hAnsi="Arial" w:cs="Arial"/>
                <w:i/>
                <w:color w:val="auto"/>
                <w:szCs w:val="16"/>
              </w:rPr>
              <w:t>Iridomyrmex</w:t>
            </w:r>
            <w:r>
              <w:rPr>
                <w:rFonts w:ascii="Arial" w:hAnsi="Arial" w:cs="Arial"/>
                <w:color w:val="auto"/>
                <w:szCs w:val="16"/>
              </w:rPr>
              <w:t xml:space="preserve"> 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31AACF9A"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Iridomyrmex</w:t>
            </w:r>
            <w:r>
              <w:rPr>
                <w:rFonts w:ascii="Arial" w:hAnsi="Arial" w:cs="Arial"/>
                <w:color w:val="auto"/>
                <w:szCs w:val="16"/>
              </w:rPr>
              <w:t xml:space="preserve"> is present in Australia, some individual species may not be present in Australia (AntWeb 2011).</w:t>
            </w:r>
          </w:p>
        </w:tc>
        <w:tc>
          <w:tcPr>
            <w:tcW w:w="2537" w:type="dxa"/>
            <w:vMerge/>
            <w:tcBorders>
              <w:left w:val="single" w:sz="2" w:space="0" w:color="999999"/>
              <w:right w:val="single" w:sz="2" w:space="0" w:color="999999"/>
            </w:tcBorders>
            <w:shd w:val="clear" w:color="auto" w:fill="FFFFFF"/>
          </w:tcPr>
          <w:p w14:paraId="00EB16C0"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55D46205"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4FC14258" w14:textId="77777777" w:rsidR="009D3DC8" w:rsidRDefault="009D3DC8">
            <w:pPr>
              <w:pStyle w:val="TableText1"/>
              <w:keepNext w:val="0"/>
              <w:rPr>
                <w:rFonts w:ascii="Arial" w:hAnsi="Arial" w:cs="Arial"/>
                <w:color w:val="auto"/>
                <w:szCs w:val="16"/>
              </w:rPr>
            </w:pPr>
          </w:p>
        </w:tc>
      </w:tr>
      <w:tr w:rsidR="009D3DC8" w14:paraId="2C276466"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9A20290" w14:textId="77777777" w:rsidR="009D3DC8" w:rsidRDefault="009D3DC8">
            <w:pPr>
              <w:pStyle w:val="TableText"/>
              <w:spacing w:line="240" w:lineRule="auto"/>
              <w:rPr>
                <w:rFonts w:cs="Arial"/>
                <w:i/>
                <w:szCs w:val="16"/>
              </w:rPr>
            </w:pPr>
            <w:r>
              <w:rPr>
                <w:rFonts w:cs="Arial"/>
                <w:i/>
                <w:szCs w:val="16"/>
              </w:rPr>
              <w:lastRenderedPageBreak/>
              <w:t xml:space="preserve">Monomorium </w:t>
            </w:r>
            <w:r>
              <w:rPr>
                <w:rFonts w:cs="Arial"/>
                <w:szCs w:val="16"/>
              </w:rPr>
              <w:t>sp.</w:t>
            </w:r>
          </w:p>
          <w:p w14:paraId="37492EE5"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0D98E63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DC418A8" w14:textId="77777777" w:rsidR="009D3DC8" w:rsidRDefault="009D3DC8">
            <w:pPr>
              <w:pStyle w:val="TableText1"/>
              <w:keepNext w:val="0"/>
              <w:rPr>
                <w:rFonts w:ascii="Arial" w:hAnsi="Arial" w:cs="Arial"/>
                <w:color w:val="auto"/>
                <w:szCs w:val="16"/>
              </w:rPr>
            </w:pPr>
            <w:r>
              <w:rPr>
                <w:rFonts w:ascii="Arial" w:hAnsi="Arial" w:cs="Arial"/>
                <w:color w:val="auto"/>
                <w:szCs w:val="16"/>
              </w:rPr>
              <w:t>(Ito</w:t>
            </w:r>
            <w:r>
              <w:rPr>
                <w:rFonts w:ascii="Arial" w:hAnsi="Arial" w:cs="Arial"/>
                <w:i/>
                <w:color w:val="auto"/>
                <w:szCs w:val="16"/>
              </w:rPr>
              <w:t xml:space="preserve"> et al.</w:t>
            </w:r>
            <w:r>
              <w:rPr>
                <w:rFonts w:ascii="Arial" w:hAnsi="Arial" w:cs="Arial"/>
                <w:color w:val="auto"/>
                <w:szCs w:val="16"/>
              </w:rPr>
              <w:t xml:space="preserve"> 2001; Rizali</w:t>
            </w:r>
            <w:r>
              <w:rPr>
                <w:rFonts w:ascii="Arial" w:hAnsi="Arial" w:cs="Arial"/>
                <w:i/>
                <w:color w:val="auto"/>
                <w:szCs w:val="16"/>
              </w:rPr>
              <w:t xml:space="preserve"> et al.</w:t>
            </w:r>
            <w:r>
              <w:rPr>
                <w:rFonts w:ascii="Arial" w:hAnsi="Arial" w:cs="Arial"/>
                <w:color w:val="auto"/>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26F2AE9D"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7217EBF" w14:textId="77777777" w:rsidR="009D3DC8" w:rsidRDefault="009D3DC8">
            <w:pPr>
              <w:pStyle w:val="TableText1"/>
              <w:keepNext w:val="0"/>
              <w:rPr>
                <w:rFonts w:ascii="Arial" w:hAnsi="Arial" w:cs="Arial"/>
                <w:color w:val="auto"/>
                <w:szCs w:val="16"/>
              </w:rPr>
            </w:pPr>
            <w:r>
              <w:rPr>
                <w:rFonts w:ascii="Arial" w:hAnsi="Arial" w:cs="Arial"/>
                <w:i/>
                <w:color w:val="auto"/>
                <w:szCs w:val="16"/>
              </w:rPr>
              <w:t xml:space="preserve">Monomorium </w:t>
            </w:r>
            <w:r>
              <w:rPr>
                <w:rFonts w:ascii="Arial" w:hAnsi="Arial" w:cs="Arial"/>
                <w:color w:val="auto"/>
                <w:szCs w:val="16"/>
              </w:rPr>
              <w:t>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6B084AB0"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Monomorium</w:t>
            </w:r>
            <w:r>
              <w:rPr>
                <w:rFonts w:ascii="Arial" w:hAnsi="Arial" w:cs="Arial"/>
                <w:color w:val="auto"/>
                <w:szCs w:val="16"/>
              </w:rPr>
              <w:t xml:space="preserve"> is present in Australia, some individual species may not be present in Australia (AntWeb 2011). </w:t>
            </w:r>
          </w:p>
        </w:tc>
        <w:tc>
          <w:tcPr>
            <w:tcW w:w="2537" w:type="dxa"/>
            <w:vMerge/>
            <w:tcBorders>
              <w:left w:val="single" w:sz="2" w:space="0" w:color="999999"/>
              <w:right w:val="single" w:sz="2" w:space="0" w:color="999999"/>
            </w:tcBorders>
            <w:shd w:val="clear" w:color="auto" w:fill="FFFFFF"/>
          </w:tcPr>
          <w:p w14:paraId="382631F5"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2C574CC3"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2C2896A1" w14:textId="77777777" w:rsidR="009D3DC8" w:rsidRDefault="009D3DC8">
            <w:pPr>
              <w:pStyle w:val="TableText1"/>
              <w:keepNext w:val="0"/>
              <w:rPr>
                <w:rFonts w:ascii="Arial" w:hAnsi="Arial" w:cs="Arial"/>
                <w:color w:val="auto"/>
                <w:szCs w:val="16"/>
              </w:rPr>
            </w:pPr>
          </w:p>
        </w:tc>
      </w:tr>
      <w:tr w:rsidR="009D3DC8" w14:paraId="64D6ED55"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7E436296" w14:textId="77777777" w:rsidR="009D3DC8" w:rsidRDefault="009D3DC8">
            <w:pPr>
              <w:pStyle w:val="TableText"/>
              <w:spacing w:line="240" w:lineRule="auto"/>
              <w:rPr>
                <w:rFonts w:cs="Arial"/>
                <w:i/>
                <w:szCs w:val="16"/>
              </w:rPr>
            </w:pPr>
            <w:r>
              <w:rPr>
                <w:rFonts w:cs="Arial"/>
                <w:i/>
                <w:szCs w:val="16"/>
              </w:rPr>
              <w:t>Oecophylla smaragdina (</w:t>
            </w:r>
            <w:r>
              <w:rPr>
                <w:rFonts w:cs="Arial"/>
                <w:szCs w:val="16"/>
              </w:rPr>
              <w:t>Fabricius, 1775)</w:t>
            </w:r>
          </w:p>
          <w:p w14:paraId="7A2A03E8" w14:textId="77777777" w:rsidR="009D3DC8" w:rsidRDefault="009D3DC8">
            <w:pPr>
              <w:pStyle w:val="TableText"/>
              <w:spacing w:line="240" w:lineRule="auto"/>
              <w:rPr>
                <w:rFonts w:cs="Arial"/>
                <w:szCs w:val="16"/>
              </w:rPr>
            </w:pPr>
            <w:r>
              <w:rPr>
                <w:rFonts w:cs="Arial"/>
                <w:szCs w:val="16"/>
              </w:rPr>
              <w:t>[Hymenoptera: Formicidae]</w:t>
            </w:r>
          </w:p>
          <w:p w14:paraId="38E4DF61"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Green tree ant</w:t>
            </w:r>
          </w:p>
        </w:tc>
        <w:tc>
          <w:tcPr>
            <w:tcW w:w="2146" w:type="dxa"/>
            <w:tcBorders>
              <w:left w:val="single" w:sz="2" w:space="0" w:color="999999"/>
              <w:bottom w:val="single" w:sz="2" w:space="0" w:color="auto"/>
              <w:right w:val="single" w:sz="2" w:space="0" w:color="999999"/>
            </w:tcBorders>
            <w:shd w:val="clear" w:color="auto" w:fill="FFFFFF"/>
          </w:tcPr>
          <w:p w14:paraId="3F5A6F1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B63CF6C" w14:textId="77777777" w:rsidR="009D3DC8" w:rsidRDefault="009D3DC8">
            <w:pPr>
              <w:pStyle w:val="TableText1"/>
              <w:keepNext w:val="0"/>
              <w:rPr>
                <w:rFonts w:ascii="Arial" w:hAnsi="Arial" w:cs="Arial"/>
                <w:color w:val="auto"/>
                <w:szCs w:val="16"/>
              </w:rPr>
            </w:pPr>
            <w:r>
              <w:rPr>
                <w:rFonts w:ascii="Arial" w:hAnsi="Arial" w:cs="Arial"/>
                <w:color w:val="auto"/>
                <w:szCs w:val="16"/>
              </w:rPr>
              <w:t>(Rizali</w:t>
            </w:r>
            <w:r>
              <w:rPr>
                <w:rFonts w:ascii="Arial" w:hAnsi="Arial" w:cs="Arial"/>
                <w:i/>
                <w:color w:val="auto"/>
                <w:szCs w:val="16"/>
              </w:rPr>
              <w:t xml:space="preserve"> et al.</w:t>
            </w:r>
            <w:r>
              <w:rPr>
                <w:rFonts w:ascii="Arial" w:hAnsi="Arial" w:cs="Arial"/>
                <w:color w:val="auto"/>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0F19197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0F27252" w14:textId="77777777" w:rsidR="009D3DC8" w:rsidRDefault="009D3DC8">
            <w:pPr>
              <w:pStyle w:val="TableText1"/>
              <w:keepNext w:val="0"/>
              <w:rPr>
                <w:rFonts w:ascii="Arial" w:hAnsi="Arial" w:cs="Arial"/>
                <w:b/>
                <w:bCs/>
                <w:color w:val="auto"/>
                <w:szCs w:val="16"/>
              </w:rPr>
            </w:pPr>
            <w:r>
              <w:rPr>
                <w:rFonts w:ascii="Arial" w:hAnsi="Arial" w:cs="Arial"/>
                <w:i/>
                <w:color w:val="auto"/>
                <w:szCs w:val="16"/>
              </w:rPr>
              <w:t xml:space="preserve">Oecophylla smaragdina </w:t>
            </w:r>
            <w:r>
              <w:rPr>
                <w:rFonts w:ascii="Arial" w:hAnsi="Arial" w:cs="Arial"/>
                <w:color w:val="auto"/>
                <w:szCs w:val="16"/>
              </w:rPr>
              <w:t>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0018A54F" w14:textId="77777777" w:rsidR="009D3DC8" w:rsidRDefault="009D3DC8">
            <w:pPr>
              <w:pStyle w:val="TableText1"/>
              <w:keepNext w:val="0"/>
              <w:rPr>
                <w:rFonts w:ascii="Arial" w:hAnsi="Arial" w:cs="Arial"/>
                <w:b/>
                <w:bCs/>
                <w:color w:val="auto"/>
                <w:szCs w:val="16"/>
              </w:rPr>
            </w:pPr>
            <w:r>
              <w:rPr>
                <w:rFonts w:ascii="Arial" w:hAnsi="Arial" w:cs="Arial"/>
                <w:color w:val="auto"/>
                <w:szCs w:val="16"/>
              </w:rPr>
              <w:t>Yes</w:t>
            </w:r>
          </w:p>
          <w:p w14:paraId="4C8A824B" w14:textId="77777777" w:rsidR="009D3DC8" w:rsidRDefault="009D3DC8">
            <w:pPr>
              <w:pStyle w:val="TableText1"/>
              <w:keepNext w:val="0"/>
              <w:rPr>
                <w:rFonts w:ascii="Arial" w:hAnsi="Arial" w:cs="Arial"/>
                <w:b/>
                <w:bCs/>
                <w:color w:val="auto"/>
                <w:szCs w:val="16"/>
              </w:rPr>
            </w:pPr>
            <w:r>
              <w:rPr>
                <w:rFonts w:ascii="Arial" w:hAnsi="Arial" w:cs="Arial"/>
                <w:color w:val="auto"/>
                <w:szCs w:val="16"/>
              </w:rPr>
              <w:t>NT, Qld, WA (CSIRO 2005; Poole 2010)</w:t>
            </w:r>
          </w:p>
        </w:tc>
        <w:tc>
          <w:tcPr>
            <w:tcW w:w="2537" w:type="dxa"/>
            <w:vMerge/>
            <w:tcBorders>
              <w:left w:val="single" w:sz="2" w:space="0" w:color="999999"/>
              <w:right w:val="single" w:sz="2" w:space="0" w:color="999999"/>
            </w:tcBorders>
            <w:shd w:val="clear" w:color="auto" w:fill="FFFFFF"/>
          </w:tcPr>
          <w:p w14:paraId="78B552BB"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5F33D574"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6290B75A" w14:textId="77777777" w:rsidR="009D3DC8" w:rsidRDefault="009D3DC8">
            <w:pPr>
              <w:pStyle w:val="TableText1"/>
              <w:keepNext w:val="0"/>
              <w:rPr>
                <w:rFonts w:ascii="Arial" w:hAnsi="Arial" w:cs="Arial"/>
                <w:color w:val="auto"/>
                <w:szCs w:val="16"/>
              </w:rPr>
            </w:pPr>
          </w:p>
        </w:tc>
      </w:tr>
      <w:tr w:rsidR="009D3DC8" w14:paraId="3E66FCC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45BB677" w14:textId="77777777" w:rsidR="009D3DC8" w:rsidRDefault="009D3DC8">
            <w:pPr>
              <w:pStyle w:val="TableText"/>
              <w:spacing w:line="240" w:lineRule="auto"/>
              <w:rPr>
                <w:rFonts w:cs="Arial"/>
                <w:i/>
                <w:szCs w:val="16"/>
              </w:rPr>
            </w:pPr>
            <w:r>
              <w:rPr>
                <w:rFonts w:cs="Arial"/>
                <w:i/>
                <w:szCs w:val="16"/>
              </w:rPr>
              <w:t>Paratrechina</w:t>
            </w:r>
            <w:r>
              <w:rPr>
                <w:rFonts w:cs="Arial"/>
                <w:szCs w:val="16"/>
              </w:rPr>
              <w:t xml:space="preserve"> sp</w:t>
            </w:r>
            <w:r>
              <w:rPr>
                <w:rFonts w:cs="Arial"/>
                <w:i/>
                <w:szCs w:val="16"/>
              </w:rPr>
              <w:t>.</w:t>
            </w:r>
          </w:p>
          <w:p w14:paraId="6D73ABE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0995968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ABB9C84" w14:textId="77777777" w:rsidR="009D3DC8" w:rsidRDefault="009D3DC8">
            <w:pPr>
              <w:spacing w:before="60" w:after="60" w:line="240" w:lineRule="auto"/>
              <w:rPr>
                <w:rFonts w:ascii="Arial" w:hAnsi="Arial" w:cs="Arial"/>
                <w:sz w:val="16"/>
                <w:szCs w:val="16"/>
              </w:rPr>
            </w:pPr>
            <w:r>
              <w:rPr>
                <w:rFonts w:ascii="Arial" w:hAnsi="Arial" w:cs="Arial"/>
                <w:sz w:val="16"/>
                <w:szCs w:val="16"/>
              </w:rPr>
              <w:t>(Ito</w:t>
            </w:r>
            <w:r>
              <w:rPr>
                <w:rFonts w:ascii="Arial" w:hAnsi="Arial" w:cs="Arial"/>
                <w:i/>
                <w:sz w:val="16"/>
                <w:szCs w:val="16"/>
              </w:rPr>
              <w:t xml:space="preserve"> et al.</w:t>
            </w:r>
            <w:r>
              <w:rPr>
                <w:rFonts w:ascii="Arial" w:hAnsi="Arial" w:cs="Arial"/>
                <w:sz w:val="16"/>
                <w:szCs w:val="16"/>
              </w:rPr>
              <w:t xml:space="preserve"> 2001; 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1A70630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492B1D1" w14:textId="77777777" w:rsidR="009D3DC8" w:rsidRDefault="009D3DC8">
            <w:pPr>
              <w:pStyle w:val="TableText1"/>
              <w:keepNext w:val="0"/>
              <w:rPr>
                <w:rFonts w:ascii="Arial" w:hAnsi="Arial" w:cs="Arial"/>
                <w:color w:val="auto"/>
                <w:szCs w:val="16"/>
              </w:rPr>
            </w:pPr>
            <w:r>
              <w:rPr>
                <w:rFonts w:ascii="Arial" w:hAnsi="Arial" w:cs="Arial"/>
                <w:i/>
                <w:color w:val="auto"/>
                <w:szCs w:val="16"/>
              </w:rPr>
              <w:t xml:space="preserve">Paratrechina </w:t>
            </w:r>
            <w:r>
              <w:rPr>
                <w:rFonts w:ascii="Arial" w:hAnsi="Arial" w:cs="Arial"/>
                <w:color w:val="auto"/>
                <w:szCs w:val="16"/>
              </w:rPr>
              <w:t>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6ABC8F51"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 xml:space="preserve">Paratrechina </w:t>
            </w:r>
            <w:r>
              <w:rPr>
                <w:rFonts w:ascii="Arial" w:hAnsi="Arial" w:cs="Arial"/>
                <w:color w:val="auto"/>
                <w:szCs w:val="16"/>
              </w:rPr>
              <w:t>is present in Australia, some individual species may not be present in Australia (AntWeb 2011).</w:t>
            </w:r>
          </w:p>
        </w:tc>
        <w:tc>
          <w:tcPr>
            <w:tcW w:w="2537" w:type="dxa"/>
            <w:vMerge/>
            <w:tcBorders>
              <w:left w:val="single" w:sz="2" w:space="0" w:color="999999"/>
              <w:right w:val="single" w:sz="2" w:space="0" w:color="999999"/>
            </w:tcBorders>
            <w:shd w:val="clear" w:color="auto" w:fill="FFFFFF"/>
          </w:tcPr>
          <w:p w14:paraId="5ED301F2"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5FFE93DA"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447B0476" w14:textId="77777777" w:rsidR="009D3DC8" w:rsidRDefault="009D3DC8">
            <w:pPr>
              <w:pStyle w:val="TableText1"/>
              <w:keepNext w:val="0"/>
              <w:rPr>
                <w:rFonts w:ascii="Arial" w:hAnsi="Arial" w:cs="Arial"/>
                <w:color w:val="auto"/>
                <w:szCs w:val="16"/>
              </w:rPr>
            </w:pPr>
          </w:p>
        </w:tc>
      </w:tr>
      <w:tr w:rsidR="009D3DC8" w14:paraId="3909ED24"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FFC5D4D" w14:textId="77777777" w:rsidR="009D3DC8" w:rsidRDefault="009D3DC8">
            <w:pPr>
              <w:pStyle w:val="TableText"/>
              <w:spacing w:line="240" w:lineRule="auto"/>
              <w:rPr>
                <w:rFonts w:cs="Arial"/>
                <w:i/>
                <w:szCs w:val="16"/>
              </w:rPr>
            </w:pPr>
            <w:r>
              <w:rPr>
                <w:rFonts w:cs="Arial"/>
                <w:i/>
                <w:szCs w:val="16"/>
              </w:rPr>
              <w:t xml:space="preserve">Pheidole </w:t>
            </w:r>
            <w:r>
              <w:rPr>
                <w:rFonts w:cs="Arial"/>
                <w:szCs w:val="16"/>
              </w:rPr>
              <w:t>sp</w:t>
            </w:r>
            <w:r>
              <w:rPr>
                <w:rFonts w:cs="Arial"/>
                <w:i/>
                <w:szCs w:val="16"/>
              </w:rPr>
              <w:t>.</w:t>
            </w:r>
          </w:p>
          <w:p w14:paraId="5F9401E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4C18E356"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1D648D5" w14:textId="77777777" w:rsidR="009D3DC8" w:rsidRDefault="009D3DC8">
            <w:pPr>
              <w:spacing w:before="60" w:after="60" w:line="240" w:lineRule="auto"/>
              <w:rPr>
                <w:rFonts w:ascii="Arial" w:hAnsi="Arial" w:cs="Arial"/>
                <w:sz w:val="16"/>
                <w:szCs w:val="16"/>
              </w:rPr>
            </w:pPr>
            <w:r>
              <w:rPr>
                <w:rFonts w:ascii="Arial" w:hAnsi="Arial" w:cs="Arial"/>
                <w:sz w:val="16"/>
                <w:szCs w:val="16"/>
              </w:rPr>
              <w:t>(Ito</w:t>
            </w:r>
            <w:r>
              <w:rPr>
                <w:rFonts w:ascii="Arial" w:hAnsi="Arial" w:cs="Arial"/>
                <w:i/>
                <w:sz w:val="16"/>
                <w:szCs w:val="16"/>
              </w:rPr>
              <w:t xml:space="preserve"> et al.</w:t>
            </w:r>
            <w:r>
              <w:rPr>
                <w:rFonts w:ascii="Arial" w:hAnsi="Arial" w:cs="Arial"/>
                <w:sz w:val="16"/>
                <w:szCs w:val="16"/>
              </w:rPr>
              <w:t xml:space="preserve"> 2001; 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44B5177A"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2528626" w14:textId="77777777" w:rsidR="009D3DC8" w:rsidRDefault="009D3DC8">
            <w:pPr>
              <w:pStyle w:val="TableText1"/>
              <w:keepNext w:val="0"/>
              <w:rPr>
                <w:rFonts w:ascii="Arial" w:hAnsi="Arial" w:cs="Arial"/>
                <w:color w:val="auto"/>
                <w:szCs w:val="16"/>
              </w:rPr>
            </w:pPr>
            <w:r>
              <w:rPr>
                <w:rFonts w:ascii="Arial" w:hAnsi="Arial" w:cs="Arial"/>
                <w:i/>
                <w:color w:val="auto"/>
                <w:szCs w:val="16"/>
              </w:rPr>
              <w:t xml:space="preserve">Pheidole </w:t>
            </w:r>
            <w:r>
              <w:rPr>
                <w:rFonts w:ascii="Arial" w:hAnsi="Arial" w:cs="Arial"/>
                <w:color w:val="auto"/>
                <w:szCs w:val="16"/>
              </w:rPr>
              <w:t>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62F1500C"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While the genus </w:t>
            </w:r>
            <w:r>
              <w:rPr>
                <w:rFonts w:ascii="Arial" w:hAnsi="Arial" w:cs="Arial"/>
                <w:i/>
                <w:color w:val="auto"/>
                <w:szCs w:val="16"/>
              </w:rPr>
              <w:t xml:space="preserve">Pheidole </w:t>
            </w:r>
            <w:r>
              <w:rPr>
                <w:rFonts w:ascii="Arial" w:hAnsi="Arial" w:cs="Arial"/>
                <w:color w:val="auto"/>
                <w:szCs w:val="16"/>
              </w:rPr>
              <w:t>is present in Australia, some individual species may not be present in Australia (AntWeb 2011).</w:t>
            </w:r>
          </w:p>
        </w:tc>
        <w:tc>
          <w:tcPr>
            <w:tcW w:w="2537" w:type="dxa"/>
            <w:vMerge/>
            <w:tcBorders>
              <w:left w:val="single" w:sz="2" w:space="0" w:color="999999"/>
              <w:right w:val="single" w:sz="2" w:space="0" w:color="999999"/>
            </w:tcBorders>
            <w:shd w:val="clear" w:color="auto" w:fill="FFFFFF"/>
          </w:tcPr>
          <w:p w14:paraId="5E98BA18"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24280D7A"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2F99C43C" w14:textId="77777777" w:rsidR="009D3DC8" w:rsidRDefault="009D3DC8">
            <w:pPr>
              <w:pStyle w:val="TableText1"/>
              <w:keepNext w:val="0"/>
              <w:rPr>
                <w:rFonts w:ascii="Arial" w:hAnsi="Arial" w:cs="Arial"/>
                <w:color w:val="auto"/>
                <w:szCs w:val="16"/>
              </w:rPr>
            </w:pPr>
          </w:p>
        </w:tc>
      </w:tr>
      <w:tr w:rsidR="009D3DC8" w14:paraId="412562C9"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4CDB5286" w14:textId="77777777" w:rsidR="009D3DC8" w:rsidRDefault="009D3DC8">
            <w:pPr>
              <w:pStyle w:val="TableText"/>
              <w:spacing w:line="240" w:lineRule="auto"/>
              <w:rPr>
                <w:rFonts w:cs="Arial"/>
                <w:i/>
                <w:szCs w:val="16"/>
              </w:rPr>
            </w:pPr>
            <w:r>
              <w:rPr>
                <w:rFonts w:cs="Arial"/>
                <w:i/>
                <w:szCs w:val="16"/>
              </w:rPr>
              <w:t>Plagiolepis sp.</w:t>
            </w:r>
          </w:p>
          <w:p w14:paraId="14F9AD5B"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497C4B4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05FFC97" w14:textId="77777777" w:rsidR="009D3DC8" w:rsidRDefault="009D3DC8">
            <w:pPr>
              <w:spacing w:before="60" w:after="60" w:line="240" w:lineRule="auto"/>
              <w:rPr>
                <w:rFonts w:ascii="Arial" w:hAnsi="Arial" w:cs="Arial"/>
                <w:sz w:val="16"/>
                <w:szCs w:val="16"/>
              </w:rPr>
            </w:pPr>
            <w:r>
              <w:rPr>
                <w:rFonts w:ascii="Arial" w:hAnsi="Arial" w:cs="Arial"/>
                <w:sz w:val="16"/>
                <w:szCs w:val="16"/>
              </w:rPr>
              <w:t>(Rizali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3D6A0FF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8F41C4D" w14:textId="77777777" w:rsidR="009D3DC8" w:rsidRDefault="009D3DC8">
            <w:pPr>
              <w:spacing w:before="60" w:after="60" w:line="240" w:lineRule="auto"/>
              <w:rPr>
                <w:rFonts w:ascii="Arial" w:hAnsi="Arial" w:cs="Arial"/>
                <w:sz w:val="16"/>
                <w:szCs w:val="16"/>
              </w:rPr>
            </w:pPr>
            <w:r>
              <w:rPr>
                <w:rFonts w:ascii="Arial" w:hAnsi="Arial" w:cs="Arial"/>
                <w:i/>
                <w:sz w:val="16"/>
                <w:szCs w:val="16"/>
              </w:rPr>
              <w:t>Plagiolepis</w:t>
            </w:r>
            <w:r>
              <w:rPr>
                <w:rFonts w:ascii="Arial" w:hAnsi="Arial" w:cs="Arial"/>
                <w:sz w:val="16"/>
                <w:szCs w:val="16"/>
              </w:rPr>
              <w:t xml:space="preserve"> 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37EE8313"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While the genus </w:t>
            </w:r>
            <w:r>
              <w:rPr>
                <w:rFonts w:ascii="Arial" w:hAnsi="Arial" w:cs="Arial"/>
                <w:i/>
                <w:sz w:val="16"/>
                <w:szCs w:val="16"/>
              </w:rPr>
              <w:t>Plagiolepis</w:t>
            </w:r>
            <w:r>
              <w:rPr>
                <w:rFonts w:ascii="Arial" w:hAnsi="Arial" w:cs="Arial"/>
                <w:sz w:val="16"/>
                <w:szCs w:val="16"/>
              </w:rPr>
              <w:t xml:space="preserve"> is present in Australia, some individual species may not be present in Australia (CSIRO 2011)</w:t>
            </w:r>
          </w:p>
        </w:tc>
        <w:tc>
          <w:tcPr>
            <w:tcW w:w="2537" w:type="dxa"/>
            <w:vMerge/>
            <w:tcBorders>
              <w:left w:val="single" w:sz="2" w:space="0" w:color="999999"/>
              <w:right w:val="single" w:sz="2" w:space="0" w:color="999999"/>
            </w:tcBorders>
            <w:shd w:val="clear" w:color="auto" w:fill="FFFFFF"/>
          </w:tcPr>
          <w:p w14:paraId="54274638"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01BDB5C7"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65F34831" w14:textId="77777777" w:rsidR="009D3DC8" w:rsidRDefault="009D3DC8">
            <w:pPr>
              <w:pStyle w:val="TableText1"/>
              <w:keepNext w:val="0"/>
              <w:rPr>
                <w:rFonts w:ascii="Arial" w:hAnsi="Arial" w:cs="Arial"/>
                <w:color w:val="auto"/>
                <w:szCs w:val="16"/>
              </w:rPr>
            </w:pPr>
          </w:p>
        </w:tc>
      </w:tr>
      <w:tr w:rsidR="009D3DC8" w14:paraId="4A20B1A5"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24B8179" w14:textId="77777777" w:rsidR="009D3DC8" w:rsidRDefault="009D3DC8">
            <w:pPr>
              <w:pStyle w:val="TableText"/>
              <w:spacing w:line="240" w:lineRule="auto"/>
              <w:rPr>
                <w:rFonts w:cs="Arial"/>
                <w:i/>
                <w:szCs w:val="16"/>
              </w:rPr>
            </w:pPr>
            <w:r>
              <w:rPr>
                <w:rFonts w:cs="Arial"/>
                <w:i/>
                <w:szCs w:val="16"/>
              </w:rPr>
              <w:t xml:space="preserve">Polyrhachis </w:t>
            </w:r>
            <w:r>
              <w:rPr>
                <w:rFonts w:cs="Arial"/>
                <w:szCs w:val="16"/>
              </w:rPr>
              <w:t>sp</w:t>
            </w:r>
            <w:r>
              <w:rPr>
                <w:rFonts w:cs="Arial"/>
                <w:i/>
                <w:szCs w:val="16"/>
              </w:rPr>
              <w:t>.</w:t>
            </w:r>
          </w:p>
          <w:p w14:paraId="35B2F199"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2CEB50F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A8E4ADB" w14:textId="77777777" w:rsidR="009D3DC8" w:rsidRDefault="009D3DC8">
            <w:pPr>
              <w:spacing w:before="60" w:after="60" w:line="240" w:lineRule="auto"/>
              <w:rPr>
                <w:rFonts w:ascii="Arial" w:hAnsi="Arial" w:cs="Arial"/>
                <w:sz w:val="16"/>
                <w:szCs w:val="16"/>
              </w:rPr>
            </w:pPr>
            <w:r>
              <w:rPr>
                <w:rFonts w:ascii="Arial" w:hAnsi="Arial" w:cs="Arial"/>
                <w:sz w:val="16"/>
                <w:szCs w:val="16"/>
              </w:rPr>
              <w:t>(Ito</w:t>
            </w:r>
            <w:r>
              <w:rPr>
                <w:rFonts w:ascii="Arial" w:hAnsi="Arial" w:cs="Arial"/>
                <w:i/>
                <w:sz w:val="16"/>
                <w:szCs w:val="16"/>
              </w:rPr>
              <w:t xml:space="preserve"> et al.</w:t>
            </w:r>
            <w:r>
              <w:rPr>
                <w:rFonts w:ascii="Arial" w:hAnsi="Arial" w:cs="Arial"/>
                <w:sz w:val="16"/>
                <w:szCs w:val="16"/>
              </w:rPr>
              <w:t xml:space="preserve"> 2001; 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1FDA8AB4"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E07D862" w14:textId="77777777" w:rsidR="009D3DC8" w:rsidRDefault="009D3DC8">
            <w:pPr>
              <w:spacing w:before="60" w:after="60" w:line="240" w:lineRule="auto"/>
              <w:rPr>
                <w:rFonts w:ascii="Arial" w:hAnsi="Arial" w:cs="Arial"/>
                <w:sz w:val="16"/>
                <w:szCs w:val="16"/>
              </w:rPr>
            </w:pPr>
            <w:r>
              <w:rPr>
                <w:rFonts w:ascii="Arial" w:hAnsi="Arial" w:cs="Arial"/>
                <w:i/>
                <w:sz w:val="16"/>
                <w:szCs w:val="16"/>
              </w:rPr>
              <w:t>Polyrhachis</w:t>
            </w:r>
            <w:r>
              <w:rPr>
                <w:rFonts w:ascii="Arial" w:hAnsi="Arial" w:cs="Arial"/>
                <w:sz w:val="16"/>
                <w:szCs w:val="16"/>
              </w:rPr>
              <w:t xml:space="preserve"> sp.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2E04FBE6"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While the genus </w:t>
            </w:r>
            <w:r>
              <w:rPr>
                <w:rFonts w:ascii="Arial" w:hAnsi="Arial" w:cs="Arial"/>
                <w:i/>
                <w:sz w:val="16"/>
                <w:szCs w:val="16"/>
              </w:rPr>
              <w:t>Polyrhachis</w:t>
            </w:r>
            <w:r>
              <w:rPr>
                <w:rFonts w:ascii="Arial" w:hAnsi="Arial" w:cs="Arial"/>
                <w:sz w:val="16"/>
                <w:szCs w:val="16"/>
              </w:rPr>
              <w:t xml:space="preserve"> is present in Australia, some individual species may not be present in Australia (AntWeb 2011).</w:t>
            </w:r>
          </w:p>
        </w:tc>
        <w:tc>
          <w:tcPr>
            <w:tcW w:w="2537" w:type="dxa"/>
            <w:vMerge/>
            <w:tcBorders>
              <w:left w:val="single" w:sz="2" w:space="0" w:color="999999"/>
              <w:right w:val="single" w:sz="2" w:space="0" w:color="999999"/>
            </w:tcBorders>
            <w:shd w:val="clear" w:color="auto" w:fill="FFFFFF"/>
          </w:tcPr>
          <w:p w14:paraId="1040674C"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11C77FB1"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2D7A5BCE" w14:textId="77777777" w:rsidR="009D3DC8" w:rsidRDefault="009D3DC8">
            <w:pPr>
              <w:pStyle w:val="TableText1"/>
              <w:keepNext w:val="0"/>
              <w:rPr>
                <w:rFonts w:ascii="Arial" w:hAnsi="Arial" w:cs="Arial"/>
                <w:color w:val="auto"/>
                <w:szCs w:val="16"/>
              </w:rPr>
            </w:pPr>
          </w:p>
        </w:tc>
      </w:tr>
      <w:tr w:rsidR="009D3DC8" w14:paraId="5F5F475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34BEF8A" w14:textId="77777777" w:rsidR="009D3DC8" w:rsidRDefault="009D3DC8">
            <w:pPr>
              <w:pStyle w:val="TableText"/>
              <w:spacing w:line="240" w:lineRule="auto"/>
              <w:rPr>
                <w:rFonts w:cs="Arial"/>
                <w:szCs w:val="16"/>
              </w:rPr>
            </w:pPr>
            <w:r>
              <w:rPr>
                <w:rFonts w:cs="Arial"/>
                <w:i/>
                <w:szCs w:val="16"/>
              </w:rPr>
              <w:lastRenderedPageBreak/>
              <w:t xml:space="preserve">Tapinoma </w:t>
            </w:r>
            <w:r>
              <w:rPr>
                <w:rFonts w:cs="Arial"/>
                <w:szCs w:val="16"/>
              </w:rPr>
              <w:t>sp</w:t>
            </w:r>
            <w:r>
              <w:rPr>
                <w:rFonts w:cs="Arial"/>
                <w:i/>
                <w:szCs w:val="16"/>
              </w:rPr>
              <w:t>.</w:t>
            </w:r>
          </w:p>
          <w:p w14:paraId="733170D9" w14:textId="77777777" w:rsidR="009D3DC8" w:rsidRDefault="009D3DC8">
            <w:pPr>
              <w:pStyle w:val="TableText"/>
              <w:spacing w:line="240" w:lineRule="auto"/>
              <w:rPr>
                <w:rFonts w:cs="Arial"/>
                <w:szCs w:val="16"/>
              </w:rPr>
            </w:pPr>
            <w:r>
              <w:rPr>
                <w:rFonts w:cs="Arial"/>
                <w:szCs w:val="16"/>
              </w:rPr>
              <w:t>[Hymenoptera: Formicidae]</w:t>
            </w:r>
          </w:p>
          <w:p w14:paraId="4AC32E5E"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Ghost ant</w:t>
            </w:r>
          </w:p>
        </w:tc>
        <w:tc>
          <w:tcPr>
            <w:tcW w:w="2146" w:type="dxa"/>
            <w:tcBorders>
              <w:left w:val="single" w:sz="2" w:space="0" w:color="999999"/>
              <w:bottom w:val="single" w:sz="2" w:space="0" w:color="auto"/>
              <w:right w:val="single" w:sz="2" w:space="0" w:color="999999"/>
            </w:tcBorders>
            <w:shd w:val="clear" w:color="auto" w:fill="FFFFFF"/>
          </w:tcPr>
          <w:p w14:paraId="3CD6979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0F82C56A" w14:textId="77777777" w:rsidR="009D3DC8" w:rsidRDefault="009D3DC8">
            <w:pPr>
              <w:spacing w:before="60" w:after="60" w:line="240" w:lineRule="auto"/>
              <w:rPr>
                <w:rFonts w:ascii="Arial" w:hAnsi="Arial" w:cs="Arial"/>
                <w:sz w:val="16"/>
                <w:szCs w:val="16"/>
              </w:rPr>
            </w:pPr>
            <w:r>
              <w:rPr>
                <w:rFonts w:ascii="Arial" w:hAnsi="Arial" w:cs="Arial"/>
                <w:sz w:val="16"/>
                <w:szCs w:val="16"/>
              </w:rPr>
              <w:t>(Ito</w:t>
            </w:r>
            <w:r>
              <w:rPr>
                <w:rFonts w:ascii="Arial" w:hAnsi="Arial" w:cs="Arial"/>
                <w:i/>
                <w:sz w:val="16"/>
                <w:szCs w:val="16"/>
              </w:rPr>
              <w:t xml:space="preserve"> et al.</w:t>
            </w:r>
            <w:r>
              <w:rPr>
                <w:rFonts w:ascii="Arial" w:hAnsi="Arial" w:cs="Arial"/>
                <w:sz w:val="16"/>
                <w:szCs w:val="16"/>
              </w:rPr>
              <w:t xml:space="preserve"> 2001; 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26DC3E83"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A56FA9C" w14:textId="77777777" w:rsidR="009D3DC8" w:rsidRDefault="009D3DC8">
            <w:pPr>
              <w:spacing w:before="60" w:after="60" w:line="240" w:lineRule="auto"/>
              <w:rPr>
                <w:rFonts w:ascii="Arial" w:hAnsi="Arial" w:cs="Arial"/>
                <w:sz w:val="16"/>
                <w:szCs w:val="16"/>
              </w:rPr>
            </w:pPr>
            <w:r>
              <w:rPr>
                <w:rFonts w:ascii="Arial" w:hAnsi="Arial" w:cs="Arial"/>
                <w:i/>
                <w:sz w:val="16"/>
                <w:szCs w:val="16"/>
              </w:rPr>
              <w:t xml:space="preserve">Tapinoma </w:t>
            </w:r>
            <w:r>
              <w:rPr>
                <w:rFonts w:ascii="Arial" w:hAnsi="Arial" w:cs="Arial"/>
                <w:sz w:val="16"/>
                <w:szCs w:val="16"/>
              </w:rPr>
              <w:t>sp</w:t>
            </w:r>
            <w:r>
              <w:rPr>
                <w:rFonts w:ascii="Arial" w:hAnsi="Arial" w:cs="Arial"/>
                <w:i/>
                <w:sz w:val="16"/>
                <w:szCs w:val="16"/>
              </w:rPr>
              <w:t>.</w:t>
            </w:r>
            <w:r>
              <w:rPr>
                <w:rFonts w:ascii="Arial" w:hAnsi="Arial" w:cs="Arial"/>
                <w:sz w:val="16"/>
                <w:szCs w:val="16"/>
              </w:rPr>
              <w:t xml:space="preserve">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25D91667"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While the genus </w:t>
            </w:r>
            <w:r>
              <w:rPr>
                <w:rFonts w:ascii="Arial" w:hAnsi="Arial" w:cs="Arial"/>
                <w:i/>
                <w:sz w:val="16"/>
                <w:szCs w:val="16"/>
              </w:rPr>
              <w:t>Tapinoma</w:t>
            </w:r>
            <w:r>
              <w:rPr>
                <w:rFonts w:ascii="Arial" w:hAnsi="Arial" w:cs="Arial"/>
                <w:sz w:val="16"/>
                <w:szCs w:val="16"/>
              </w:rPr>
              <w:t xml:space="preserve"> is present in Australia, some individual species may not be present in Australia (AntWeb 2011).</w:t>
            </w:r>
          </w:p>
        </w:tc>
        <w:tc>
          <w:tcPr>
            <w:tcW w:w="2537" w:type="dxa"/>
            <w:vMerge/>
            <w:tcBorders>
              <w:left w:val="single" w:sz="2" w:space="0" w:color="999999"/>
              <w:right w:val="single" w:sz="2" w:space="0" w:color="999999"/>
            </w:tcBorders>
            <w:shd w:val="clear" w:color="auto" w:fill="FFFFFF"/>
          </w:tcPr>
          <w:p w14:paraId="143D3E32"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0C87B04D"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4C832CEC" w14:textId="77777777" w:rsidR="009D3DC8" w:rsidRDefault="009D3DC8">
            <w:pPr>
              <w:pStyle w:val="TableText1"/>
              <w:keepNext w:val="0"/>
              <w:rPr>
                <w:rFonts w:ascii="Arial" w:hAnsi="Arial" w:cs="Arial"/>
                <w:color w:val="auto"/>
                <w:szCs w:val="16"/>
              </w:rPr>
            </w:pPr>
          </w:p>
        </w:tc>
      </w:tr>
      <w:tr w:rsidR="009D3DC8" w14:paraId="48916A65"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5413DEE" w14:textId="77777777" w:rsidR="009D3DC8" w:rsidRDefault="009D3DC8">
            <w:pPr>
              <w:pStyle w:val="TableText"/>
              <w:spacing w:line="240" w:lineRule="auto"/>
              <w:rPr>
                <w:rFonts w:cs="Arial"/>
                <w:szCs w:val="16"/>
              </w:rPr>
            </w:pPr>
            <w:r>
              <w:rPr>
                <w:rFonts w:cs="Arial"/>
                <w:i/>
                <w:szCs w:val="16"/>
              </w:rPr>
              <w:t xml:space="preserve">Technomyrmex </w:t>
            </w:r>
            <w:r>
              <w:rPr>
                <w:rFonts w:cs="Arial"/>
                <w:szCs w:val="16"/>
              </w:rPr>
              <w:t>sp</w:t>
            </w:r>
            <w:r>
              <w:rPr>
                <w:rFonts w:cs="Arial"/>
                <w:i/>
                <w:szCs w:val="16"/>
              </w:rPr>
              <w:t>.</w:t>
            </w:r>
            <w:r>
              <w:rPr>
                <w:rFonts w:cs="Arial"/>
                <w:szCs w:val="16"/>
              </w:rPr>
              <w:t xml:space="preserve"> </w:t>
            </w:r>
          </w:p>
          <w:p w14:paraId="12F1C56E" w14:textId="77777777" w:rsidR="009D3DC8" w:rsidRDefault="009D3DC8">
            <w:pPr>
              <w:pStyle w:val="TableText"/>
              <w:spacing w:line="240" w:lineRule="auto"/>
              <w:rPr>
                <w:rFonts w:cs="Arial"/>
                <w:szCs w:val="16"/>
              </w:rPr>
            </w:pPr>
            <w:r>
              <w:rPr>
                <w:rFonts w:cs="Arial"/>
                <w:szCs w:val="16"/>
              </w:rPr>
              <w:t>[Hymenoptera: Formicidae]</w:t>
            </w:r>
          </w:p>
          <w:p w14:paraId="602FCB00"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Black ants</w:t>
            </w:r>
          </w:p>
        </w:tc>
        <w:tc>
          <w:tcPr>
            <w:tcW w:w="2146" w:type="dxa"/>
            <w:tcBorders>
              <w:left w:val="single" w:sz="2" w:space="0" w:color="999999"/>
              <w:bottom w:val="single" w:sz="2" w:space="0" w:color="auto"/>
              <w:right w:val="single" w:sz="2" w:space="0" w:color="999999"/>
            </w:tcBorders>
            <w:shd w:val="clear" w:color="auto" w:fill="FFFFFF"/>
          </w:tcPr>
          <w:p w14:paraId="248BA820"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CBDA766" w14:textId="77777777" w:rsidR="009D3DC8" w:rsidRDefault="009D3DC8">
            <w:pPr>
              <w:spacing w:before="60" w:after="60" w:line="240" w:lineRule="auto"/>
              <w:rPr>
                <w:rFonts w:ascii="Arial" w:hAnsi="Arial" w:cs="Arial"/>
                <w:sz w:val="16"/>
                <w:szCs w:val="16"/>
              </w:rPr>
            </w:pPr>
            <w:r>
              <w:rPr>
                <w:rFonts w:ascii="Arial" w:hAnsi="Arial" w:cs="Arial"/>
                <w:sz w:val="16"/>
                <w:szCs w:val="16"/>
              </w:rPr>
              <w:t>(Ito</w:t>
            </w:r>
            <w:r>
              <w:rPr>
                <w:rFonts w:ascii="Arial" w:hAnsi="Arial" w:cs="Arial"/>
                <w:i/>
                <w:sz w:val="16"/>
                <w:szCs w:val="16"/>
              </w:rPr>
              <w:t xml:space="preserve"> et al.</w:t>
            </w:r>
            <w:r>
              <w:rPr>
                <w:rFonts w:ascii="Arial" w:hAnsi="Arial" w:cs="Arial"/>
                <w:sz w:val="16"/>
                <w:szCs w:val="16"/>
              </w:rPr>
              <w:t xml:space="preserve"> 2001; 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32CBAA61"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A54192A" w14:textId="77777777" w:rsidR="009D3DC8" w:rsidRDefault="009D3DC8">
            <w:pPr>
              <w:spacing w:before="60" w:after="60" w:line="240" w:lineRule="auto"/>
              <w:rPr>
                <w:rFonts w:ascii="Arial" w:hAnsi="Arial" w:cs="Arial"/>
                <w:sz w:val="16"/>
                <w:szCs w:val="16"/>
              </w:rPr>
            </w:pPr>
            <w:r>
              <w:rPr>
                <w:rFonts w:ascii="Arial" w:hAnsi="Arial" w:cs="Arial"/>
                <w:i/>
                <w:sz w:val="16"/>
                <w:szCs w:val="16"/>
              </w:rPr>
              <w:t xml:space="preserve">Technomyrmex </w:t>
            </w:r>
            <w:r>
              <w:rPr>
                <w:rFonts w:ascii="Arial" w:hAnsi="Arial" w:cs="Arial"/>
                <w:sz w:val="16"/>
                <w:szCs w:val="16"/>
              </w:rPr>
              <w:t>sp</w:t>
            </w:r>
            <w:r>
              <w:rPr>
                <w:rFonts w:ascii="Arial" w:hAnsi="Arial" w:cs="Arial"/>
                <w:i/>
                <w:sz w:val="16"/>
                <w:szCs w:val="16"/>
              </w:rPr>
              <w:t>.</w:t>
            </w:r>
            <w:r>
              <w:rPr>
                <w:rFonts w:ascii="Arial" w:hAnsi="Arial" w:cs="Arial"/>
                <w:sz w:val="16"/>
                <w:szCs w:val="16"/>
              </w:rPr>
              <w:t xml:space="preserve"> including </w:t>
            </w:r>
            <w:r>
              <w:rPr>
                <w:rFonts w:ascii="Arial" w:hAnsi="Arial" w:cs="Arial"/>
                <w:i/>
                <w:sz w:val="16"/>
                <w:szCs w:val="16"/>
              </w:rPr>
              <w:t xml:space="preserve">Technomyrmex albipes </w:t>
            </w:r>
            <w:r>
              <w:rPr>
                <w:rFonts w:ascii="Arial" w:hAnsi="Arial" w:cs="Arial"/>
                <w:sz w:val="16"/>
                <w:szCs w:val="16"/>
              </w:rPr>
              <w:t>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17563681"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While the genus </w:t>
            </w:r>
            <w:r>
              <w:rPr>
                <w:rFonts w:ascii="Arial" w:hAnsi="Arial" w:cs="Arial"/>
                <w:i/>
                <w:sz w:val="16"/>
                <w:szCs w:val="16"/>
              </w:rPr>
              <w:t xml:space="preserve">Technomyrmex </w:t>
            </w:r>
            <w:r>
              <w:rPr>
                <w:rFonts w:ascii="Arial" w:hAnsi="Arial" w:cs="Arial"/>
                <w:sz w:val="16"/>
                <w:szCs w:val="16"/>
              </w:rPr>
              <w:t xml:space="preserve">is present in Australia, some individual species may not be present in Australia (AntWeb 2011). </w:t>
            </w:r>
          </w:p>
        </w:tc>
        <w:tc>
          <w:tcPr>
            <w:tcW w:w="2537" w:type="dxa"/>
            <w:vMerge/>
            <w:tcBorders>
              <w:left w:val="single" w:sz="2" w:space="0" w:color="999999"/>
              <w:right w:val="single" w:sz="2" w:space="0" w:color="999999"/>
            </w:tcBorders>
            <w:shd w:val="clear" w:color="auto" w:fill="FFFFFF"/>
          </w:tcPr>
          <w:p w14:paraId="6175A8F6"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79DFC4BF"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188BDC5C" w14:textId="77777777" w:rsidR="009D3DC8" w:rsidRDefault="009D3DC8">
            <w:pPr>
              <w:pStyle w:val="TableText1"/>
              <w:keepNext w:val="0"/>
              <w:rPr>
                <w:rFonts w:ascii="Arial" w:hAnsi="Arial" w:cs="Arial"/>
                <w:color w:val="auto"/>
                <w:szCs w:val="16"/>
              </w:rPr>
            </w:pPr>
          </w:p>
        </w:tc>
      </w:tr>
      <w:tr w:rsidR="009D3DC8" w14:paraId="05FAC8A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DAB8EA5" w14:textId="77777777" w:rsidR="009D3DC8" w:rsidRDefault="009D3DC8">
            <w:pPr>
              <w:pStyle w:val="TableText"/>
              <w:spacing w:line="240" w:lineRule="auto"/>
              <w:rPr>
                <w:rFonts w:cs="Arial"/>
                <w:i/>
                <w:szCs w:val="16"/>
              </w:rPr>
            </w:pPr>
            <w:r>
              <w:rPr>
                <w:rFonts w:cs="Arial"/>
                <w:i/>
                <w:szCs w:val="16"/>
              </w:rPr>
              <w:t xml:space="preserve">Tetramorium </w:t>
            </w:r>
            <w:r>
              <w:rPr>
                <w:rFonts w:cs="Arial"/>
                <w:szCs w:val="16"/>
              </w:rPr>
              <w:t>sp</w:t>
            </w:r>
            <w:r>
              <w:rPr>
                <w:rFonts w:cs="Arial"/>
                <w:i/>
                <w:szCs w:val="16"/>
              </w:rPr>
              <w:t>.</w:t>
            </w:r>
          </w:p>
          <w:p w14:paraId="098BFD47"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[Hymenoptera: Formicidae]</w:t>
            </w:r>
          </w:p>
        </w:tc>
        <w:tc>
          <w:tcPr>
            <w:tcW w:w="2146" w:type="dxa"/>
            <w:tcBorders>
              <w:left w:val="single" w:sz="2" w:space="0" w:color="999999"/>
              <w:bottom w:val="single" w:sz="2" w:space="0" w:color="auto"/>
              <w:right w:val="single" w:sz="2" w:space="0" w:color="999999"/>
            </w:tcBorders>
            <w:shd w:val="clear" w:color="auto" w:fill="FFFFFF"/>
          </w:tcPr>
          <w:p w14:paraId="5A803C2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04904FDB" w14:textId="77777777" w:rsidR="009D3DC8" w:rsidRDefault="009D3DC8">
            <w:pPr>
              <w:spacing w:before="60" w:after="60" w:line="240" w:lineRule="auto"/>
              <w:rPr>
                <w:rFonts w:ascii="Arial" w:hAnsi="Arial" w:cs="Arial"/>
                <w:sz w:val="16"/>
                <w:szCs w:val="16"/>
              </w:rPr>
            </w:pPr>
            <w:r>
              <w:rPr>
                <w:rFonts w:ascii="Arial" w:hAnsi="Arial" w:cs="Arial"/>
                <w:sz w:val="16"/>
                <w:szCs w:val="16"/>
              </w:rPr>
              <w:t>(Ito</w:t>
            </w:r>
            <w:r>
              <w:rPr>
                <w:rFonts w:ascii="Arial" w:hAnsi="Arial" w:cs="Arial"/>
                <w:i/>
                <w:sz w:val="16"/>
                <w:szCs w:val="16"/>
              </w:rPr>
              <w:t xml:space="preserve"> et al.</w:t>
            </w:r>
            <w:r>
              <w:rPr>
                <w:rFonts w:ascii="Arial" w:hAnsi="Arial" w:cs="Arial"/>
                <w:sz w:val="16"/>
                <w:szCs w:val="16"/>
              </w:rPr>
              <w:t xml:space="preserve"> 2001; Rizali</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2F543411" w14:textId="77777777" w:rsidR="009D3DC8" w:rsidRDefault="009D3DC8">
            <w:pPr>
              <w:spacing w:before="60" w:after="60" w:line="240" w:lineRule="auto"/>
              <w:rPr>
                <w:rFonts w:ascii="Arial" w:hAnsi="Arial" w:cs="Arial"/>
                <w:b/>
                <w:bCs/>
                <w:sz w:val="16"/>
                <w:szCs w:val="16"/>
              </w:rPr>
            </w:pPr>
            <w:r>
              <w:rPr>
                <w:rFonts w:ascii="Arial" w:hAnsi="Arial" w:cs="Arial"/>
                <w:sz w:val="16"/>
                <w:szCs w:val="16"/>
              </w:rPr>
              <w:t>Yes</w:t>
            </w:r>
          </w:p>
          <w:p w14:paraId="4C5E29CC" w14:textId="77777777" w:rsidR="009D3DC8" w:rsidRDefault="009D3DC8">
            <w:pPr>
              <w:spacing w:before="60" w:after="60" w:line="240" w:lineRule="auto"/>
              <w:rPr>
                <w:rFonts w:ascii="Arial" w:hAnsi="Arial" w:cs="Arial"/>
                <w:b/>
                <w:bCs/>
                <w:sz w:val="16"/>
                <w:szCs w:val="16"/>
              </w:rPr>
            </w:pPr>
            <w:r>
              <w:rPr>
                <w:rFonts w:ascii="Arial" w:hAnsi="Arial" w:cs="Arial"/>
                <w:i/>
                <w:sz w:val="16"/>
                <w:szCs w:val="16"/>
              </w:rPr>
              <w:t xml:space="preserve">Tetramorium </w:t>
            </w:r>
            <w:r>
              <w:rPr>
                <w:rFonts w:ascii="Arial" w:hAnsi="Arial" w:cs="Arial"/>
                <w:sz w:val="16"/>
                <w:szCs w:val="16"/>
              </w:rPr>
              <w:t>sp</w:t>
            </w:r>
            <w:r>
              <w:rPr>
                <w:rFonts w:ascii="Arial" w:hAnsi="Arial" w:cs="Arial"/>
                <w:i/>
                <w:sz w:val="16"/>
                <w:szCs w:val="16"/>
              </w:rPr>
              <w:t xml:space="preserve">. </w:t>
            </w:r>
            <w:r>
              <w:rPr>
                <w:rFonts w:ascii="Arial" w:hAnsi="Arial" w:cs="Arial"/>
                <w:sz w:val="16"/>
                <w:szCs w:val="16"/>
              </w:rPr>
              <w:t xml:space="preserve">has been intercepted on mangosteen from Thailand to Australia. </w:t>
            </w:r>
          </w:p>
        </w:tc>
        <w:tc>
          <w:tcPr>
            <w:tcW w:w="2007" w:type="dxa"/>
            <w:tcBorders>
              <w:left w:val="single" w:sz="2" w:space="0" w:color="999999"/>
              <w:bottom w:val="single" w:sz="2" w:space="0" w:color="auto"/>
              <w:right w:val="single" w:sz="2" w:space="0" w:color="999999"/>
            </w:tcBorders>
            <w:shd w:val="clear" w:color="auto" w:fill="FFFFFF"/>
          </w:tcPr>
          <w:p w14:paraId="537644BC"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While the genus </w:t>
            </w:r>
            <w:r>
              <w:rPr>
                <w:rFonts w:ascii="Arial" w:hAnsi="Arial" w:cs="Arial"/>
                <w:i/>
                <w:sz w:val="16"/>
                <w:szCs w:val="16"/>
              </w:rPr>
              <w:t xml:space="preserve">Tetramorium </w:t>
            </w:r>
            <w:r>
              <w:rPr>
                <w:rFonts w:ascii="Arial" w:hAnsi="Arial" w:cs="Arial"/>
                <w:sz w:val="16"/>
                <w:szCs w:val="16"/>
              </w:rPr>
              <w:t>is present in Australia, some individual species may not be present in Australia (AntWeb 2011).</w:t>
            </w:r>
          </w:p>
        </w:tc>
        <w:tc>
          <w:tcPr>
            <w:tcW w:w="2537" w:type="dxa"/>
            <w:vMerge/>
            <w:tcBorders>
              <w:left w:val="single" w:sz="2" w:space="0" w:color="999999"/>
              <w:right w:val="single" w:sz="2" w:space="0" w:color="999999"/>
            </w:tcBorders>
            <w:shd w:val="clear" w:color="auto" w:fill="FFFFFF"/>
          </w:tcPr>
          <w:p w14:paraId="7B37C107"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right w:val="single" w:sz="2" w:space="0" w:color="999999"/>
            </w:tcBorders>
            <w:shd w:val="clear" w:color="auto" w:fill="FFFFFF"/>
          </w:tcPr>
          <w:p w14:paraId="24F5167E"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tcBorders>
            <w:shd w:val="clear" w:color="auto" w:fill="FFFFFF"/>
          </w:tcPr>
          <w:p w14:paraId="696C9771" w14:textId="77777777" w:rsidR="009D3DC8" w:rsidRDefault="009D3DC8">
            <w:pPr>
              <w:pStyle w:val="TableText1"/>
              <w:keepNext w:val="0"/>
              <w:rPr>
                <w:rFonts w:ascii="Arial" w:hAnsi="Arial" w:cs="Arial"/>
                <w:color w:val="auto"/>
                <w:szCs w:val="16"/>
              </w:rPr>
            </w:pPr>
          </w:p>
        </w:tc>
      </w:tr>
      <w:tr w:rsidR="009D3DC8" w14:paraId="2022BDA4"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0F19401" w14:textId="77777777" w:rsidR="009D3DC8" w:rsidRDefault="009D3DC8">
            <w:pPr>
              <w:pStyle w:val="TableText"/>
              <w:spacing w:line="240" w:lineRule="auto"/>
              <w:rPr>
                <w:rFonts w:cs="Arial"/>
                <w:szCs w:val="16"/>
              </w:rPr>
            </w:pPr>
            <w:r>
              <w:rPr>
                <w:rFonts w:cs="Arial"/>
                <w:i/>
                <w:szCs w:val="16"/>
              </w:rPr>
              <w:t xml:space="preserve">Wasmannia auropunctata </w:t>
            </w:r>
            <w:r>
              <w:rPr>
                <w:rFonts w:cs="Arial"/>
                <w:szCs w:val="16"/>
              </w:rPr>
              <w:t>(Roger, 1863)</w:t>
            </w:r>
          </w:p>
          <w:p w14:paraId="4EC7A734" w14:textId="77777777" w:rsidR="009D3DC8" w:rsidRDefault="009D3DC8">
            <w:pPr>
              <w:pStyle w:val="TableText1"/>
              <w:keepNext w:val="0"/>
              <w:rPr>
                <w:rFonts w:ascii="Arial" w:hAnsi="Arial" w:cs="Arial"/>
                <w:color w:val="auto"/>
                <w:szCs w:val="16"/>
              </w:rPr>
            </w:pPr>
            <w:r>
              <w:rPr>
                <w:rFonts w:ascii="Arial" w:hAnsi="Arial" w:cs="Arial"/>
                <w:color w:val="auto"/>
                <w:szCs w:val="16"/>
              </w:rPr>
              <w:t>[Hymenoptera: Formicidae]</w:t>
            </w:r>
          </w:p>
          <w:p w14:paraId="5C66629D" w14:textId="77777777" w:rsidR="009D3DC8" w:rsidRDefault="009D3DC8">
            <w:pPr>
              <w:pStyle w:val="TableText1"/>
              <w:keepNext w:val="0"/>
              <w:rPr>
                <w:rFonts w:ascii="Arial" w:hAnsi="Arial" w:cs="Arial"/>
                <w:i/>
                <w:color w:val="auto"/>
                <w:szCs w:val="16"/>
                <w:highlight w:val="yellow"/>
                <w:lang w:val="en-US"/>
              </w:rPr>
            </w:pPr>
            <w:r>
              <w:rPr>
                <w:rFonts w:ascii="Arial" w:hAnsi="Arial" w:cs="Arial"/>
                <w:color w:val="auto"/>
                <w:szCs w:val="16"/>
              </w:rPr>
              <w:t>Electric ant; Little fire ant</w:t>
            </w:r>
          </w:p>
        </w:tc>
        <w:tc>
          <w:tcPr>
            <w:tcW w:w="2146" w:type="dxa"/>
            <w:tcBorders>
              <w:left w:val="single" w:sz="2" w:space="0" w:color="999999"/>
              <w:bottom w:val="single" w:sz="2" w:space="0" w:color="auto"/>
              <w:right w:val="single" w:sz="2" w:space="0" w:color="999999"/>
            </w:tcBorders>
            <w:shd w:val="clear" w:color="auto" w:fill="FFFFFF"/>
          </w:tcPr>
          <w:p w14:paraId="5EE1F57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D933E5C" w14:textId="77777777" w:rsidR="009D3DC8" w:rsidRDefault="009D3DC8">
            <w:pPr>
              <w:spacing w:before="60" w:after="60" w:line="240" w:lineRule="auto"/>
              <w:rPr>
                <w:rFonts w:ascii="Arial" w:hAnsi="Arial" w:cs="Arial"/>
                <w:sz w:val="16"/>
                <w:szCs w:val="16"/>
              </w:rPr>
            </w:pPr>
            <w:r>
              <w:rPr>
                <w:rFonts w:ascii="Arial" w:hAnsi="Arial" w:cs="Arial"/>
                <w:sz w:val="16"/>
                <w:szCs w:val="16"/>
              </w:rPr>
              <w:t>(Wetterer and Porter 2003)</w:t>
            </w:r>
          </w:p>
        </w:tc>
        <w:tc>
          <w:tcPr>
            <w:tcW w:w="2670" w:type="dxa"/>
            <w:tcBorders>
              <w:left w:val="single" w:sz="2" w:space="0" w:color="999999"/>
              <w:bottom w:val="single" w:sz="2" w:space="0" w:color="auto"/>
              <w:right w:val="single" w:sz="2" w:space="0" w:color="999999"/>
            </w:tcBorders>
            <w:shd w:val="clear" w:color="auto" w:fill="FFFFFF"/>
          </w:tcPr>
          <w:p w14:paraId="34CC1E9F"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5BF9361" w14:textId="77777777" w:rsidR="009D3DC8" w:rsidRDefault="009D3DC8">
            <w:pPr>
              <w:spacing w:before="60" w:after="60" w:line="240" w:lineRule="auto"/>
              <w:rPr>
                <w:rFonts w:ascii="Arial" w:hAnsi="Arial" w:cs="Arial"/>
                <w:b/>
                <w:bCs/>
                <w:sz w:val="16"/>
                <w:szCs w:val="16"/>
              </w:rPr>
            </w:pPr>
            <w:r>
              <w:rPr>
                <w:rFonts w:ascii="Arial" w:hAnsi="Arial" w:cs="Arial"/>
                <w:sz w:val="16"/>
                <w:szCs w:val="16"/>
              </w:rPr>
              <w:t>Has been recorded on mangosteen in Hawaii, and it attacks the leaf, stem, and fruit (USDA-APHIS 2006).</w:t>
            </w:r>
          </w:p>
        </w:tc>
        <w:tc>
          <w:tcPr>
            <w:tcW w:w="2007" w:type="dxa"/>
            <w:tcBorders>
              <w:left w:val="single" w:sz="2" w:space="0" w:color="999999"/>
              <w:bottom w:val="single" w:sz="2" w:space="0" w:color="auto"/>
              <w:right w:val="single" w:sz="2" w:space="0" w:color="999999"/>
            </w:tcBorders>
            <w:shd w:val="clear" w:color="auto" w:fill="FFFFFF"/>
          </w:tcPr>
          <w:p w14:paraId="7185AD01" w14:textId="77777777" w:rsidR="009D3DC8" w:rsidRDefault="009D3DC8">
            <w:pPr>
              <w:spacing w:before="60" w:after="60" w:line="240" w:lineRule="auto"/>
              <w:rPr>
                <w:rFonts w:ascii="Arial" w:hAnsi="Arial" w:cs="Arial"/>
                <w:b/>
                <w:bCs/>
                <w:sz w:val="16"/>
                <w:szCs w:val="16"/>
              </w:rPr>
            </w:pPr>
            <w:r>
              <w:rPr>
                <w:rFonts w:ascii="Arial" w:hAnsi="Arial" w:cs="Arial"/>
                <w:sz w:val="16"/>
                <w:szCs w:val="16"/>
              </w:rPr>
              <w:t>Yes. A declared pest and under official control in Qld (Windle 2011). Quarantine pest for Tas. (DPIPWE 2009).</w:t>
            </w:r>
          </w:p>
        </w:tc>
        <w:tc>
          <w:tcPr>
            <w:tcW w:w="2537" w:type="dxa"/>
            <w:vMerge/>
            <w:tcBorders>
              <w:left w:val="single" w:sz="2" w:space="0" w:color="999999"/>
              <w:bottom w:val="single" w:sz="2" w:space="0" w:color="auto"/>
              <w:right w:val="single" w:sz="2" w:space="0" w:color="999999"/>
            </w:tcBorders>
            <w:shd w:val="clear" w:color="auto" w:fill="FFFFFF"/>
          </w:tcPr>
          <w:p w14:paraId="304AE51E" w14:textId="77777777" w:rsidR="009D3DC8" w:rsidRDefault="009D3DC8">
            <w:pPr>
              <w:pStyle w:val="TableText1"/>
              <w:keepNext w:val="0"/>
              <w:rPr>
                <w:rFonts w:ascii="Arial" w:hAnsi="Arial" w:cs="Arial"/>
                <w:color w:val="auto"/>
                <w:szCs w:val="16"/>
              </w:rPr>
            </w:pPr>
          </w:p>
        </w:tc>
        <w:tc>
          <w:tcPr>
            <w:tcW w:w="2270" w:type="dxa"/>
            <w:gridSpan w:val="2"/>
            <w:vMerge/>
            <w:tcBorders>
              <w:left w:val="single" w:sz="2" w:space="0" w:color="999999"/>
              <w:bottom w:val="single" w:sz="2" w:space="0" w:color="auto"/>
              <w:right w:val="single" w:sz="2" w:space="0" w:color="999999"/>
            </w:tcBorders>
            <w:shd w:val="clear" w:color="auto" w:fill="FFFFFF"/>
          </w:tcPr>
          <w:p w14:paraId="44447D26" w14:textId="77777777" w:rsidR="009D3DC8" w:rsidRDefault="009D3DC8">
            <w:pPr>
              <w:pStyle w:val="TableText1"/>
              <w:keepNext w:val="0"/>
              <w:rPr>
                <w:rFonts w:ascii="Arial" w:hAnsi="Arial" w:cs="Arial"/>
                <w:color w:val="auto"/>
                <w:szCs w:val="16"/>
              </w:rPr>
            </w:pPr>
          </w:p>
        </w:tc>
        <w:tc>
          <w:tcPr>
            <w:tcW w:w="1163" w:type="dxa"/>
            <w:vMerge/>
            <w:tcBorders>
              <w:left w:val="single" w:sz="2" w:space="0" w:color="999999"/>
              <w:bottom w:val="single" w:sz="2" w:space="0" w:color="auto"/>
            </w:tcBorders>
            <w:shd w:val="clear" w:color="auto" w:fill="FFFFFF"/>
          </w:tcPr>
          <w:p w14:paraId="1281FF10" w14:textId="77777777" w:rsidR="009D3DC8" w:rsidRDefault="009D3DC8">
            <w:pPr>
              <w:pStyle w:val="TableText1"/>
              <w:keepNext w:val="0"/>
              <w:rPr>
                <w:rFonts w:ascii="Arial" w:hAnsi="Arial" w:cs="Arial"/>
                <w:color w:val="auto"/>
                <w:szCs w:val="16"/>
              </w:rPr>
            </w:pPr>
          </w:p>
        </w:tc>
      </w:tr>
      <w:tr w:rsidR="009D3DC8" w14:paraId="64467701" w14:textId="77777777">
        <w:trPr>
          <w:cantSplit/>
          <w:trHeight w:val="75"/>
          <w:jc w:val="center"/>
        </w:trPr>
        <w:tc>
          <w:tcPr>
            <w:tcW w:w="15840" w:type="dxa"/>
            <w:gridSpan w:val="9"/>
            <w:tcBorders>
              <w:bottom w:val="single" w:sz="2" w:space="0" w:color="auto"/>
            </w:tcBorders>
            <w:shd w:val="clear" w:color="auto" w:fill="E6E6E6"/>
          </w:tcPr>
          <w:p w14:paraId="6FD1F239" w14:textId="77777777" w:rsidR="009D3DC8" w:rsidRDefault="009D3DC8">
            <w:pPr>
              <w:pStyle w:val="TableText1"/>
              <w:rPr>
                <w:rFonts w:ascii="Arial" w:hAnsi="Arial" w:cs="Arial"/>
                <w:color w:val="auto"/>
                <w:szCs w:val="16"/>
              </w:rPr>
            </w:pPr>
            <w:r>
              <w:rPr>
                <w:rFonts w:ascii="Arial" w:hAnsi="Arial" w:cs="Arial"/>
                <w:b/>
                <w:color w:val="auto"/>
                <w:szCs w:val="16"/>
              </w:rPr>
              <w:t>Order Lepidoptera</w:t>
            </w:r>
          </w:p>
        </w:tc>
      </w:tr>
      <w:tr w:rsidR="009D3DC8" w14:paraId="6DE94B0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7E505CC4" w14:textId="77777777" w:rsidR="009D3DC8" w:rsidRDefault="009D3DC8">
            <w:pPr>
              <w:pStyle w:val="TableText"/>
              <w:spacing w:line="240" w:lineRule="auto"/>
              <w:rPr>
                <w:rFonts w:cs="Arial"/>
                <w:szCs w:val="16"/>
              </w:rPr>
            </w:pPr>
            <w:r>
              <w:rPr>
                <w:rFonts w:cs="Arial"/>
                <w:i/>
                <w:szCs w:val="16"/>
              </w:rPr>
              <w:t>Adoxophyes privatana</w:t>
            </w:r>
            <w:r>
              <w:rPr>
                <w:rFonts w:cs="Arial"/>
                <w:szCs w:val="16"/>
              </w:rPr>
              <w:t xml:space="preserve"> (Walker, 1863)</w:t>
            </w:r>
          </w:p>
          <w:p w14:paraId="6C03D19F" w14:textId="77777777" w:rsidR="009D3DC8" w:rsidRDefault="009D3DC8">
            <w:pPr>
              <w:pStyle w:val="TableText"/>
              <w:spacing w:line="240" w:lineRule="auto"/>
              <w:rPr>
                <w:rFonts w:cs="Arial"/>
                <w:szCs w:val="16"/>
              </w:rPr>
            </w:pPr>
            <w:r>
              <w:rPr>
                <w:rFonts w:cs="Arial"/>
                <w:szCs w:val="16"/>
              </w:rPr>
              <w:t xml:space="preserve">[Lepidoptera: Tortricidae] </w:t>
            </w:r>
          </w:p>
          <w:p w14:paraId="698DBBDE"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Apple leaf-curling moth</w:t>
            </w:r>
          </w:p>
        </w:tc>
        <w:tc>
          <w:tcPr>
            <w:tcW w:w="2146" w:type="dxa"/>
            <w:tcBorders>
              <w:left w:val="single" w:sz="2" w:space="0" w:color="999999"/>
              <w:bottom w:val="single" w:sz="2" w:space="0" w:color="auto"/>
              <w:right w:val="single" w:sz="2" w:space="0" w:color="999999"/>
            </w:tcBorders>
            <w:shd w:val="clear" w:color="auto" w:fill="FFFFFF"/>
          </w:tcPr>
          <w:p w14:paraId="7D6D1E4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E2F291D" w14:textId="77777777" w:rsidR="009D3DC8" w:rsidRDefault="009D3DC8">
            <w:pPr>
              <w:spacing w:before="60" w:after="60" w:line="240" w:lineRule="auto"/>
              <w:rPr>
                <w:rFonts w:ascii="Arial" w:hAnsi="Arial" w:cs="Arial"/>
                <w:sz w:val="16"/>
                <w:szCs w:val="16"/>
              </w:rPr>
            </w:pPr>
            <w:r>
              <w:rPr>
                <w:rFonts w:ascii="Arial" w:hAnsi="Arial" w:cs="Arial"/>
                <w:sz w:val="16"/>
                <w:szCs w:val="16"/>
              </w:rPr>
              <w:t>(Kalshoven 1981; Waterhouse 1993)</w:t>
            </w:r>
          </w:p>
        </w:tc>
        <w:tc>
          <w:tcPr>
            <w:tcW w:w="2670" w:type="dxa"/>
            <w:tcBorders>
              <w:left w:val="single" w:sz="2" w:space="0" w:color="999999"/>
              <w:bottom w:val="single" w:sz="2" w:space="0" w:color="auto"/>
              <w:right w:val="single" w:sz="2" w:space="0" w:color="999999"/>
            </w:tcBorders>
            <w:shd w:val="clear" w:color="auto" w:fill="FFFFFF"/>
          </w:tcPr>
          <w:p w14:paraId="524914AD"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58AB1434" w14:textId="77777777" w:rsidR="009D3DC8" w:rsidRDefault="009D3DC8">
            <w:pPr>
              <w:spacing w:before="60" w:after="60" w:line="240" w:lineRule="auto"/>
              <w:rPr>
                <w:rFonts w:ascii="Arial" w:hAnsi="Arial" w:cs="Arial"/>
                <w:sz w:val="16"/>
                <w:szCs w:val="16"/>
              </w:rPr>
            </w:pPr>
            <w:r>
              <w:rPr>
                <w:rFonts w:ascii="Arial" w:hAnsi="Arial" w:cs="Arial"/>
                <w:sz w:val="16"/>
                <w:szCs w:val="16"/>
              </w:rPr>
              <w:t>Rolls the leaves of mangosteen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3632E330"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5942692D" w14:textId="77777777" w:rsidR="009D3DC8" w:rsidRDefault="009D3DC8">
            <w:pPr>
              <w:spacing w:before="60" w:after="60" w:line="240" w:lineRule="auto"/>
              <w:rPr>
                <w:rFonts w:ascii="Arial" w:hAnsi="Arial" w:cs="Arial"/>
                <w:sz w:val="16"/>
                <w:szCs w:val="16"/>
              </w:rPr>
            </w:pPr>
            <w:r>
              <w:rPr>
                <w:rFonts w:ascii="Arial" w:hAnsi="Arial" w:cs="Arial"/>
                <w:sz w:val="16"/>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3C9BACA" w14:textId="77777777" w:rsidR="009D3DC8" w:rsidRDefault="009D3DC8">
            <w:pPr>
              <w:spacing w:before="60" w:after="60" w:line="240" w:lineRule="auto"/>
              <w:rPr>
                <w:rFonts w:ascii="Arial" w:hAnsi="Arial" w:cs="Arial"/>
                <w:sz w:val="16"/>
                <w:szCs w:val="16"/>
              </w:rPr>
            </w:pPr>
            <w:r>
              <w:rPr>
                <w:rFonts w:ascii="Arial" w:hAnsi="Arial" w:cs="Arial"/>
                <w:sz w:val="16"/>
                <w:szCs w:val="16"/>
              </w:rPr>
              <w:t>Assessment not required</w:t>
            </w:r>
          </w:p>
        </w:tc>
        <w:tc>
          <w:tcPr>
            <w:tcW w:w="1163" w:type="dxa"/>
            <w:tcBorders>
              <w:left w:val="single" w:sz="2" w:space="0" w:color="999999"/>
              <w:bottom w:val="single" w:sz="2" w:space="0" w:color="auto"/>
            </w:tcBorders>
            <w:shd w:val="clear" w:color="auto" w:fill="FFFFFF"/>
          </w:tcPr>
          <w:p w14:paraId="4D0FB03F"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469BF649"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9F1670D" w14:textId="77777777" w:rsidR="009D3DC8" w:rsidRDefault="009D3DC8">
            <w:pPr>
              <w:pStyle w:val="TableText"/>
              <w:spacing w:line="240" w:lineRule="auto"/>
              <w:rPr>
                <w:rFonts w:cs="Arial"/>
                <w:szCs w:val="16"/>
              </w:rPr>
            </w:pPr>
            <w:r>
              <w:rPr>
                <w:rFonts w:cs="Arial"/>
                <w:i/>
                <w:szCs w:val="16"/>
              </w:rPr>
              <w:t>Aetholix flavibasalis</w:t>
            </w:r>
            <w:r>
              <w:rPr>
                <w:rFonts w:cs="Arial"/>
                <w:szCs w:val="16"/>
              </w:rPr>
              <w:t xml:space="preserve"> Guenée 1854</w:t>
            </w:r>
          </w:p>
          <w:p w14:paraId="2D0B2714"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Crambidae]</w:t>
            </w:r>
          </w:p>
        </w:tc>
        <w:tc>
          <w:tcPr>
            <w:tcW w:w="2146" w:type="dxa"/>
            <w:tcBorders>
              <w:left w:val="single" w:sz="2" w:space="0" w:color="999999"/>
              <w:bottom w:val="single" w:sz="2" w:space="0" w:color="auto"/>
              <w:right w:val="single" w:sz="2" w:space="0" w:color="999999"/>
            </w:tcBorders>
            <w:shd w:val="clear" w:color="auto" w:fill="FFFFFF"/>
          </w:tcPr>
          <w:p w14:paraId="1FE6FD70"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B957CFD" w14:textId="77777777" w:rsidR="009D3DC8" w:rsidRDefault="009D3DC8">
            <w:pPr>
              <w:spacing w:before="60" w:after="60" w:line="240" w:lineRule="auto"/>
              <w:rPr>
                <w:rFonts w:ascii="Arial" w:hAnsi="Arial" w:cs="Arial"/>
                <w:sz w:val="16"/>
                <w:szCs w:val="16"/>
              </w:rPr>
            </w:pPr>
            <w:r>
              <w:rPr>
                <w:rFonts w:ascii="Arial" w:hAnsi="Arial" w:cs="Arial"/>
                <w:sz w:val="16"/>
                <w:szCs w:val="16"/>
              </w:rPr>
              <w:t>(Ades and Kendrick 2004)</w:t>
            </w:r>
          </w:p>
        </w:tc>
        <w:tc>
          <w:tcPr>
            <w:tcW w:w="2670" w:type="dxa"/>
            <w:tcBorders>
              <w:left w:val="single" w:sz="2" w:space="0" w:color="999999"/>
              <w:bottom w:val="single" w:sz="2" w:space="0" w:color="auto"/>
              <w:right w:val="single" w:sz="2" w:space="0" w:color="999999"/>
            </w:tcBorders>
            <w:shd w:val="clear" w:color="auto" w:fill="FFFFFF"/>
          </w:tcPr>
          <w:p w14:paraId="30E8E4CE"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719E8614" w14:textId="77777777" w:rsidR="009D3DC8" w:rsidRDefault="009D3DC8">
            <w:pPr>
              <w:spacing w:before="60" w:after="60" w:line="240" w:lineRule="auto"/>
              <w:rPr>
                <w:rFonts w:ascii="Arial" w:hAnsi="Arial" w:cs="Arial"/>
                <w:sz w:val="16"/>
                <w:szCs w:val="16"/>
              </w:rPr>
            </w:pPr>
            <w:r>
              <w:rPr>
                <w:rFonts w:ascii="Arial" w:hAnsi="Arial" w:cs="Arial"/>
                <w:sz w:val="16"/>
                <w:szCs w:val="16"/>
              </w:rPr>
              <w:t>Rolls the leaves of mangosteen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698AA5E6"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070B537B" w14:textId="77777777" w:rsidR="009D3DC8" w:rsidRDefault="009D3DC8">
            <w:pPr>
              <w:spacing w:before="60" w:after="60" w:line="240" w:lineRule="auto"/>
              <w:rPr>
                <w:rFonts w:ascii="Arial" w:hAnsi="Arial" w:cs="Arial"/>
                <w:sz w:val="16"/>
                <w:szCs w:val="16"/>
              </w:rPr>
            </w:pPr>
            <w:r>
              <w:rPr>
                <w:rFonts w:ascii="Arial" w:hAnsi="Arial" w:cs="Arial"/>
                <w:sz w:val="16"/>
                <w:szCs w:val="16"/>
              </w:rPr>
              <w:t>(ABRS 2009)</w:t>
            </w:r>
          </w:p>
        </w:tc>
        <w:tc>
          <w:tcPr>
            <w:tcW w:w="2537" w:type="dxa"/>
            <w:tcBorders>
              <w:left w:val="single" w:sz="2" w:space="0" w:color="999999"/>
              <w:bottom w:val="single" w:sz="2" w:space="0" w:color="auto"/>
              <w:right w:val="single" w:sz="2" w:space="0" w:color="999999"/>
            </w:tcBorders>
            <w:shd w:val="clear" w:color="auto" w:fill="FFFFFF"/>
          </w:tcPr>
          <w:p w14:paraId="588E50E0"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6C18E3E"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2A7ADDCE"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7CC7D02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8442F2D" w14:textId="77777777" w:rsidR="009D3DC8" w:rsidRDefault="009D3DC8">
            <w:pPr>
              <w:pStyle w:val="TableText"/>
              <w:spacing w:line="240" w:lineRule="auto"/>
              <w:rPr>
                <w:rFonts w:cs="Arial"/>
                <w:i/>
                <w:szCs w:val="16"/>
              </w:rPr>
            </w:pPr>
            <w:r>
              <w:rPr>
                <w:rFonts w:cs="Arial"/>
                <w:i/>
                <w:szCs w:val="16"/>
              </w:rPr>
              <w:t xml:space="preserve">Argyroploce </w:t>
            </w:r>
            <w:r>
              <w:rPr>
                <w:rFonts w:cs="Arial"/>
                <w:szCs w:val="16"/>
              </w:rPr>
              <w:t>sp.</w:t>
            </w:r>
          </w:p>
          <w:p w14:paraId="1AD2B754"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Tortricidae]</w:t>
            </w:r>
          </w:p>
        </w:tc>
        <w:tc>
          <w:tcPr>
            <w:tcW w:w="2146" w:type="dxa"/>
            <w:tcBorders>
              <w:left w:val="single" w:sz="2" w:space="0" w:color="999999"/>
              <w:bottom w:val="single" w:sz="2" w:space="0" w:color="auto"/>
              <w:right w:val="single" w:sz="2" w:space="0" w:color="999999"/>
            </w:tcBorders>
            <w:shd w:val="clear" w:color="auto" w:fill="FFFFFF"/>
          </w:tcPr>
          <w:p w14:paraId="20CFCD29"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EFE67D9" w14:textId="77777777" w:rsidR="009D3DC8" w:rsidRDefault="009D3DC8">
            <w:pPr>
              <w:spacing w:before="60" w:after="60" w:line="240" w:lineRule="auto"/>
              <w:rPr>
                <w:rFonts w:ascii="Arial" w:hAnsi="Arial" w:cs="Arial"/>
                <w:sz w:val="16"/>
                <w:szCs w:val="16"/>
              </w:rPr>
            </w:pPr>
            <w:r>
              <w:rPr>
                <w:rFonts w:ascii="Arial" w:hAnsi="Arial" w:cs="Arial"/>
                <w:sz w:val="16"/>
                <w:szCs w:val="16"/>
              </w:rPr>
              <w:t>(Brown</w:t>
            </w:r>
            <w:r>
              <w:rPr>
                <w:rFonts w:ascii="Arial" w:hAnsi="Arial" w:cs="Arial"/>
                <w:i/>
                <w:sz w:val="16"/>
                <w:szCs w:val="16"/>
              </w:rPr>
              <w:t xml:space="preserve"> et al.</w:t>
            </w:r>
            <w:r>
              <w:rPr>
                <w:rFonts w:ascii="Arial" w:hAnsi="Arial" w:cs="Arial"/>
                <w:sz w:val="16"/>
                <w:szCs w:val="16"/>
              </w:rPr>
              <w:t xml:space="preserve"> 2008)</w:t>
            </w:r>
          </w:p>
        </w:tc>
        <w:tc>
          <w:tcPr>
            <w:tcW w:w="2670" w:type="dxa"/>
            <w:tcBorders>
              <w:left w:val="single" w:sz="2" w:space="0" w:color="999999"/>
              <w:bottom w:val="single" w:sz="2" w:space="0" w:color="auto"/>
              <w:right w:val="single" w:sz="2" w:space="0" w:color="999999"/>
            </w:tcBorders>
            <w:shd w:val="clear" w:color="auto" w:fill="FFFFFF"/>
          </w:tcPr>
          <w:p w14:paraId="60E2D462"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78FAAAA9" w14:textId="77777777" w:rsidR="009D3DC8" w:rsidRDefault="009D3DC8">
            <w:pPr>
              <w:spacing w:before="60" w:after="60" w:line="240" w:lineRule="auto"/>
              <w:rPr>
                <w:rFonts w:ascii="Arial" w:hAnsi="Arial" w:cs="Arial"/>
                <w:sz w:val="16"/>
                <w:szCs w:val="16"/>
              </w:rPr>
            </w:pPr>
            <w:r>
              <w:rPr>
                <w:rFonts w:ascii="Arial" w:hAnsi="Arial" w:cs="Arial"/>
                <w:sz w:val="16"/>
                <w:szCs w:val="16"/>
              </w:rPr>
              <w:t>Associated with mangosteen leaves (Yunus and Ho 1980).</w:t>
            </w:r>
          </w:p>
        </w:tc>
        <w:tc>
          <w:tcPr>
            <w:tcW w:w="2007" w:type="dxa"/>
            <w:tcBorders>
              <w:left w:val="single" w:sz="2" w:space="0" w:color="999999"/>
              <w:bottom w:val="single" w:sz="2" w:space="0" w:color="auto"/>
              <w:right w:val="single" w:sz="2" w:space="0" w:color="999999"/>
            </w:tcBorders>
            <w:shd w:val="clear" w:color="auto" w:fill="FFFFFF"/>
          </w:tcPr>
          <w:p w14:paraId="43720749"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088E58F5"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7F775E3"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4B7258DC"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54BB51F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8886486" w14:textId="77777777" w:rsidR="009D3DC8" w:rsidRDefault="009D3DC8">
            <w:pPr>
              <w:pStyle w:val="TableText"/>
              <w:spacing w:line="240" w:lineRule="auto"/>
              <w:rPr>
                <w:rFonts w:cs="Arial"/>
                <w:szCs w:val="16"/>
              </w:rPr>
            </w:pPr>
            <w:r>
              <w:rPr>
                <w:rFonts w:cs="Arial"/>
                <w:i/>
                <w:szCs w:val="16"/>
              </w:rPr>
              <w:t xml:space="preserve">Acrocercops </w:t>
            </w:r>
            <w:r>
              <w:rPr>
                <w:rFonts w:cs="Arial"/>
                <w:szCs w:val="16"/>
              </w:rPr>
              <w:t>sp.</w:t>
            </w:r>
          </w:p>
          <w:p w14:paraId="438516C3"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Gracillariidae]</w:t>
            </w:r>
          </w:p>
        </w:tc>
        <w:tc>
          <w:tcPr>
            <w:tcW w:w="2146" w:type="dxa"/>
            <w:tcBorders>
              <w:left w:val="single" w:sz="2" w:space="0" w:color="999999"/>
              <w:bottom w:val="single" w:sz="2" w:space="0" w:color="auto"/>
              <w:right w:val="single" w:sz="2" w:space="0" w:color="999999"/>
            </w:tcBorders>
            <w:shd w:val="clear" w:color="auto" w:fill="FFFFFF"/>
          </w:tcPr>
          <w:p w14:paraId="63C70583"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52B6826" w14:textId="77777777" w:rsidR="009D3DC8" w:rsidRDefault="009D3DC8">
            <w:pPr>
              <w:spacing w:before="60" w:after="60" w:line="240" w:lineRule="auto"/>
              <w:rPr>
                <w:rFonts w:ascii="Arial" w:hAnsi="Arial" w:cs="Arial"/>
                <w:sz w:val="16"/>
                <w:szCs w:val="16"/>
              </w:rPr>
            </w:pPr>
            <w:r>
              <w:rPr>
                <w:rFonts w:ascii="Arial" w:hAnsi="Arial" w:cs="Arial"/>
                <w:sz w:val="16"/>
                <w:szCs w:val="16"/>
              </w:rPr>
              <w:t>(de Prins and de Prins 2010)</w:t>
            </w:r>
          </w:p>
        </w:tc>
        <w:tc>
          <w:tcPr>
            <w:tcW w:w="2670" w:type="dxa"/>
            <w:tcBorders>
              <w:left w:val="single" w:sz="2" w:space="0" w:color="999999"/>
              <w:bottom w:val="single" w:sz="2" w:space="0" w:color="auto"/>
              <w:right w:val="single" w:sz="2" w:space="0" w:color="999999"/>
            </w:tcBorders>
            <w:shd w:val="clear" w:color="auto" w:fill="FFFFFF"/>
          </w:tcPr>
          <w:p w14:paraId="4D4779C8"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4A17D0C9" w14:textId="77777777" w:rsidR="009D3DC8" w:rsidRDefault="009D3DC8">
            <w:pPr>
              <w:spacing w:before="60" w:after="60" w:line="240" w:lineRule="auto"/>
              <w:rPr>
                <w:rFonts w:ascii="Arial" w:hAnsi="Arial" w:cs="Arial"/>
                <w:sz w:val="16"/>
                <w:szCs w:val="16"/>
              </w:rPr>
            </w:pPr>
            <w:r>
              <w:rPr>
                <w:rFonts w:ascii="Arial" w:hAnsi="Arial" w:cs="Arial"/>
                <w:sz w:val="16"/>
                <w:szCs w:val="16"/>
              </w:rPr>
              <w:t>Associated with mangosteen leaves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0EB194C7"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4DA53D08"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7233239"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7C4A9822"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3A139CE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144C6F4" w14:textId="77777777" w:rsidR="009D3DC8" w:rsidRDefault="009D3DC8">
            <w:pPr>
              <w:pStyle w:val="TableText"/>
              <w:spacing w:line="240" w:lineRule="auto"/>
              <w:rPr>
                <w:rFonts w:cs="Arial"/>
                <w:szCs w:val="16"/>
              </w:rPr>
            </w:pPr>
            <w:r>
              <w:rPr>
                <w:rFonts w:cs="Arial"/>
                <w:i/>
                <w:szCs w:val="16"/>
              </w:rPr>
              <w:lastRenderedPageBreak/>
              <w:t xml:space="preserve">Cydia </w:t>
            </w:r>
            <w:r>
              <w:rPr>
                <w:rFonts w:cs="Arial"/>
                <w:szCs w:val="16"/>
              </w:rPr>
              <w:t>sp.</w:t>
            </w:r>
          </w:p>
          <w:p w14:paraId="36913E08"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Tortricidae]</w:t>
            </w:r>
          </w:p>
        </w:tc>
        <w:tc>
          <w:tcPr>
            <w:tcW w:w="2146" w:type="dxa"/>
            <w:tcBorders>
              <w:left w:val="single" w:sz="2" w:space="0" w:color="999999"/>
              <w:bottom w:val="single" w:sz="2" w:space="0" w:color="auto"/>
              <w:right w:val="single" w:sz="2" w:space="0" w:color="999999"/>
            </w:tcBorders>
            <w:shd w:val="clear" w:color="auto" w:fill="FFFFFF"/>
          </w:tcPr>
          <w:p w14:paraId="7D058601"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Yes </w:t>
            </w:r>
          </w:p>
          <w:p w14:paraId="57F2D10B" w14:textId="77777777" w:rsidR="009D3DC8" w:rsidRDefault="009D3DC8">
            <w:pPr>
              <w:spacing w:before="60" w:after="60" w:line="240" w:lineRule="auto"/>
              <w:rPr>
                <w:rFonts w:ascii="Arial" w:hAnsi="Arial" w:cs="Arial"/>
                <w:sz w:val="16"/>
                <w:szCs w:val="16"/>
              </w:rPr>
            </w:pPr>
            <w:r>
              <w:rPr>
                <w:rFonts w:ascii="Arial" w:hAnsi="Arial" w:cs="Arial"/>
                <w:sz w:val="16"/>
                <w:szCs w:val="16"/>
              </w:rPr>
              <w:t>(de Meijere 1938; CABI 2011)</w:t>
            </w:r>
          </w:p>
        </w:tc>
        <w:tc>
          <w:tcPr>
            <w:tcW w:w="2670" w:type="dxa"/>
            <w:tcBorders>
              <w:left w:val="single" w:sz="2" w:space="0" w:color="999999"/>
              <w:bottom w:val="single" w:sz="2" w:space="0" w:color="auto"/>
              <w:right w:val="single" w:sz="2" w:space="0" w:color="999999"/>
            </w:tcBorders>
            <w:shd w:val="clear" w:color="auto" w:fill="FFFFFF"/>
          </w:tcPr>
          <w:p w14:paraId="194A766E"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58AE0EDC" w14:textId="77777777" w:rsidR="009D3DC8" w:rsidRDefault="009D3DC8">
            <w:pPr>
              <w:spacing w:before="60" w:after="60" w:line="240" w:lineRule="auto"/>
              <w:rPr>
                <w:rFonts w:ascii="Arial" w:hAnsi="Arial" w:cs="Arial"/>
                <w:sz w:val="16"/>
                <w:szCs w:val="16"/>
              </w:rPr>
            </w:pPr>
            <w:r>
              <w:rPr>
                <w:rFonts w:ascii="Arial" w:hAnsi="Arial" w:cs="Arial"/>
                <w:i/>
                <w:sz w:val="16"/>
                <w:szCs w:val="16"/>
              </w:rPr>
              <w:t>Garcinia mangostana</w:t>
            </w:r>
            <w:r>
              <w:rPr>
                <w:rFonts w:ascii="Arial" w:hAnsi="Arial" w:cs="Arial"/>
                <w:sz w:val="16"/>
                <w:szCs w:val="16"/>
              </w:rPr>
              <w:t xml:space="preserve"> recorded as a host (Robinson</w:t>
            </w:r>
            <w:r>
              <w:rPr>
                <w:rFonts w:ascii="Arial" w:hAnsi="Arial" w:cs="Arial"/>
                <w:i/>
                <w:sz w:val="16"/>
                <w:szCs w:val="16"/>
              </w:rPr>
              <w:t xml:space="preserve"> et al.</w:t>
            </w:r>
            <w:r>
              <w:rPr>
                <w:rFonts w:ascii="Arial" w:hAnsi="Arial" w:cs="Arial"/>
                <w:sz w:val="16"/>
                <w:szCs w:val="16"/>
              </w:rPr>
              <w:t xml:space="preserve"> 2010). No records of association with mangosteen fruit.</w:t>
            </w:r>
          </w:p>
        </w:tc>
        <w:tc>
          <w:tcPr>
            <w:tcW w:w="2007" w:type="dxa"/>
            <w:tcBorders>
              <w:left w:val="single" w:sz="2" w:space="0" w:color="999999"/>
              <w:bottom w:val="single" w:sz="2" w:space="0" w:color="auto"/>
              <w:right w:val="single" w:sz="2" w:space="0" w:color="999999"/>
            </w:tcBorders>
            <w:shd w:val="clear" w:color="auto" w:fill="FFFFFF"/>
          </w:tcPr>
          <w:p w14:paraId="287CF0E7"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5C32A5BC"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E0CF2A5"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71C55325"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123DEF7D"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D779B32" w14:textId="77777777" w:rsidR="009D3DC8" w:rsidRDefault="009D3DC8">
            <w:pPr>
              <w:pStyle w:val="TableText"/>
              <w:spacing w:line="240" w:lineRule="auto"/>
              <w:rPr>
                <w:rFonts w:cs="Arial"/>
                <w:szCs w:val="16"/>
              </w:rPr>
            </w:pPr>
            <w:r>
              <w:rPr>
                <w:rFonts w:cs="Arial"/>
                <w:i/>
                <w:szCs w:val="16"/>
              </w:rPr>
              <w:t xml:space="preserve">Dudua aprobola </w:t>
            </w:r>
            <w:r>
              <w:rPr>
                <w:rFonts w:cs="Arial"/>
                <w:szCs w:val="16"/>
              </w:rPr>
              <w:t>(Meyrick 1886)</w:t>
            </w:r>
          </w:p>
          <w:p w14:paraId="10898D02"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Tortricidae]</w:t>
            </w:r>
          </w:p>
        </w:tc>
        <w:tc>
          <w:tcPr>
            <w:tcW w:w="2146" w:type="dxa"/>
            <w:tcBorders>
              <w:left w:val="single" w:sz="2" w:space="0" w:color="999999"/>
              <w:bottom w:val="single" w:sz="2" w:space="0" w:color="auto"/>
              <w:right w:val="single" w:sz="2" w:space="0" w:color="999999"/>
            </w:tcBorders>
            <w:shd w:val="clear" w:color="auto" w:fill="FFFFFF"/>
          </w:tcPr>
          <w:p w14:paraId="07F32FE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781E19A" w14:textId="77777777" w:rsidR="009D3DC8" w:rsidRDefault="009D3DC8">
            <w:pPr>
              <w:spacing w:before="60" w:after="60" w:line="240" w:lineRule="auto"/>
              <w:rPr>
                <w:rFonts w:ascii="Arial" w:hAnsi="Arial" w:cs="Arial"/>
                <w:sz w:val="16"/>
                <w:szCs w:val="16"/>
              </w:rPr>
            </w:pPr>
            <w:r>
              <w:rPr>
                <w:rFonts w:ascii="Arial" w:hAnsi="Arial" w:cs="Arial"/>
                <w:sz w:val="16"/>
                <w:szCs w:val="16"/>
              </w:rPr>
              <w:t>(Ades and Kendrick 2004) (Meijerman and Ulenberg 2004)</w:t>
            </w:r>
          </w:p>
        </w:tc>
        <w:tc>
          <w:tcPr>
            <w:tcW w:w="2670" w:type="dxa"/>
            <w:tcBorders>
              <w:left w:val="single" w:sz="2" w:space="0" w:color="999999"/>
              <w:bottom w:val="single" w:sz="2" w:space="0" w:color="auto"/>
              <w:right w:val="single" w:sz="2" w:space="0" w:color="999999"/>
            </w:tcBorders>
            <w:shd w:val="clear" w:color="auto" w:fill="FFFFFF"/>
          </w:tcPr>
          <w:p w14:paraId="6CB89042"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7F832078" w14:textId="77777777" w:rsidR="009D3DC8" w:rsidRDefault="009D3DC8">
            <w:pPr>
              <w:spacing w:before="60" w:after="60" w:line="240" w:lineRule="auto"/>
              <w:rPr>
                <w:rFonts w:ascii="Arial" w:hAnsi="Arial" w:cs="Arial"/>
                <w:sz w:val="16"/>
                <w:szCs w:val="16"/>
              </w:rPr>
            </w:pPr>
            <w:r>
              <w:rPr>
                <w:rFonts w:ascii="Arial" w:hAnsi="Arial" w:cs="Arial"/>
                <w:sz w:val="16"/>
                <w:szCs w:val="16"/>
              </w:rPr>
              <w:t>Rolls the leaves of mangosteen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64819C6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B59B1D2" w14:textId="77777777" w:rsidR="009D3DC8" w:rsidRDefault="009D3DC8">
            <w:pPr>
              <w:spacing w:before="60" w:after="60" w:line="240" w:lineRule="auto"/>
              <w:rPr>
                <w:rFonts w:ascii="Arial" w:hAnsi="Arial" w:cs="Arial"/>
                <w:sz w:val="16"/>
                <w:szCs w:val="16"/>
              </w:rPr>
            </w:pPr>
            <w:r>
              <w:rPr>
                <w:rFonts w:ascii="Arial" w:hAnsi="Arial" w:cs="Arial"/>
                <w:sz w:val="16"/>
                <w:szCs w:val="16"/>
              </w:rPr>
              <w:t>(Ades and Kendrick 2004; ABRS 2009)</w:t>
            </w:r>
          </w:p>
        </w:tc>
        <w:tc>
          <w:tcPr>
            <w:tcW w:w="2537" w:type="dxa"/>
            <w:tcBorders>
              <w:left w:val="single" w:sz="2" w:space="0" w:color="999999"/>
              <w:bottom w:val="single" w:sz="2" w:space="0" w:color="auto"/>
              <w:right w:val="single" w:sz="2" w:space="0" w:color="999999"/>
            </w:tcBorders>
            <w:shd w:val="clear" w:color="auto" w:fill="FFFFFF"/>
          </w:tcPr>
          <w:p w14:paraId="1B07AB0B"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039921A"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0BA69F67"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1FA4B42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D19434F" w14:textId="77777777" w:rsidR="009D3DC8" w:rsidRDefault="009D3DC8">
            <w:pPr>
              <w:pStyle w:val="TableText"/>
              <w:spacing w:line="240" w:lineRule="auto"/>
              <w:rPr>
                <w:rFonts w:cs="Arial"/>
                <w:szCs w:val="16"/>
              </w:rPr>
            </w:pPr>
            <w:r>
              <w:rPr>
                <w:rFonts w:cs="Arial"/>
                <w:i/>
                <w:szCs w:val="16"/>
              </w:rPr>
              <w:t xml:space="preserve">Eudocima fullonia </w:t>
            </w:r>
            <w:r>
              <w:rPr>
                <w:rFonts w:cs="Arial"/>
                <w:szCs w:val="16"/>
              </w:rPr>
              <w:t>(Clerck, 1764)</w:t>
            </w:r>
          </w:p>
          <w:p w14:paraId="7D3810AD" w14:textId="77777777" w:rsidR="009D3DC8" w:rsidRDefault="009D3DC8">
            <w:pPr>
              <w:pStyle w:val="TableText"/>
              <w:spacing w:line="240" w:lineRule="auto"/>
              <w:rPr>
                <w:rFonts w:cs="Arial"/>
                <w:szCs w:val="16"/>
              </w:rPr>
            </w:pPr>
            <w:r>
              <w:rPr>
                <w:rFonts w:cs="Arial"/>
                <w:szCs w:val="16"/>
              </w:rPr>
              <w:t>[Lepidoptera: Noctuidae]</w:t>
            </w:r>
          </w:p>
          <w:p w14:paraId="6AE4BB19"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Fruit piercing moth</w:t>
            </w:r>
          </w:p>
        </w:tc>
        <w:tc>
          <w:tcPr>
            <w:tcW w:w="2146" w:type="dxa"/>
            <w:tcBorders>
              <w:left w:val="single" w:sz="2" w:space="0" w:color="999999"/>
              <w:bottom w:val="single" w:sz="2" w:space="0" w:color="auto"/>
              <w:right w:val="single" w:sz="2" w:space="0" w:color="999999"/>
            </w:tcBorders>
            <w:shd w:val="clear" w:color="auto" w:fill="FFFFFF"/>
          </w:tcPr>
          <w:p w14:paraId="63EAB0D4"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3D8EB3DF" w14:textId="77777777" w:rsidR="009D3DC8" w:rsidRDefault="009D3DC8">
            <w:pPr>
              <w:spacing w:before="60" w:after="60" w:line="240" w:lineRule="auto"/>
              <w:rPr>
                <w:rFonts w:ascii="Arial" w:hAnsi="Arial" w:cs="Arial"/>
                <w:sz w:val="16"/>
                <w:szCs w:val="16"/>
              </w:rPr>
            </w:pPr>
            <w:r>
              <w:rPr>
                <w:rFonts w:ascii="Arial" w:hAnsi="Arial" w:cs="Arial"/>
                <w:sz w:val="16"/>
                <w:szCs w:val="16"/>
              </w:rPr>
              <w:t>(Hill 2008)</w:t>
            </w:r>
          </w:p>
        </w:tc>
        <w:tc>
          <w:tcPr>
            <w:tcW w:w="2670" w:type="dxa"/>
            <w:tcBorders>
              <w:left w:val="single" w:sz="2" w:space="0" w:color="999999"/>
              <w:bottom w:val="single" w:sz="2" w:space="0" w:color="auto"/>
              <w:right w:val="single" w:sz="2" w:space="0" w:color="999999"/>
            </w:tcBorders>
            <w:shd w:val="clear" w:color="auto" w:fill="FFFFFF"/>
          </w:tcPr>
          <w:p w14:paraId="26973958"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127FBBD0" w14:textId="77777777" w:rsidR="009D3DC8" w:rsidRDefault="009D3DC8">
            <w:pPr>
              <w:spacing w:before="60" w:after="60" w:line="240" w:lineRule="auto"/>
              <w:rPr>
                <w:rFonts w:ascii="Arial" w:hAnsi="Arial" w:cs="Arial"/>
                <w:sz w:val="16"/>
                <w:szCs w:val="16"/>
              </w:rPr>
            </w:pPr>
            <w:r>
              <w:rPr>
                <w:rFonts w:ascii="Arial" w:hAnsi="Arial" w:cs="Arial"/>
                <w:sz w:val="16"/>
                <w:szCs w:val="16"/>
              </w:rPr>
              <w:t>Has been recorded on mangosteen in Hawaii with the adults attacking the fruit (USDA-APHIS 2006).</w:t>
            </w:r>
          </w:p>
        </w:tc>
        <w:tc>
          <w:tcPr>
            <w:tcW w:w="2007" w:type="dxa"/>
            <w:tcBorders>
              <w:left w:val="single" w:sz="2" w:space="0" w:color="999999"/>
              <w:bottom w:val="single" w:sz="2" w:space="0" w:color="auto"/>
              <w:right w:val="single" w:sz="2" w:space="0" w:color="999999"/>
            </w:tcBorders>
            <w:shd w:val="clear" w:color="auto" w:fill="FFFFFF"/>
          </w:tcPr>
          <w:p w14:paraId="4954E20B"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870A4C6" w14:textId="77777777" w:rsidR="009D3DC8" w:rsidRDefault="009D3DC8">
            <w:pPr>
              <w:spacing w:before="60" w:after="60" w:line="240" w:lineRule="auto"/>
              <w:rPr>
                <w:rFonts w:ascii="Arial" w:hAnsi="Arial" w:cs="Arial"/>
                <w:sz w:val="16"/>
                <w:szCs w:val="16"/>
              </w:rPr>
            </w:pPr>
            <w:r>
              <w:rPr>
                <w:rFonts w:ascii="Arial" w:hAnsi="Arial" w:cs="Arial"/>
                <w:sz w:val="16"/>
                <w:szCs w:val="16"/>
              </w:rPr>
              <w:t>(Reddy</w:t>
            </w:r>
            <w:r>
              <w:rPr>
                <w:rFonts w:ascii="Arial" w:hAnsi="Arial" w:cs="Arial"/>
                <w:i/>
                <w:sz w:val="16"/>
                <w:szCs w:val="16"/>
              </w:rPr>
              <w:t xml:space="preserve"> et al.</w:t>
            </w:r>
            <w:r>
              <w:rPr>
                <w:rFonts w:ascii="Arial" w:hAnsi="Arial" w:cs="Arial"/>
                <w:sz w:val="16"/>
                <w:szCs w:val="16"/>
              </w:rPr>
              <w:t xml:space="preserve"> 2007; Poole 2010)</w:t>
            </w:r>
          </w:p>
        </w:tc>
        <w:tc>
          <w:tcPr>
            <w:tcW w:w="2537" w:type="dxa"/>
            <w:tcBorders>
              <w:left w:val="single" w:sz="2" w:space="0" w:color="999999"/>
              <w:bottom w:val="single" w:sz="2" w:space="0" w:color="auto"/>
              <w:right w:val="single" w:sz="2" w:space="0" w:color="999999"/>
            </w:tcBorders>
            <w:shd w:val="clear" w:color="auto" w:fill="FFFFFF"/>
          </w:tcPr>
          <w:p w14:paraId="746E2588"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0A2B7EF"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3D772A76"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6ED3D9D6"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0CA01A5B" w14:textId="77777777" w:rsidR="009D3DC8" w:rsidRDefault="009D3DC8">
            <w:pPr>
              <w:pStyle w:val="TableText"/>
              <w:spacing w:line="240" w:lineRule="auto"/>
              <w:rPr>
                <w:rFonts w:cs="Arial"/>
                <w:szCs w:val="16"/>
              </w:rPr>
            </w:pPr>
            <w:r>
              <w:rPr>
                <w:rFonts w:cs="Arial"/>
                <w:i/>
                <w:szCs w:val="16"/>
              </w:rPr>
              <w:t xml:space="preserve">Gatesclarkeana idia </w:t>
            </w:r>
            <w:r>
              <w:rPr>
                <w:rFonts w:cs="Arial"/>
                <w:szCs w:val="16"/>
              </w:rPr>
              <w:t>Diakonoff, 1973</w:t>
            </w:r>
          </w:p>
          <w:p w14:paraId="751FD4E5"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Tortricidae]</w:t>
            </w:r>
          </w:p>
        </w:tc>
        <w:tc>
          <w:tcPr>
            <w:tcW w:w="2146" w:type="dxa"/>
            <w:tcBorders>
              <w:left w:val="single" w:sz="2" w:space="0" w:color="999999"/>
              <w:bottom w:val="single" w:sz="2" w:space="0" w:color="auto"/>
              <w:right w:val="single" w:sz="2" w:space="0" w:color="999999"/>
            </w:tcBorders>
            <w:shd w:val="clear" w:color="auto" w:fill="FFFFFF"/>
          </w:tcPr>
          <w:p w14:paraId="61374C1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16F657A" w14:textId="77777777" w:rsidR="009D3DC8" w:rsidRDefault="009D3DC8">
            <w:pPr>
              <w:spacing w:before="60" w:after="60" w:line="240" w:lineRule="auto"/>
              <w:rPr>
                <w:rFonts w:ascii="Arial" w:hAnsi="Arial" w:cs="Arial"/>
                <w:sz w:val="16"/>
                <w:szCs w:val="16"/>
              </w:rPr>
            </w:pPr>
            <w:r>
              <w:rPr>
                <w:rFonts w:ascii="Arial" w:hAnsi="Arial" w:cs="Arial"/>
                <w:sz w:val="16"/>
                <w:szCs w:val="16"/>
              </w:rPr>
              <w:t>(Ades and Kendrick 2004)</w:t>
            </w:r>
          </w:p>
        </w:tc>
        <w:tc>
          <w:tcPr>
            <w:tcW w:w="2670" w:type="dxa"/>
            <w:tcBorders>
              <w:left w:val="single" w:sz="2" w:space="0" w:color="999999"/>
              <w:bottom w:val="single" w:sz="2" w:space="0" w:color="auto"/>
              <w:right w:val="single" w:sz="2" w:space="0" w:color="999999"/>
            </w:tcBorders>
            <w:shd w:val="clear" w:color="auto" w:fill="FFFFFF"/>
          </w:tcPr>
          <w:p w14:paraId="4994BF9A"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6A875F51" w14:textId="77777777" w:rsidR="009D3DC8" w:rsidRDefault="009D3DC8">
            <w:pPr>
              <w:spacing w:before="60" w:after="60" w:line="240" w:lineRule="auto"/>
              <w:rPr>
                <w:rFonts w:ascii="Arial" w:hAnsi="Arial" w:cs="Arial"/>
                <w:sz w:val="16"/>
                <w:szCs w:val="16"/>
              </w:rPr>
            </w:pPr>
            <w:r>
              <w:rPr>
                <w:rFonts w:ascii="Arial" w:hAnsi="Arial" w:cs="Arial"/>
                <w:sz w:val="16"/>
                <w:szCs w:val="16"/>
              </w:rPr>
              <w:t>Attacks flowers of mangosteen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6660A79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50A9E7B" w14:textId="77777777" w:rsidR="009D3DC8" w:rsidRDefault="009D3DC8">
            <w:pPr>
              <w:spacing w:before="60" w:after="60" w:line="240" w:lineRule="auto"/>
              <w:rPr>
                <w:rFonts w:ascii="Arial" w:hAnsi="Arial" w:cs="Arial"/>
                <w:sz w:val="16"/>
                <w:szCs w:val="16"/>
              </w:rPr>
            </w:pPr>
            <w:r>
              <w:rPr>
                <w:rFonts w:ascii="Arial" w:hAnsi="Arial" w:cs="Arial"/>
                <w:sz w:val="16"/>
                <w:szCs w:val="16"/>
              </w:rPr>
              <w:t>(Ades and Kendrick 2004; ABRS 2009)</w:t>
            </w:r>
          </w:p>
        </w:tc>
        <w:tc>
          <w:tcPr>
            <w:tcW w:w="2537" w:type="dxa"/>
            <w:tcBorders>
              <w:left w:val="single" w:sz="2" w:space="0" w:color="999999"/>
              <w:bottom w:val="single" w:sz="2" w:space="0" w:color="auto"/>
              <w:right w:val="single" w:sz="2" w:space="0" w:color="999999"/>
            </w:tcBorders>
            <w:shd w:val="clear" w:color="auto" w:fill="FFFFFF"/>
          </w:tcPr>
          <w:p w14:paraId="236E9EDD"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5D15761"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2B120EF0"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6077C136"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058DFFA" w14:textId="77777777" w:rsidR="009D3DC8" w:rsidRDefault="009D3DC8">
            <w:pPr>
              <w:pStyle w:val="TableText"/>
              <w:spacing w:line="240" w:lineRule="auto"/>
              <w:rPr>
                <w:rFonts w:cs="Arial"/>
                <w:szCs w:val="16"/>
              </w:rPr>
            </w:pPr>
            <w:r>
              <w:rPr>
                <w:rFonts w:cs="Arial"/>
                <w:i/>
                <w:szCs w:val="16"/>
              </w:rPr>
              <w:t xml:space="preserve">Homona eductana </w:t>
            </w:r>
            <w:r>
              <w:rPr>
                <w:rFonts w:cs="Arial"/>
                <w:szCs w:val="16"/>
              </w:rPr>
              <w:t>(Walker, 1863)</w:t>
            </w:r>
          </w:p>
          <w:p w14:paraId="7C954FC2"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Tortricidae]</w:t>
            </w:r>
          </w:p>
        </w:tc>
        <w:tc>
          <w:tcPr>
            <w:tcW w:w="2146" w:type="dxa"/>
            <w:tcBorders>
              <w:left w:val="single" w:sz="2" w:space="0" w:color="999999"/>
              <w:bottom w:val="single" w:sz="2" w:space="0" w:color="auto"/>
              <w:right w:val="single" w:sz="2" w:space="0" w:color="999999"/>
            </w:tcBorders>
            <w:shd w:val="clear" w:color="auto" w:fill="FFFFFF"/>
          </w:tcPr>
          <w:p w14:paraId="0721D2CC"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37A07F67" w14:textId="77777777" w:rsidR="009D3DC8" w:rsidRDefault="009D3DC8">
            <w:pPr>
              <w:spacing w:before="60" w:after="60" w:line="240" w:lineRule="auto"/>
              <w:rPr>
                <w:rFonts w:ascii="Arial" w:hAnsi="Arial" w:cs="Arial"/>
                <w:sz w:val="16"/>
                <w:szCs w:val="16"/>
              </w:rPr>
            </w:pPr>
            <w:r>
              <w:rPr>
                <w:rFonts w:ascii="Arial" w:hAnsi="Arial" w:cs="Arial"/>
                <w:sz w:val="16"/>
                <w:szCs w:val="16"/>
              </w:rPr>
              <w:t>(Ades and Kendrick 2004)</w:t>
            </w:r>
          </w:p>
        </w:tc>
        <w:tc>
          <w:tcPr>
            <w:tcW w:w="2670" w:type="dxa"/>
            <w:tcBorders>
              <w:left w:val="single" w:sz="2" w:space="0" w:color="999999"/>
              <w:bottom w:val="single" w:sz="2" w:space="0" w:color="auto"/>
              <w:right w:val="single" w:sz="2" w:space="0" w:color="999999"/>
            </w:tcBorders>
            <w:shd w:val="clear" w:color="auto" w:fill="FFFFFF"/>
          </w:tcPr>
          <w:p w14:paraId="23445B1A"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1067AF44" w14:textId="77777777" w:rsidR="009D3DC8" w:rsidRDefault="009D3DC8">
            <w:pPr>
              <w:spacing w:before="60" w:after="60" w:line="240" w:lineRule="auto"/>
              <w:rPr>
                <w:rFonts w:ascii="Arial" w:hAnsi="Arial" w:cs="Arial"/>
                <w:sz w:val="16"/>
                <w:szCs w:val="16"/>
              </w:rPr>
            </w:pPr>
            <w:r>
              <w:rPr>
                <w:rFonts w:ascii="Arial" w:hAnsi="Arial" w:cs="Arial"/>
                <w:sz w:val="16"/>
                <w:szCs w:val="16"/>
              </w:rPr>
              <w:t>Rolls the leaves of mangosteen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74BB8DBB"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5A392A74"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E1E9727"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5699AC67"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07C5478C"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D3C0DA1" w14:textId="77777777" w:rsidR="009D3DC8" w:rsidRDefault="009D3DC8">
            <w:pPr>
              <w:pStyle w:val="TableText"/>
              <w:spacing w:line="240" w:lineRule="auto"/>
              <w:rPr>
                <w:rFonts w:cs="Arial"/>
                <w:szCs w:val="16"/>
              </w:rPr>
            </w:pPr>
            <w:r>
              <w:rPr>
                <w:rFonts w:cs="Arial"/>
                <w:i/>
                <w:szCs w:val="16"/>
              </w:rPr>
              <w:t>Hyposidra talaca</w:t>
            </w:r>
            <w:r>
              <w:rPr>
                <w:rFonts w:cs="Arial"/>
                <w:szCs w:val="16"/>
              </w:rPr>
              <w:t xml:space="preserve"> Walker, 1860</w:t>
            </w:r>
          </w:p>
          <w:p w14:paraId="33E3D199" w14:textId="77777777" w:rsidR="009D3DC8" w:rsidRDefault="009D3DC8">
            <w:pPr>
              <w:pStyle w:val="TableText"/>
              <w:spacing w:line="240" w:lineRule="auto"/>
              <w:rPr>
                <w:rFonts w:cs="Arial"/>
                <w:szCs w:val="16"/>
              </w:rPr>
            </w:pPr>
            <w:r>
              <w:rPr>
                <w:rFonts w:cs="Arial"/>
                <w:szCs w:val="16"/>
              </w:rPr>
              <w:t xml:space="preserve">[Lepidoptera: Geometridae] </w:t>
            </w:r>
          </w:p>
          <w:p w14:paraId="45ECBB04"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Leaf-eating looper</w:t>
            </w:r>
          </w:p>
        </w:tc>
        <w:tc>
          <w:tcPr>
            <w:tcW w:w="2146" w:type="dxa"/>
            <w:tcBorders>
              <w:left w:val="single" w:sz="2" w:space="0" w:color="999999"/>
              <w:bottom w:val="single" w:sz="2" w:space="0" w:color="auto"/>
              <w:right w:val="single" w:sz="2" w:space="0" w:color="999999"/>
            </w:tcBorders>
            <w:shd w:val="clear" w:color="auto" w:fill="FFFFFF"/>
          </w:tcPr>
          <w:p w14:paraId="25CF5987"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EAA580D" w14:textId="77777777" w:rsidR="009D3DC8" w:rsidRDefault="009D3DC8">
            <w:pPr>
              <w:spacing w:before="60" w:after="60" w:line="240" w:lineRule="auto"/>
              <w:rPr>
                <w:rFonts w:ascii="Arial" w:hAnsi="Arial" w:cs="Arial"/>
                <w:sz w:val="16"/>
                <w:szCs w:val="16"/>
              </w:rPr>
            </w:pPr>
            <w:r>
              <w:rPr>
                <w:rFonts w:ascii="Arial" w:hAnsi="Arial" w:cs="Arial"/>
                <w:sz w:val="16"/>
                <w:szCs w:val="16"/>
              </w:rPr>
              <w:t>(Kalshoven 1981; Waterhouse 1993; Bigger 2009)</w:t>
            </w:r>
          </w:p>
        </w:tc>
        <w:tc>
          <w:tcPr>
            <w:tcW w:w="2670" w:type="dxa"/>
            <w:tcBorders>
              <w:left w:val="single" w:sz="2" w:space="0" w:color="999999"/>
              <w:bottom w:val="single" w:sz="2" w:space="0" w:color="auto"/>
              <w:right w:val="single" w:sz="2" w:space="0" w:color="999999"/>
            </w:tcBorders>
            <w:shd w:val="clear" w:color="auto" w:fill="FFFFFF"/>
          </w:tcPr>
          <w:p w14:paraId="0800B38F"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1DF51758" w14:textId="77777777" w:rsidR="009D3DC8" w:rsidRDefault="009D3DC8">
            <w:pPr>
              <w:spacing w:before="60" w:after="60" w:line="240" w:lineRule="auto"/>
              <w:rPr>
                <w:rFonts w:ascii="Arial" w:hAnsi="Arial" w:cs="Arial"/>
                <w:sz w:val="16"/>
                <w:szCs w:val="16"/>
              </w:rPr>
            </w:pPr>
            <w:r>
              <w:rPr>
                <w:rFonts w:ascii="Arial" w:hAnsi="Arial" w:cs="Arial"/>
                <w:sz w:val="16"/>
                <w:szCs w:val="16"/>
              </w:rPr>
              <w:t>Associated with the leaves of mangosteen (Waterhouse 1993; Bigger 2009)</w:t>
            </w:r>
          </w:p>
        </w:tc>
        <w:tc>
          <w:tcPr>
            <w:tcW w:w="2007" w:type="dxa"/>
            <w:tcBorders>
              <w:left w:val="single" w:sz="2" w:space="0" w:color="999999"/>
              <w:bottom w:val="single" w:sz="2" w:space="0" w:color="auto"/>
              <w:right w:val="single" w:sz="2" w:space="0" w:color="999999"/>
            </w:tcBorders>
            <w:shd w:val="clear" w:color="auto" w:fill="FFFFFF"/>
          </w:tcPr>
          <w:p w14:paraId="5E8D4CC1"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DC67462" w14:textId="77777777" w:rsidR="009D3DC8" w:rsidRDefault="009D3DC8">
            <w:pPr>
              <w:spacing w:before="60" w:after="60" w:line="240" w:lineRule="auto"/>
              <w:rPr>
                <w:rFonts w:ascii="Arial" w:hAnsi="Arial" w:cs="Arial"/>
                <w:sz w:val="16"/>
                <w:szCs w:val="16"/>
              </w:rPr>
            </w:pPr>
            <w:r>
              <w:rPr>
                <w:rFonts w:ascii="Arial" w:hAnsi="Arial" w:cs="Arial"/>
                <w:sz w:val="16"/>
                <w:szCs w:val="16"/>
              </w:rPr>
              <w:t>(Nielsen</w:t>
            </w:r>
            <w:r>
              <w:rPr>
                <w:rFonts w:ascii="Arial" w:hAnsi="Arial" w:cs="Arial"/>
                <w:i/>
                <w:sz w:val="16"/>
                <w:szCs w:val="16"/>
              </w:rPr>
              <w:t xml:space="preserve"> et al.</w:t>
            </w:r>
            <w:r>
              <w:rPr>
                <w:rFonts w:ascii="Arial" w:hAnsi="Arial" w:cs="Arial"/>
                <w:sz w:val="16"/>
                <w:szCs w:val="16"/>
              </w:rPr>
              <w:t xml:space="preserve"> 1996)</w:t>
            </w:r>
          </w:p>
        </w:tc>
        <w:tc>
          <w:tcPr>
            <w:tcW w:w="2537" w:type="dxa"/>
            <w:tcBorders>
              <w:left w:val="single" w:sz="2" w:space="0" w:color="999999"/>
              <w:bottom w:val="single" w:sz="2" w:space="0" w:color="auto"/>
              <w:right w:val="single" w:sz="2" w:space="0" w:color="999999"/>
            </w:tcBorders>
            <w:shd w:val="clear" w:color="auto" w:fill="FFFFFF"/>
          </w:tcPr>
          <w:p w14:paraId="716BBF7F"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D9E5A8E"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4F04D752" w14:textId="77777777" w:rsidR="009D3DC8" w:rsidRDefault="009D3DC8">
            <w:pPr>
              <w:pStyle w:val="TableText1"/>
              <w:rPr>
                <w:rFonts w:ascii="Arial" w:hAnsi="Arial" w:cs="Arial"/>
                <w:szCs w:val="16"/>
              </w:rPr>
            </w:pPr>
            <w:r>
              <w:rPr>
                <w:rFonts w:ascii="Arial" w:hAnsi="Arial" w:cs="Arial"/>
                <w:szCs w:val="16"/>
              </w:rPr>
              <w:t>No</w:t>
            </w:r>
          </w:p>
        </w:tc>
      </w:tr>
      <w:tr w:rsidR="009D3DC8" w14:paraId="402D7EA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65688C5" w14:textId="77777777" w:rsidR="009D3DC8" w:rsidRDefault="009D3DC8">
            <w:pPr>
              <w:pStyle w:val="TableText"/>
              <w:spacing w:line="240" w:lineRule="auto"/>
              <w:rPr>
                <w:rFonts w:cs="Arial"/>
                <w:szCs w:val="16"/>
              </w:rPr>
            </w:pPr>
            <w:r>
              <w:rPr>
                <w:rFonts w:cs="Arial"/>
                <w:i/>
                <w:szCs w:val="16"/>
              </w:rPr>
              <w:t xml:space="preserve">Lobesia genialis </w:t>
            </w:r>
            <w:r>
              <w:rPr>
                <w:rFonts w:cs="Arial"/>
                <w:szCs w:val="16"/>
              </w:rPr>
              <w:t>Meyrick, 1912</w:t>
            </w:r>
          </w:p>
          <w:p w14:paraId="30C9CF46"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Tortricidae]</w:t>
            </w:r>
          </w:p>
        </w:tc>
        <w:tc>
          <w:tcPr>
            <w:tcW w:w="2146" w:type="dxa"/>
            <w:tcBorders>
              <w:left w:val="single" w:sz="2" w:space="0" w:color="999999"/>
              <w:bottom w:val="single" w:sz="2" w:space="0" w:color="auto"/>
              <w:right w:val="single" w:sz="2" w:space="0" w:color="999999"/>
            </w:tcBorders>
            <w:shd w:val="clear" w:color="auto" w:fill="FFFFFF"/>
          </w:tcPr>
          <w:p w14:paraId="492184E0"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5F3540D" w14:textId="77777777" w:rsidR="009D3DC8" w:rsidRDefault="009D3DC8">
            <w:pPr>
              <w:spacing w:before="60" w:after="60" w:line="240" w:lineRule="auto"/>
              <w:rPr>
                <w:rFonts w:ascii="Arial" w:hAnsi="Arial" w:cs="Arial"/>
                <w:sz w:val="16"/>
                <w:szCs w:val="16"/>
              </w:rPr>
            </w:pPr>
            <w:r>
              <w:rPr>
                <w:rFonts w:ascii="Arial" w:hAnsi="Arial" w:cs="Arial"/>
                <w:sz w:val="16"/>
                <w:szCs w:val="16"/>
              </w:rPr>
              <w:t>(Ades and Kendrick 2004)</w:t>
            </w:r>
          </w:p>
        </w:tc>
        <w:tc>
          <w:tcPr>
            <w:tcW w:w="2670" w:type="dxa"/>
            <w:tcBorders>
              <w:left w:val="single" w:sz="2" w:space="0" w:color="999999"/>
              <w:bottom w:val="single" w:sz="2" w:space="0" w:color="auto"/>
              <w:right w:val="single" w:sz="2" w:space="0" w:color="999999"/>
            </w:tcBorders>
            <w:shd w:val="clear" w:color="auto" w:fill="FFFFFF"/>
          </w:tcPr>
          <w:p w14:paraId="02EC45ED"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3D434859" w14:textId="77777777" w:rsidR="009D3DC8" w:rsidRDefault="009D3DC8">
            <w:pPr>
              <w:spacing w:before="60" w:after="60" w:line="240" w:lineRule="auto"/>
              <w:rPr>
                <w:rFonts w:ascii="Arial" w:hAnsi="Arial" w:cs="Arial"/>
                <w:sz w:val="16"/>
                <w:szCs w:val="16"/>
              </w:rPr>
            </w:pPr>
            <w:r>
              <w:rPr>
                <w:rFonts w:ascii="Arial" w:hAnsi="Arial" w:cs="Arial"/>
                <w:sz w:val="16"/>
                <w:szCs w:val="16"/>
              </w:rPr>
              <w:t>Infests mangosteen flowers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593B6177"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5616E89F"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47E70629"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04E42A0A"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262D07EE"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C5F946C" w14:textId="77777777" w:rsidR="009D3DC8" w:rsidRDefault="009D3DC8">
            <w:pPr>
              <w:pStyle w:val="TableText"/>
              <w:spacing w:line="240" w:lineRule="auto"/>
              <w:rPr>
                <w:rFonts w:cs="Arial"/>
                <w:i/>
                <w:szCs w:val="16"/>
              </w:rPr>
            </w:pPr>
            <w:r>
              <w:rPr>
                <w:rFonts w:cs="Arial"/>
                <w:i/>
                <w:szCs w:val="16"/>
              </w:rPr>
              <w:t xml:space="preserve">Orgyia postica </w:t>
            </w:r>
            <w:r>
              <w:rPr>
                <w:rFonts w:cs="Arial"/>
                <w:szCs w:val="16"/>
              </w:rPr>
              <w:t>Meyrick, 1912</w:t>
            </w:r>
          </w:p>
          <w:p w14:paraId="69CDB3F8" w14:textId="77777777" w:rsidR="009D3DC8" w:rsidRDefault="009D3DC8">
            <w:pPr>
              <w:pStyle w:val="TableText"/>
              <w:spacing w:line="240" w:lineRule="auto"/>
              <w:rPr>
                <w:rFonts w:cs="Arial"/>
                <w:szCs w:val="16"/>
              </w:rPr>
            </w:pPr>
            <w:r>
              <w:rPr>
                <w:rFonts w:cs="Arial"/>
                <w:szCs w:val="16"/>
              </w:rPr>
              <w:t>[Lepidoptera: Lymantriidae]</w:t>
            </w:r>
          </w:p>
          <w:p w14:paraId="137E2EE7"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Cocoa tussock moth</w:t>
            </w:r>
          </w:p>
        </w:tc>
        <w:tc>
          <w:tcPr>
            <w:tcW w:w="2146" w:type="dxa"/>
            <w:tcBorders>
              <w:left w:val="single" w:sz="2" w:space="0" w:color="999999"/>
              <w:bottom w:val="single" w:sz="2" w:space="0" w:color="auto"/>
              <w:right w:val="single" w:sz="2" w:space="0" w:color="999999"/>
            </w:tcBorders>
            <w:shd w:val="clear" w:color="auto" w:fill="FFFFFF"/>
          </w:tcPr>
          <w:p w14:paraId="6ADA066B"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935210B" w14:textId="77777777" w:rsidR="009D3DC8" w:rsidRDefault="009D3DC8">
            <w:pPr>
              <w:spacing w:before="60" w:after="60" w:line="240" w:lineRule="auto"/>
              <w:rPr>
                <w:rFonts w:ascii="Arial" w:hAnsi="Arial" w:cs="Arial"/>
                <w:sz w:val="16"/>
                <w:szCs w:val="16"/>
              </w:rPr>
            </w:pPr>
            <w:r>
              <w:rPr>
                <w:rFonts w:ascii="Arial" w:hAnsi="Arial" w:cs="Arial"/>
                <w:sz w:val="16"/>
                <w:szCs w:val="16"/>
              </w:rPr>
              <w:t>(van Eecke 1928; Wakamura</w:t>
            </w:r>
            <w:r>
              <w:rPr>
                <w:rFonts w:ascii="Arial" w:hAnsi="Arial" w:cs="Arial"/>
                <w:i/>
                <w:sz w:val="16"/>
                <w:szCs w:val="16"/>
              </w:rPr>
              <w:t xml:space="preserve"> et al.</w:t>
            </w:r>
            <w:r>
              <w:rPr>
                <w:rFonts w:ascii="Arial" w:hAnsi="Arial" w:cs="Arial"/>
                <w:sz w:val="16"/>
                <w:szCs w:val="16"/>
              </w:rPr>
              <w:t xml:space="preserve"> 2005)</w:t>
            </w:r>
          </w:p>
        </w:tc>
        <w:tc>
          <w:tcPr>
            <w:tcW w:w="2670" w:type="dxa"/>
            <w:tcBorders>
              <w:left w:val="single" w:sz="2" w:space="0" w:color="999999"/>
              <w:bottom w:val="single" w:sz="2" w:space="0" w:color="auto"/>
              <w:right w:val="single" w:sz="2" w:space="0" w:color="999999"/>
            </w:tcBorders>
            <w:shd w:val="clear" w:color="auto" w:fill="FFFFFF"/>
          </w:tcPr>
          <w:p w14:paraId="16418BAC"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6B9815CE" w14:textId="77777777" w:rsidR="009D3DC8" w:rsidRDefault="009D3DC8">
            <w:pPr>
              <w:spacing w:before="60" w:after="60" w:line="240" w:lineRule="auto"/>
              <w:rPr>
                <w:rFonts w:ascii="Arial" w:hAnsi="Arial" w:cs="Arial"/>
                <w:sz w:val="16"/>
                <w:szCs w:val="16"/>
              </w:rPr>
            </w:pPr>
            <w:r>
              <w:rPr>
                <w:rFonts w:ascii="Arial" w:hAnsi="Arial" w:cs="Arial"/>
                <w:sz w:val="16"/>
                <w:szCs w:val="16"/>
              </w:rPr>
              <w:t>Infests mangosteen flowers (Robinson</w:t>
            </w:r>
            <w:r>
              <w:rPr>
                <w:rFonts w:ascii="Arial" w:hAnsi="Arial" w:cs="Arial"/>
                <w:i/>
                <w:sz w:val="16"/>
                <w:szCs w:val="16"/>
              </w:rPr>
              <w:t xml:space="preserve"> et al.</w:t>
            </w:r>
            <w:r>
              <w:rPr>
                <w:rFonts w:ascii="Arial" w:hAnsi="Arial" w:cs="Arial"/>
                <w:sz w:val="16"/>
                <w:szCs w:val="16"/>
              </w:rPr>
              <w:t xml:space="preserve"> 2001). The larvae cause serious damage to the young leaves and can cause total defoliation, killing or stunting the tree (Sanchez and Laigo 1968). </w:t>
            </w:r>
          </w:p>
        </w:tc>
        <w:tc>
          <w:tcPr>
            <w:tcW w:w="2007" w:type="dxa"/>
            <w:tcBorders>
              <w:left w:val="single" w:sz="2" w:space="0" w:color="999999"/>
              <w:bottom w:val="single" w:sz="2" w:space="0" w:color="auto"/>
              <w:right w:val="single" w:sz="2" w:space="0" w:color="999999"/>
            </w:tcBorders>
            <w:shd w:val="clear" w:color="auto" w:fill="FFFFFF"/>
          </w:tcPr>
          <w:p w14:paraId="44897540"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6863E400"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B2EC657"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2C7BD87D"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6A00B297"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8960B1B" w14:textId="77777777" w:rsidR="009D3DC8" w:rsidRDefault="009D3DC8">
            <w:pPr>
              <w:pStyle w:val="TableText"/>
              <w:spacing w:line="240" w:lineRule="auto"/>
              <w:rPr>
                <w:rFonts w:cs="Arial"/>
                <w:szCs w:val="16"/>
              </w:rPr>
            </w:pPr>
            <w:r>
              <w:rPr>
                <w:rFonts w:cs="Arial"/>
                <w:i/>
                <w:szCs w:val="16"/>
              </w:rPr>
              <w:lastRenderedPageBreak/>
              <w:t xml:space="preserve">Pagodiella hekmeyeri </w:t>
            </w:r>
            <w:r>
              <w:rPr>
                <w:rFonts w:cs="Arial"/>
                <w:szCs w:val="16"/>
              </w:rPr>
              <w:t>Heylaerts, 1885</w:t>
            </w:r>
          </w:p>
          <w:p w14:paraId="1F34D5E4"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[Lepidoptera: Psychidae]</w:t>
            </w:r>
          </w:p>
        </w:tc>
        <w:tc>
          <w:tcPr>
            <w:tcW w:w="2146" w:type="dxa"/>
            <w:tcBorders>
              <w:left w:val="single" w:sz="2" w:space="0" w:color="999999"/>
              <w:bottom w:val="single" w:sz="2" w:space="0" w:color="auto"/>
              <w:right w:val="single" w:sz="2" w:space="0" w:color="999999"/>
            </w:tcBorders>
            <w:shd w:val="clear" w:color="auto" w:fill="FFFFFF"/>
          </w:tcPr>
          <w:p w14:paraId="48FE3F74"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CD524BF" w14:textId="77777777" w:rsidR="009D3DC8" w:rsidRDefault="009D3DC8">
            <w:pPr>
              <w:spacing w:before="60" w:after="60" w:line="240" w:lineRule="auto"/>
              <w:rPr>
                <w:rFonts w:ascii="Arial" w:hAnsi="Arial" w:cs="Arial"/>
                <w:sz w:val="16"/>
                <w:szCs w:val="16"/>
              </w:rPr>
            </w:pPr>
            <w:r>
              <w:rPr>
                <w:rFonts w:ascii="Arial" w:hAnsi="Arial" w:cs="Arial"/>
                <w:sz w:val="16"/>
                <w:szCs w:val="16"/>
              </w:rPr>
              <w:t>(Bernaed 1919; Van der Meer Mohr 1927)</w:t>
            </w:r>
          </w:p>
        </w:tc>
        <w:tc>
          <w:tcPr>
            <w:tcW w:w="2670" w:type="dxa"/>
            <w:tcBorders>
              <w:left w:val="single" w:sz="2" w:space="0" w:color="999999"/>
              <w:bottom w:val="single" w:sz="2" w:space="0" w:color="auto"/>
              <w:right w:val="single" w:sz="2" w:space="0" w:color="999999"/>
            </w:tcBorders>
            <w:shd w:val="clear" w:color="auto" w:fill="FFFFFF"/>
          </w:tcPr>
          <w:p w14:paraId="77EFAAE5"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407C0888" w14:textId="77777777" w:rsidR="009D3DC8" w:rsidRDefault="009D3DC8">
            <w:pPr>
              <w:spacing w:before="60" w:after="60" w:line="240" w:lineRule="auto"/>
              <w:rPr>
                <w:rFonts w:ascii="Arial" w:hAnsi="Arial" w:cs="Arial"/>
                <w:sz w:val="16"/>
                <w:szCs w:val="16"/>
              </w:rPr>
            </w:pPr>
            <w:r>
              <w:rPr>
                <w:rFonts w:ascii="Arial" w:hAnsi="Arial" w:cs="Arial"/>
                <w:sz w:val="16"/>
                <w:szCs w:val="16"/>
              </w:rPr>
              <w:t>Associated with the leaves of mangosteen (Robinson</w:t>
            </w:r>
            <w:r>
              <w:rPr>
                <w:rFonts w:ascii="Arial" w:hAnsi="Arial" w:cs="Arial"/>
                <w:i/>
                <w:sz w:val="16"/>
                <w:szCs w:val="16"/>
              </w:rPr>
              <w:t xml:space="preserve"> et al.</w:t>
            </w:r>
            <w:r>
              <w:rPr>
                <w:rFonts w:ascii="Arial" w:hAnsi="Arial" w:cs="Arial"/>
                <w:sz w:val="16"/>
                <w:szCs w:val="16"/>
              </w:rPr>
              <w:t xml:space="preserve"> 2001; Robinson</w:t>
            </w:r>
            <w:r>
              <w:rPr>
                <w:rFonts w:ascii="Arial" w:hAnsi="Arial" w:cs="Arial"/>
                <w:i/>
                <w:sz w:val="16"/>
                <w:szCs w:val="16"/>
              </w:rPr>
              <w:t xml:space="preserve"> et al.</w:t>
            </w:r>
            <w:r>
              <w:rPr>
                <w:rFonts w:ascii="Arial" w:hAnsi="Arial" w:cs="Arial"/>
                <w:sz w:val="16"/>
                <w:szCs w:val="16"/>
              </w:rPr>
              <w:t xml:space="preserve"> 2010).</w:t>
            </w:r>
          </w:p>
        </w:tc>
        <w:tc>
          <w:tcPr>
            <w:tcW w:w="2007" w:type="dxa"/>
            <w:tcBorders>
              <w:left w:val="single" w:sz="2" w:space="0" w:color="999999"/>
              <w:bottom w:val="single" w:sz="2" w:space="0" w:color="auto"/>
              <w:right w:val="single" w:sz="2" w:space="0" w:color="999999"/>
            </w:tcBorders>
            <w:shd w:val="clear" w:color="auto" w:fill="FFFFFF"/>
          </w:tcPr>
          <w:p w14:paraId="71600E43"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0D101DC6"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3E52EB1A"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0E122ACD"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42AEF8C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7D04CEF" w14:textId="77777777" w:rsidR="009D3DC8" w:rsidRDefault="009D3DC8">
            <w:pPr>
              <w:pStyle w:val="TableText"/>
              <w:spacing w:line="240" w:lineRule="auto"/>
              <w:rPr>
                <w:rFonts w:cs="Arial"/>
                <w:szCs w:val="16"/>
              </w:rPr>
            </w:pPr>
            <w:r>
              <w:rPr>
                <w:rFonts w:cs="Arial"/>
                <w:i/>
                <w:szCs w:val="16"/>
              </w:rPr>
              <w:t>Phyllocnistis citrella</w:t>
            </w:r>
            <w:r>
              <w:rPr>
                <w:rFonts w:cs="Arial"/>
                <w:szCs w:val="16"/>
              </w:rPr>
              <w:t xml:space="preserve"> Stainton, 1856</w:t>
            </w:r>
          </w:p>
          <w:p w14:paraId="4D242CE3" w14:textId="77777777" w:rsidR="009D3DC8" w:rsidRDefault="009D3DC8">
            <w:pPr>
              <w:pStyle w:val="TableText"/>
              <w:spacing w:line="240" w:lineRule="auto"/>
              <w:rPr>
                <w:rFonts w:cs="Arial"/>
                <w:szCs w:val="16"/>
              </w:rPr>
            </w:pPr>
            <w:r>
              <w:rPr>
                <w:rFonts w:cs="Arial"/>
                <w:szCs w:val="16"/>
              </w:rPr>
              <w:t>[Lepidoptera: Gracillariidae]</w:t>
            </w:r>
          </w:p>
          <w:p w14:paraId="7FDAE5EA"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Citrus leaf miner</w:t>
            </w:r>
          </w:p>
        </w:tc>
        <w:tc>
          <w:tcPr>
            <w:tcW w:w="2146" w:type="dxa"/>
            <w:tcBorders>
              <w:left w:val="single" w:sz="2" w:space="0" w:color="999999"/>
              <w:bottom w:val="single" w:sz="2" w:space="0" w:color="auto"/>
              <w:right w:val="single" w:sz="2" w:space="0" w:color="999999"/>
            </w:tcBorders>
            <w:shd w:val="clear" w:color="auto" w:fill="FFFFFF"/>
          </w:tcPr>
          <w:p w14:paraId="0BB33FF7"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6A9A73E" w14:textId="77777777" w:rsidR="009D3DC8" w:rsidRDefault="009D3DC8">
            <w:pPr>
              <w:spacing w:before="60" w:after="60" w:line="240" w:lineRule="auto"/>
              <w:rPr>
                <w:rFonts w:ascii="Arial" w:hAnsi="Arial" w:cs="Arial"/>
                <w:sz w:val="16"/>
                <w:szCs w:val="16"/>
              </w:rPr>
            </w:pPr>
            <w:r>
              <w:rPr>
                <w:rFonts w:ascii="Arial" w:hAnsi="Arial" w:cs="Arial"/>
                <w:sz w:val="16"/>
                <w:szCs w:val="16"/>
              </w:rPr>
              <w:t>(Waterhouse 1993; Hasyim</w:t>
            </w:r>
            <w:r>
              <w:rPr>
                <w:rFonts w:ascii="Arial" w:hAnsi="Arial" w:cs="Arial"/>
                <w:i/>
                <w:sz w:val="16"/>
                <w:szCs w:val="16"/>
              </w:rPr>
              <w:t xml:space="preserve"> et al.</w:t>
            </w:r>
            <w:r>
              <w:rPr>
                <w:rFonts w:ascii="Arial" w:hAnsi="Arial" w:cs="Arial"/>
                <w:sz w:val="16"/>
                <w:szCs w:val="16"/>
              </w:rPr>
              <w:t xml:space="preserve"> 2006)</w:t>
            </w:r>
          </w:p>
        </w:tc>
        <w:tc>
          <w:tcPr>
            <w:tcW w:w="2670" w:type="dxa"/>
            <w:tcBorders>
              <w:left w:val="single" w:sz="2" w:space="0" w:color="999999"/>
              <w:bottom w:val="single" w:sz="2" w:space="0" w:color="auto"/>
              <w:right w:val="single" w:sz="2" w:space="0" w:color="999999"/>
            </w:tcBorders>
            <w:shd w:val="clear" w:color="auto" w:fill="FFFFFF"/>
          </w:tcPr>
          <w:p w14:paraId="6581DE6C"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423EBA76" w14:textId="77777777" w:rsidR="009D3DC8" w:rsidRDefault="009D3DC8">
            <w:pPr>
              <w:spacing w:before="60" w:after="60" w:line="240" w:lineRule="auto"/>
              <w:rPr>
                <w:rFonts w:ascii="Arial" w:hAnsi="Arial" w:cs="Arial"/>
                <w:sz w:val="16"/>
                <w:szCs w:val="16"/>
              </w:rPr>
            </w:pPr>
            <w:r>
              <w:rPr>
                <w:rFonts w:ascii="Arial" w:hAnsi="Arial" w:cs="Arial"/>
                <w:sz w:val="16"/>
                <w:szCs w:val="16"/>
              </w:rPr>
              <w:t>Associated with the leaves and shoots (Yunus and Ho 1980; Osman and Milan 2006; Hasyim</w:t>
            </w:r>
            <w:r>
              <w:rPr>
                <w:rFonts w:ascii="Arial" w:hAnsi="Arial" w:cs="Arial"/>
                <w:i/>
                <w:sz w:val="16"/>
                <w:szCs w:val="16"/>
              </w:rPr>
              <w:t xml:space="preserve"> et al.</w:t>
            </w:r>
            <w:r>
              <w:rPr>
                <w:rFonts w:ascii="Arial" w:hAnsi="Arial" w:cs="Arial"/>
                <w:sz w:val="16"/>
                <w:szCs w:val="16"/>
              </w:rPr>
              <w:t xml:space="preserve"> 2006). Eggs are laid singly on young leaves and the larvae mine the leaf epidermis causing leaf deformation which often leads to early leaf fall (Ooi</w:t>
            </w:r>
            <w:r>
              <w:rPr>
                <w:rFonts w:ascii="Arial" w:hAnsi="Arial" w:cs="Arial"/>
                <w:i/>
                <w:sz w:val="16"/>
                <w:szCs w:val="16"/>
              </w:rPr>
              <w:t xml:space="preserve"> et al.</w:t>
            </w:r>
            <w:r>
              <w:rPr>
                <w:rFonts w:ascii="Arial" w:hAnsi="Arial" w:cs="Arial"/>
                <w:sz w:val="16"/>
                <w:szCs w:val="16"/>
              </w:rPr>
              <w:t xml:space="preserve"> 2002).</w:t>
            </w:r>
          </w:p>
        </w:tc>
        <w:tc>
          <w:tcPr>
            <w:tcW w:w="2007" w:type="dxa"/>
            <w:tcBorders>
              <w:left w:val="single" w:sz="2" w:space="0" w:color="999999"/>
              <w:bottom w:val="single" w:sz="2" w:space="0" w:color="auto"/>
              <w:right w:val="single" w:sz="2" w:space="0" w:color="999999"/>
            </w:tcBorders>
            <w:shd w:val="clear" w:color="auto" w:fill="FFFFFF"/>
          </w:tcPr>
          <w:p w14:paraId="7B8429EA"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848E92D" w14:textId="77777777" w:rsidR="009D3DC8" w:rsidRDefault="009D3DC8">
            <w:pPr>
              <w:spacing w:before="60" w:after="60" w:line="240" w:lineRule="auto"/>
              <w:rPr>
                <w:rFonts w:ascii="Arial" w:hAnsi="Arial" w:cs="Arial"/>
                <w:sz w:val="16"/>
                <w:szCs w:val="16"/>
              </w:rPr>
            </w:pPr>
            <w:r>
              <w:rPr>
                <w:rFonts w:ascii="Arial" w:hAnsi="Arial" w:cs="Arial"/>
                <w:sz w:val="16"/>
                <w:szCs w:val="16"/>
              </w:rPr>
              <w:t>(Nielsen</w:t>
            </w:r>
            <w:r>
              <w:rPr>
                <w:rFonts w:ascii="Arial" w:hAnsi="Arial" w:cs="Arial"/>
                <w:i/>
                <w:sz w:val="16"/>
                <w:szCs w:val="16"/>
              </w:rPr>
              <w:t xml:space="preserve"> et al.</w:t>
            </w:r>
            <w:r>
              <w:rPr>
                <w:rFonts w:ascii="Arial" w:hAnsi="Arial" w:cs="Arial"/>
                <w:sz w:val="16"/>
                <w:szCs w:val="16"/>
              </w:rPr>
              <w:t xml:space="preserve"> 1996; Smith</w:t>
            </w:r>
            <w:r>
              <w:rPr>
                <w:rFonts w:ascii="Arial" w:hAnsi="Arial" w:cs="Arial"/>
                <w:i/>
                <w:sz w:val="16"/>
                <w:szCs w:val="16"/>
              </w:rPr>
              <w:t xml:space="preserve"> et al.</w:t>
            </w:r>
            <w:r>
              <w:rPr>
                <w:rFonts w:ascii="Arial" w:hAnsi="Arial" w:cs="Arial"/>
                <w:sz w:val="16"/>
                <w:szCs w:val="16"/>
              </w:rPr>
              <w:t xml:space="preserve"> 1997)</w:t>
            </w:r>
          </w:p>
        </w:tc>
        <w:tc>
          <w:tcPr>
            <w:tcW w:w="2537" w:type="dxa"/>
            <w:tcBorders>
              <w:left w:val="single" w:sz="2" w:space="0" w:color="999999"/>
              <w:bottom w:val="single" w:sz="2" w:space="0" w:color="auto"/>
              <w:right w:val="single" w:sz="2" w:space="0" w:color="999999"/>
            </w:tcBorders>
            <w:shd w:val="clear" w:color="auto" w:fill="FFFFFF"/>
          </w:tcPr>
          <w:p w14:paraId="40261DDE"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154A22C"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76DE2143"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75B35157"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4D8AEACB" w14:textId="77777777" w:rsidR="009D3DC8" w:rsidRDefault="009D3DC8">
            <w:pPr>
              <w:pStyle w:val="TableText"/>
              <w:spacing w:line="240" w:lineRule="auto"/>
              <w:rPr>
                <w:rFonts w:cs="Arial"/>
                <w:szCs w:val="16"/>
              </w:rPr>
            </w:pPr>
            <w:r>
              <w:rPr>
                <w:rFonts w:cs="Arial"/>
                <w:i/>
                <w:szCs w:val="16"/>
              </w:rPr>
              <w:t>Stictoptera columba</w:t>
            </w:r>
            <w:r>
              <w:rPr>
                <w:rFonts w:cs="Arial"/>
                <w:szCs w:val="16"/>
              </w:rPr>
              <w:t xml:space="preserve"> Walker, 1856</w:t>
            </w:r>
          </w:p>
          <w:p w14:paraId="655E5B4A" w14:textId="77777777" w:rsidR="009D3DC8" w:rsidRDefault="009D3DC8">
            <w:pPr>
              <w:pStyle w:val="TableText"/>
              <w:spacing w:line="240" w:lineRule="auto"/>
              <w:rPr>
                <w:rFonts w:cs="Arial"/>
                <w:szCs w:val="16"/>
              </w:rPr>
            </w:pPr>
            <w:r>
              <w:rPr>
                <w:rFonts w:cs="Arial"/>
                <w:szCs w:val="16"/>
              </w:rPr>
              <w:t>[Lepidoptera: Noctuidae]</w:t>
            </w:r>
          </w:p>
          <w:p w14:paraId="6FE11526"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Leaf-eating caterpillar</w:t>
            </w:r>
          </w:p>
        </w:tc>
        <w:tc>
          <w:tcPr>
            <w:tcW w:w="2146" w:type="dxa"/>
            <w:tcBorders>
              <w:left w:val="single" w:sz="2" w:space="0" w:color="999999"/>
              <w:bottom w:val="single" w:sz="2" w:space="0" w:color="auto"/>
              <w:right w:val="single" w:sz="2" w:space="0" w:color="999999"/>
            </w:tcBorders>
            <w:shd w:val="clear" w:color="auto" w:fill="FFFFFF"/>
          </w:tcPr>
          <w:p w14:paraId="28F548E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4FA36DB" w14:textId="77777777" w:rsidR="009D3DC8" w:rsidRDefault="009D3DC8">
            <w:pPr>
              <w:spacing w:before="60" w:after="60" w:line="240" w:lineRule="auto"/>
              <w:rPr>
                <w:rFonts w:ascii="Arial" w:hAnsi="Arial" w:cs="Arial"/>
                <w:sz w:val="16"/>
                <w:szCs w:val="16"/>
              </w:rPr>
            </w:pPr>
            <w:r>
              <w:rPr>
                <w:rFonts w:ascii="Arial" w:hAnsi="Arial" w:cs="Arial"/>
                <w:sz w:val="16"/>
                <w:szCs w:val="16"/>
              </w:rPr>
              <w:t>(Ooi</w:t>
            </w:r>
            <w:r>
              <w:rPr>
                <w:rFonts w:ascii="Arial" w:hAnsi="Arial" w:cs="Arial"/>
                <w:i/>
                <w:sz w:val="16"/>
                <w:szCs w:val="16"/>
              </w:rPr>
              <w:t xml:space="preserve"> et al.</w:t>
            </w:r>
            <w:r>
              <w:rPr>
                <w:rFonts w:ascii="Arial" w:hAnsi="Arial" w:cs="Arial"/>
                <w:sz w:val="16"/>
                <w:szCs w:val="16"/>
              </w:rPr>
              <w:t xml:space="preserve"> 2002)</w:t>
            </w:r>
          </w:p>
        </w:tc>
        <w:tc>
          <w:tcPr>
            <w:tcW w:w="2670" w:type="dxa"/>
            <w:tcBorders>
              <w:left w:val="single" w:sz="2" w:space="0" w:color="999999"/>
              <w:bottom w:val="single" w:sz="2" w:space="0" w:color="auto"/>
              <w:right w:val="single" w:sz="2" w:space="0" w:color="999999"/>
            </w:tcBorders>
            <w:shd w:val="clear" w:color="auto" w:fill="FFFFFF"/>
          </w:tcPr>
          <w:p w14:paraId="6E175C34"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11391F45" w14:textId="77777777" w:rsidR="009D3DC8" w:rsidRDefault="009D3DC8">
            <w:pPr>
              <w:spacing w:before="60" w:after="60" w:line="240" w:lineRule="auto"/>
              <w:rPr>
                <w:rFonts w:ascii="Arial" w:hAnsi="Arial" w:cs="Arial"/>
                <w:sz w:val="16"/>
                <w:szCs w:val="16"/>
              </w:rPr>
            </w:pPr>
            <w:r>
              <w:rPr>
                <w:rFonts w:ascii="Arial" w:hAnsi="Arial" w:cs="Arial"/>
                <w:sz w:val="16"/>
                <w:szCs w:val="16"/>
              </w:rPr>
              <w:t>Feeds on the young leaves of mangosteen trees (Ooi</w:t>
            </w:r>
            <w:r>
              <w:rPr>
                <w:rFonts w:ascii="Arial" w:hAnsi="Arial" w:cs="Arial"/>
                <w:i/>
                <w:sz w:val="16"/>
                <w:szCs w:val="16"/>
              </w:rPr>
              <w:t xml:space="preserve"> et al.</w:t>
            </w:r>
            <w:r>
              <w:rPr>
                <w:rFonts w:ascii="Arial" w:hAnsi="Arial" w:cs="Arial"/>
                <w:sz w:val="16"/>
                <w:szCs w:val="16"/>
              </w:rPr>
              <w:t xml:space="preserve"> 2002).</w:t>
            </w:r>
          </w:p>
        </w:tc>
        <w:tc>
          <w:tcPr>
            <w:tcW w:w="2007" w:type="dxa"/>
            <w:tcBorders>
              <w:left w:val="single" w:sz="2" w:space="0" w:color="999999"/>
              <w:bottom w:val="single" w:sz="2" w:space="0" w:color="auto"/>
              <w:right w:val="single" w:sz="2" w:space="0" w:color="999999"/>
            </w:tcBorders>
            <w:shd w:val="clear" w:color="auto" w:fill="FFFFFF"/>
          </w:tcPr>
          <w:p w14:paraId="57714E97"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30E0DD5C"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3D98D87B"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2BB5BA28" w14:textId="77777777" w:rsidR="009D3DC8" w:rsidRDefault="009D3DC8">
            <w:pPr>
              <w:pStyle w:val="TableText1"/>
              <w:rPr>
                <w:rFonts w:ascii="Arial" w:hAnsi="Arial" w:cs="Arial"/>
                <w:szCs w:val="16"/>
              </w:rPr>
            </w:pPr>
            <w:r>
              <w:rPr>
                <w:rFonts w:ascii="Arial" w:hAnsi="Arial" w:cs="Arial"/>
                <w:szCs w:val="16"/>
              </w:rPr>
              <w:t>No</w:t>
            </w:r>
          </w:p>
        </w:tc>
      </w:tr>
      <w:tr w:rsidR="009D3DC8" w14:paraId="7859D91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7B447B60" w14:textId="77777777" w:rsidR="009D3DC8" w:rsidRDefault="009D3DC8">
            <w:pPr>
              <w:pStyle w:val="TableText"/>
              <w:spacing w:line="240" w:lineRule="auto"/>
              <w:rPr>
                <w:rFonts w:cs="Arial"/>
                <w:szCs w:val="16"/>
              </w:rPr>
            </w:pPr>
            <w:r>
              <w:rPr>
                <w:rFonts w:cs="Arial"/>
                <w:i/>
                <w:iCs/>
                <w:szCs w:val="16"/>
              </w:rPr>
              <w:t>Stictoptera cucullioides</w:t>
            </w:r>
            <w:r>
              <w:rPr>
                <w:rFonts w:cs="Arial"/>
                <w:szCs w:val="16"/>
              </w:rPr>
              <w:t xml:space="preserve"> Guenée, 1852</w:t>
            </w:r>
          </w:p>
          <w:p w14:paraId="0D3E0CFC" w14:textId="77777777" w:rsidR="009D3DC8" w:rsidRDefault="009D3DC8">
            <w:pPr>
              <w:pStyle w:val="TableText"/>
              <w:spacing w:line="240" w:lineRule="auto"/>
              <w:rPr>
                <w:rFonts w:cs="Arial"/>
                <w:szCs w:val="16"/>
              </w:rPr>
            </w:pPr>
            <w:r>
              <w:rPr>
                <w:rFonts w:cs="Arial"/>
                <w:szCs w:val="16"/>
              </w:rPr>
              <w:t>[Lepidoptera: Noctuidae]</w:t>
            </w:r>
          </w:p>
          <w:p w14:paraId="2084E3CF"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Leaf-eating caterpillar</w:t>
            </w:r>
          </w:p>
        </w:tc>
        <w:tc>
          <w:tcPr>
            <w:tcW w:w="2146" w:type="dxa"/>
            <w:tcBorders>
              <w:left w:val="single" w:sz="2" w:space="0" w:color="999999"/>
              <w:bottom w:val="single" w:sz="2" w:space="0" w:color="auto"/>
              <w:right w:val="single" w:sz="2" w:space="0" w:color="999999"/>
            </w:tcBorders>
            <w:shd w:val="clear" w:color="auto" w:fill="FFFFFF"/>
          </w:tcPr>
          <w:p w14:paraId="252441E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B005217" w14:textId="77777777" w:rsidR="009D3DC8" w:rsidRDefault="009D3DC8">
            <w:pPr>
              <w:spacing w:before="60" w:after="60" w:line="240" w:lineRule="auto"/>
              <w:rPr>
                <w:rFonts w:ascii="Arial" w:hAnsi="Arial" w:cs="Arial"/>
                <w:sz w:val="16"/>
                <w:szCs w:val="16"/>
              </w:rPr>
            </w:pPr>
            <w:r>
              <w:rPr>
                <w:rFonts w:ascii="Arial" w:hAnsi="Arial" w:cs="Arial"/>
                <w:sz w:val="16"/>
                <w:szCs w:val="16"/>
              </w:rPr>
              <w:t>(Ooi</w:t>
            </w:r>
            <w:r>
              <w:rPr>
                <w:rFonts w:ascii="Arial" w:hAnsi="Arial" w:cs="Arial"/>
                <w:i/>
                <w:sz w:val="16"/>
                <w:szCs w:val="16"/>
              </w:rPr>
              <w:t xml:space="preserve"> et al.</w:t>
            </w:r>
            <w:r>
              <w:rPr>
                <w:rFonts w:ascii="Arial" w:hAnsi="Arial" w:cs="Arial"/>
                <w:sz w:val="16"/>
                <w:szCs w:val="16"/>
              </w:rPr>
              <w:t xml:space="preserve"> 2002; Hasyim</w:t>
            </w:r>
            <w:r>
              <w:rPr>
                <w:rFonts w:ascii="Arial" w:hAnsi="Arial" w:cs="Arial"/>
                <w:i/>
                <w:sz w:val="16"/>
                <w:szCs w:val="16"/>
              </w:rPr>
              <w:t xml:space="preserve"> et al.</w:t>
            </w:r>
            <w:r>
              <w:rPr>
                <w:rFonts w:ascii="Arial" w:hAnsi="Arial" w:cs="Arial"/>
                <w:sz w:val="16"/>
                <w:szCs w:val="16"/>
              </w:rPr>
              <w:t xml:space="preserve"> 2006)</w:t>
            </w:r>
          </w:p>
        </w:tc>
        <w:tc>
          <w:tcPr>
            <w:tcW w:w="2670" w:type="dxa"/>
            <w:tcBorders>
              <w:left w:val="single" w:sz="2" w:space="0" w:color="999999"/>
              <w:bottom w:val="single" w:sz="2" w:space="0" w:color="auto"/>
              <w:right w:val="single" w:sz="2" w:space="0" w:color="999999"/>
            </w:tcBorders>
            <w:shd w:val="clear" w:color="auto" w:fill="FFFFFF"/>
          </w:tcPr>
          <w:p w14:paraId="565A3823"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5E287340" w14:textId="77777777" w:rsidR="009D3DC8" w:rsidRDefault="009D3DC8">
            <w:pPr>
              <w:spacing w:before="60" w:after="60" w:line="240" w:lineRule="auto"/>
              <w:rPr>
                <w:rFonts w:ascii="Arial" w:hAnsi="Arial" w:cs="Arial"/>
                <w:sz w:val="16"/>
                <w:szCs w:val="16"/>
              </w:rPr>
            </w:pPr>
            <w:r>
              <w:rPr>
                <w:rFonts w:ascii="Arial" w:hAnsi="Arial" w:cs="Arial"/>
                <w:sz w:val="16"/>
                <w:szCs w:val="16"/>
              </w:rPr>
              <w:t>Feeds on the young leaves of mangosteen trees (Nagao</w:t>
            </w:r>
            <w:r>
              <w:rPr>
                <w:rFonts w:ascii="Arial" w:hAnsi="Arial" w:cs="Arial"/>
                <w:i/>
                <w:sz w:val="16"/>
                <w:szCs w:val="16"/>
              </w:rPr>
              <w:t xml:space="preserve"> et al.</w:t>
            </w:r>
            <w:r>
              <w:rPr>
                <w:rFonts w:ascii="Arial" w:hAnsi="Arial" w:cs="Arial"/>
                <w:sz w:val="16"/>
                <w:szCs w:val="16"/>
              </w:rPr>
              <w:t xml:space="preserve"> 2004), causing damage to emerging leaves and shoot tips (Osman and Milan 2006). </w:t>
            </w:r>
          </w:p>
        </w:tc>
        <w:tc>
          <w:tcPr>
            <w:tcW w:w="2007" w:type="dxa"/>
            <w:tcBorders>
              <w:left w:val="single" w:sz="2" w:space="0" w:color="999999"/>
              <w:bottom w:val="single" w:sz="2" w:space="0" w:color="auto"/>
              <w:right w:val="single" w:sz="2" w:space="0" w:color="999999"/>
            </w:tcBorders>
            <w:shd w:val="clear" w:color="auto" w:fill="FFFFFF"/>
          </w:tcPr>
          <w:p w14:paraId="50DA449A"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6086A66E"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28ABA5AD"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5BFF9DE9" w14:textId="77777777" w:rsidR="009D3DC8" w:rsidRDefault="009D3DC8">
            <w:pPr>
              <w:pStyle w:val="TableText1"/>
              <w:rPr>
                <w:rFonts w:ascii="Arial" w:hAnsi="Arial" w:cs="Arial"/>
                <w:szCs w:val="16"/>
              </w:rPr>
            </w:pPr>
            <w:r>
              <w:rPr>
                <w:rFonts w:ascii="Arial" w:hAnsi="Arial" w:cs="Arial"/>
                <w:szCs w:val="16"/>
              </w:rPr>
              <w:t>No</w:t>
            </w:r>
          </w:p>
        </w:tc>
      </w:tr>
      <w:tr w:rsidR="009D3DC8" w14:paraId="5438F73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9EA6BAD" w14:textId="77777777" w:rsidR="009D3DC8" w:rsidRDefault="009D3DC8">
            <w:pPr>
              <w:pStyle w:val="TableText"/>
              <w:spacing w:line="240" w:lineRule="auto"/>
              <w:rPr>
                <w:rFonts w:cs="Arial"/>
                <w:szCs w:val="16"/>
              </w:rPr>
            </w:pPr>
            <w:r>
              <w:rPr>
                <w:rFonts w:cs="Arial"/>
                <w:i/>
                <w:szCs w:val="16"/>
              </w:rPr>
              <w:t>Stictoptera grisea</w:t>
            </w:r>
            <w:r>
              <w:rPr>
                <w:rFonts w:cs="Arial"/>
                <w:szCs w:val="16"/>
              </w:rPr>
              <w:t xml:space="preserve"> Moore, 1868</w:t>
            </w:r>
          </w:p>
          <w:p w14:paraId="21318C5D" w14:textId="77777777" w:rsidR="009D3DC8" w:rsidRDefault="009D3DC8">
            <w:pPr>
              <w:pStyle w:val="TableText"/>
              <w:spacing w:line="240" w:lineRule="auto"/>
              <w:rPr>
                <w:rFonts w:cs="Arial"/>
                <w:szCs w:val="16"/>
              </w:rPr>
            </w:pPr>
            <w:r>
              <w:rPr>
                <w:rFonts w:cs="Arial"/>
                <w:szCs w:val="16"/>
              </w:rPr>
              <w:t>[Lepidoptera: Noctuidae]</w:t>
            </w:r>
          </w:p>
          <w:p w14:paraId="04E28E53"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Leaf-eating caterpillar</w:t>
            </w:r>
          </w:p>
        </w:tc>
        <w:tc>
          <w:tcPr>
            <w:tcW w:w="2146" w:type="dxa"/>
            <w:tcBorders>
              <w:left w:val="single" w:sz="2" w:space="0" w:color="999999"/>
              <w:bottom w:val="single" w:sz="2" w:space="0" w:color="auto"/>
              <w:right w:val="single" w:sz="2" w:space="0" w:color="999999"/>
            </w:tcBorders>
            <w:shd w:val="clear" w:color="auto" w:fill="FFFFFF"/>
          </w:tcPr>
          <w:p w14:paraId="027AC50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3AE51381" w14:textId="77777777" w:rsidR="009D3DC8" w:rsidRDefault="009D3DC8">
            <w:pPr>
              <w:spacing w:before="60" w:after="60" w:line="240" w:lineRule="auto"/>
              <w:rPr>
                <w:rFonts w:ascii="Arial" w:hAnsi="Arial" w:cs="Arial"/>
                <w:sz w:val="16"/>
                <w:szCs w:val="16"/>
              </w:rPr>
            </w:pPr>
            <w:r>
              <w:rPr>
                <w:rFonts w:ascii="Arial" w:hAnsi="Arial" w:cs="Arial"/>
                <w:sz w:val="16"/>
                <w:szCs w:val="16"/>
              </w:rPr>
              <w:t>(Holloway 1985)</w:t>
            </w:r>
          </w:p>
        </w:tc>
        <w:tc>
          <w:tcPr>
            <w:tcW w:w="2670" w:type="dxa"/>
            <w:tcBorders>
              <w:left w:val="single" w:sz="2" w:space="0" w:color="999999"/>
              <w:bottom w:val="single" w:sz="2" w:space="0" w:color="auto"/>
              <w:right w:val="single" w:sz="2" w:space="0" w:color="999999"/>
            </w:tcBorders>
            <w:shd w:val="clear" w:color="auto" w:fill="FFFFFF"/>
          </w:tcPr>
          <w:p w14:paraId="012A08AC"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449B5991" w14:textId="77777777" w:rsidR="009D3DC8" w:rsidRDefault="009D3DC8">
            <w:pPr>
              <w:spacing w:before="60" w:after="60" w:line="240" w:lineRule="auto"/>
              <w:rPr>
                <w:rFonts w:ascii="Arial" w:hAnsi="Arial" w:cs="Arial"/>
                <w:sz w:val="16"/>
                <w:szCs w:val="16"/>
              </w:rPr>
            </w:pPr>
            <w:r>
              <w:rPr>
                <w:rFonts w:ascii="Arial" w:hAnsi="Arial" w:cs="Arial"/>
                <w:sz w:val="16"/>
                <w:szCs w:val="16"/>
              </w:rPr>
              <w:t>Larvae feed on the leaves of mangosteen trees causing defoliation (Mathur and Singh 1960; Robinson</w:t>
            </w:r>
            <w:r>
              <w:rPr>
                <w:rFonts w:ascii="Arial" w:hAnsi="Arial" w:cs="Arial"/>
                <w:i/>
                <w:sz w:val="16"/>
                <w:szCs w:val="16"/>
              </w:rPr>
              <w:t xml:space="preserve"> et al.</w:t>
            </w:r>
            <w:r>
              <w:rPr>
                <w:rFonts w:ascii="Arial" w:hAnsi="Arial" w:cs="Arial"/>
                <w:sz w:val="16"/>
                <w:szCs w:val="16"/>
              </w:rPr>
              <w:t xml:space="preserve"> 2001).</w:t>
            </w:r>
          </w:p>
        </w:tc>
        <w:tc>
          <w:tcPr>
            <w:tcW w:w="2007" w:type="dxa"/>
            <w:tcBorders>
              <w:left w:val="single" w:sz="2" w:space="0" w:color="999999"/>
              <w:bottom w:val="single" w:sz="2" w:space="0" w:color="auto"/>
              <w:right w:val="single" w:sz="2" w:space="0" w:color="999999"/>
            </w:tcBorders>
            <w:shd w:val="clear" w:color="auto" w:fill="FFFFFF"/>
          </w:tcPr>
          <w:p w14:paraId="16C7FA87"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10E2CCBC"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7D50AE8"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7310527A"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2683778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28721F81" w14:textId="77777777" w:rsidR="009D3DC8" w:rsidRDefault="009D3DC8">
            <w:pPr>
              <w:pStyle w:val="TableText"/>
              <w:spacing w:line="240" w:lineRule="auto"/>
              <w:rPr>
                <w:rFonts w:cs="Arial"/>
                <w:szCs w:val="16"/>
              </w:rPr>
            </w:pPr>
            <w:r>
              <w:rPr>
                <w:rFonts w:cs="Arial"/>
                <w:i/>
                <w:szCs w:val="16"/>
              </w:rPr>
              <w:t>Stictoptera signifera</w:t>
            </w:r>
            <w:r>
              <w:rPr>
                <w:rFonts w:cs="Arial"/>
                <w:szCs w:val="16"/>
              </w:rPr>
              <w:t xml:space="preserve"> Walker, 1857</w:t>
            </w:r>
          </w:p>
          <w:p w14:paraId="3D2F55C1" w14:textId="77777777" w:rsidR="009D3DC8" w:rsidRDefault="009D3DC8">
            <w:pPr>
              <w:pStyle w:val="TableText"/>
              <w:spacing w:line="240" w:lineRule="auto"/>
              <w:rPr>
                <w:rFonts w:cs="Arial"/>
                <w:szCs w:val="16"/>
              </w:rPr>
            </w:pPr>
            <w:r>
              <w:rPr>
                <w:rFonts w:cs="Arial"/>
                <w:szCs w:val="16"/>
              </w:rPr>
              <w:t>[Lepidoptera: Noctuidae]</w:t>
            </w:r>
          </w:p>
          <w:p w14:paraId="5BF9A84D"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Leaf-eating caterpillar</w:t>
            </w:r>
          </w:p>
        </w:tc>
        <w:tc>
          <w:tcPr>
            <w:tcW w:w="2146" w:type="dxa"/>
            <w:tcBorders>
              <w:left w:val="single" w:sz="2" w:space="0" w:color="999999"/>
              <w:bottom w:val="single" w:sz="2" w:space="0" w:color="auto"/>
              <w:right w:val="single" w:sz="2" w:space="0" w:color="999999"/>
            </w:tcBorders>
            <w:shd w:val="clear" w:color="auto" w:fill="FFFFFF"/>
          </w:tcPr>
          <w:p w14:paraId="13BA6DFD"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721A387B" w14:textId="77777777" w:rsidR="009D3DC8" w:rsidRDefault="009D3DC8">
            <w:pPr>
              <w:spacing w:before="60" w:after="60" w:line="240" w:lineRule="auto"/>
              <w:rPr>
                <w:rFonts w:ascii="Arial" w:hAnsi="Arial" w:cs="Arial"/>
                <w:sz w:val="16"/>
                <w:szCs w:val="16"/>
              </w:rPr>
            </w:pPr>
            <w:r>
              <w:rPr>
                <w:rFonts w:ascii="Arial" w:hAnsi="Arial" w:cs="Arial"/>
                <w:sz w:val="16"/>
                <w:szCs w:val="16"/>
              </w:rPr>
              <w:t>(Ooi</w:t>
            </w:r>
            <w:r>
              <w:rPr>
                <w:rFonts w:ascii="Arial" w:hAnsi="Arial" w:cs="Arial"/>
                <w:i/>
                <w:sz w:val="16"/>
                <w:szCs w:val="16"/>
              </w:rPr>
              <w:t xml:space="preserve"> et al.</w:t>
            </w:r>
            <w:r>
              <w:rPr>
                <w:rFonts w:ascii="Arial" w:hAnsi="Arial" w:cs="Arial"/>
                <w:sz w:val="16"/>
                <w:szCs w:val="16"/>
              </w:rPr>
              <w:t xml:space="preserve"> 2002)</w:t>
            </w:r>
          </w:p>
        </w:tc>
        <w:tc>
          <w:tcPr>
            <w:tcW w:w="2670" w:type="dxa"/>
            <w:tcBorders>
              <w:left w:val="single" w:sz="2" w:space="0" w:color="999999"/>
              <w:bottom w:val="single" w:sz="2" w:space="0" w:color="auto"/>
              <w:right w:val="single" w:sz="2" w:space="0" w:color="999999"/>
            </w:tcBorders>
            <w:shd w:val="clear" w:color="auto" w:fill="FFFFFF"/>
          </w:tcPr>
          <w:p w14:paraId="72F5C203"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5920ECB1" w14:textId="77777777" w:rsidR="009D3DC8" w:rsidRDefault="009D3DC8">
            <w:pPr>
              <w:spacing w:before="60" w:after="60" w:line="240" w:lineRule="auto"/>
              <w:rPr>
                <w:rFonts w:ascii="Arial" w:hAnsi="Arial" w:cs="Arial"/>
                <w:sz w:val="16"/>
                <w:szCs w:val="16"/>
              </w:rPr>
            </w:pPr>
            <w:r>
              <w:rPr>
                <w:rFonts w:ascii="Arial" w:hAnsi="Arial" w:cs="Arial"/>
                <w:sz w:val="16"/>
                <w:szCs w:val="16"/>
              </w:rPr>
              <w:t>Feeds on the young leaves of mangosteen trees (Ooi</w:t>
            </w:r>
            <w:r>
              <w:rPr>
                <w:rFonts w:ascii="Arial" w:hAnsi="Arial" w:cs="Arial"/>
                <w:i/>
                <w:sz w:val="16"/>
                <w:szCs w:val="16"/>
              </w:rPr>
              <w:t xml:space="preserve"> et al.</w:t>
            </w:r>
            <w:r>
              <w:rPr>
                <w:rFonts w:ascii="Arial" w:hAnsi="Arial" w:cs="Arial"/>
                <w:sz w:val="16"/>
                <w:szCs w:val="16"/>
              </w:rPr>
              <w:t xml:space="preserve"> 2002).</w:t>
            </w:r>
          </w:p>
        </w:tc>
        <w:tc>
          <w:tcPr>
            <w:tcW w:w="2007" w:type="dxa"/>
            <w:tcBorders>
              <w:left w:val="single" w:sz="2" w:space="0" w:color="999999"/>
              <w:bottom w:val="single" w:sz="2" w:space="0" w:color="auto"/>
              <w:right w:val="single" w:sz="2" w:space="0" w:color="999999"/>
            </w:tcBorders>
            <w:shd w:val="clear" w:color="auto" w:fill="FFFFFF"/>
          </w:tcPr>
          <w:p w14:paraId="5F252907"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2FA3CC82"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39E95E56"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48D4CB2E"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059B22E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C8E663E" w14:textId="77777777" w:rsidR="009D3DC8" w:rsidRDefault="009D3DC8">
            <w:pPr>
              <w:pStyle w:val="TableText"/>
              <w:spacing w:line="240" w:lineRule="auto"/>
              <w:rPr>
                <w:rFonts w:cs="Arial"/>
                <w:szCs w:val="16"/>
              </w:rPr>
            </w:pPr>
            <w:r>
              <w:rPr>
                <w:rFonts w:cs="Arial"/>
                <w:i/>
                <w:szCs w:val="16"/>
              </w:rPr>
              <w:lastRenderedPageBreak/>
              <w:t xml:space="preserve">Tetramoera schistaceana </w:t>
            </w:r>
            <w:r>
              <w:rPr>
                <w:rFonts w:cs="Arial"/>
                <w:szCs w:val="16"/>
              </w:rPr>
              <w:t>(Snellen, 1851)</w:t>
            </w:r>
          </w:p>
          <w:p w14:paraId="1DF52255" w14:textId="77777777" w:rsidR="009D3DC8" w:rsidRDefault="009D3DC8">
            <w:pPr>
              <w:pStyle w:val="TableText"/>
              <w:spacing w:line="240" w:lineRule="auto"/>
              <w:rPr>
                <w:rFonts w:cs="Arial"/>
                <w:szCs w:val="16"/>
              </w:rPr>
            </w:pPr>
            <w:r>
              <w:rPr>
                <w:rFonts w:cs="Arial"/>
                <w:szCs w:val="16"/>
              </w:rPr>
              <w:t>[Lepidoptera: Tortricidae]</w:t>
            </w:r>
          </w:p>
          <w:p w14:paraId="6032C722"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Sugarcane shoot borer; white borer</w:t>
            </w:r>
          </w:p>
        </w:tc>
        <w:tc>
          <w:tcPr>
            <w:tcW w:w="2146" w:type="dxa"/>
            <w:tcBorders>
              <w:left w:val="single" w:sz="2" w:space="0" w:color="999999"/>
              <w:bottom w:val="single" w:sz="2" w:space="0" w:color="auto"/>
              <w:right w:val="single" w:sz="2" w:space="0" w:color="999999"/>
            </w:tcBorders>
            <w:shd w:val="clear" w:color="auto" w:fill="FFFFFF"/>
          </w:tcPr>
          <w:p w14:paraId="170E3C4B"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82BD407"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(Ruinard 1958; CABI 2011) </w:t>
            </w:r>
          </w:p>
        </w:tc>
        <w:tc>
          <w:tcPr>
            <w:tcW w:w="2670" w:type="dxa"/>
            <w:tcBorders>
              <w:left w:val="single" w:sz="2" w:space="0" w:color="999999"/>
              <w:bottom w:val="single" w:sz="2" w:space="0" w:color="auto"/>
              <w:right w:val="single" w:sz="2" w:space="0" w:color="999999"/>
            </w:tcBorders>
            <w:shd w:val="clear" w:color="auto" w:fill="FFFFFF"/>
          </w:tcPr>
          <w:p w14:paraId="6471CEA8"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7D11F31F"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Robinson </w:t>
            </w:r>
            <w:r>
              <w:rPr>
                <w:rFonts w:ascii="Arial" w:hAnsi="Arial" w:cs="Arial"/>
                <w:i/>
                <w:sz w:val="16"/>
                <w:szCs w:val="16"/>
              </w:rPr>
              <w:t xml:space="preserve">et al. </w:t>
            </w:r>
            <w:r>
              <w:rPr>
                <w:rFonts w:ascii="Arial" w:hAnsi="Arial" w:cs="Arial"/>
                <w:sz w:val="16"/>
                <w:szCs w:val="16"/>
              </w:rPr>
              <w:t xml:space="preserve">(2010) reported </w:t>
            </w:r>
            <w:r>
              <w:rPr>
                <w:rFonts w:ascii="Arial" w:hAnsi="Arial" w:cs="Arial"/>
                <w:i/>
                <w:sz w:val="16"/>
                <w:szCs w:val="16"/>
              </w:rPr>
              <w:t xml:space="preserve">T. schistaceana </w:t>
            </w:r>
            <w:r>
              <w:rPr>
                <w:rFonts w:ascii="Arial" w:hAnsi="Arial" w:cs="Arial"/>
                <w:sz w:val="16"/>
                <w:szCs w:val="16"/>
              </w:rPr>
              <w:t>as a pest of mangosteen, but the pest appears to be specific to sugarcane (BSES Limited 2011).</w:t>
            </w:r>
          </w:p>
        </w:tc>
        <w:tc>
          <w:tcPr>
            <w:tcW w:w="2007" w:type="dxa"/>
            <w:tcBorders>
              <w:left w:val="single" w:sz="2" w:space="0" w:color="999999"/>
              <w:bottom w:val="single" w:sz="2" w:space="0" w:color="auto"/>
              <w:right w:val="single" w:sz="2" w:space="0" w:color="999999"/>
            </w:tcBorders>
            <w:shd w:val="clear" w:color="auto" w:fill="FFFFFF"/>
          </w:tcPr>
          <w:p w14:paraId="34A8E246" w14:textId="77777777" w:rsidR="009D3DC8" w:rsidRDefault="009D3DC8">
            <w:pPr>
              <w:spacing w:before="60" w:after="60" w:line="240" w:lineRule="auto"/>
              <w:rPr>
                <w:rFonts w:ascii="Arial" w:hAnsi="Arial" w:cs="Arial"/>
                <w:sz w:val="16"/>
                <w:szCs w:val="16"/>
              </w:rPr>
            </w:pPr>
            <w:r>
              <w:rPr>
                <w:rFonts w:ascii="Arial" w:hAnsi="Arial" w:cs="Arial"/>
                <w:sz w:val="16"/>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4DFD7491"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0F6DB00D"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7E07A03C"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23A5FDC5" w14:textId="77777777">
        <w:trPr>
          <w:cantSplit/>
          <w:trHeight w:val="75"/>
          <w:jc w:val="center"/>
        </w:trPr>
        <w:tc>
          <w:tcPr>
            <w:tcW w:w="15840" w:type="dxa"/>
            <w:gridSpan w:val="9"/>
            <w:tcBorders>
              <w:bottom w:val="single" w:sz="2" w:space="0" w:color="auto"/>
            </w:tcBorders>
            <w:shd w:val="clear" w:color="auto" w:fill="E6E6E6"/>
          </w:tcPr>
          <w:p w14:paraId="2B958F44" w14:textId="77777777" w:rsidR="009D3DC8" w:rsidRDefault="009D3DC8">
            <w:pPr>
              <w:pStyle w:val="TableText1"/>
              <w:rPr>
                <w:rFonts w:ascii="Arial" w:hAnsi="Arial" w:cs="Arial"/>
                <w:color w:val="auto"/>
                <w:szCs w:val="16"/>
              </w:rPr>
            </w:pPr>
            <w:r>
              <w:rPr>
                <w:rFonts w:ascii="Arial" w:hAnsi="Arial" w:cs="Arial"/>
                <w:b/>
                <w:color w:val="auto"/>
                <w:szCs w:val="16"/>
              </w:rPr>
              <w:t>Order Thysanoptera</w:t>
            </w:r>
          </w:p>
        </w:tc>
      </w:tr>
      <w:tr w:rsidR="009D3DC8" w14:paraId="09083740"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32052EC8" w14:textId="77777777" w:rsidR="009D3DC8" w:rsidRDefault="009D3DC8">
            <w:pPr>
              <w:pStyle w:val="TableText"/>
              <w:spacing w:line="240" w:lineRule="auto"/>
              <w:rPr>
                <w:rFonts w:cs="Arial"/>
                <w:i/>
                <w:szCs w:val="16"/>
              </w:rPr>
            </w:pPr>
            <w:r>
              <w:rPr>
                <w:rFonts w:cs="Arial"/>
                <w:i/>
                <w:szCs w:val="16"/>
              </w:rPr>
              <w:t xml:space="preserve">Caliothrips striatopterus </w:t>
            </w:r>
            <w:r>
              <w:rPr>
                <w:rFonts w:cs="Arial"/>
                <w:szCs w:val="16"/>
              </w:rPr>
              <w:t>(Kobus,1893)</w:t>
            </w:r>
          </w:p>
          <w:p w14:paraId="0BE07BB0"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[Thysanoptera: Thripidae]</w:t>
            </w:r>
          </w:p>
        </w:tc>
        <w:tc>
          <w:tcPr>
            <w:tcW w:w="2146" w:type="dxa"/>
            <w:tcBorders>
              <w:left w:val="single" w:sz="2" w:space="0" w:color="999999"/>
              <w:bottom w:val="single" w:sz="2" w:space="0" w:color="auto"/>
              <w:right w:val="single" w:sz="2" w:space="0" w:color="999999"/>
            </w:tcBorders>
            <w:shd w:val="clear" w:color="auto" w:fill="FFFFFF"/>
          </w:tcPr>
          <w:p w14:paraId="3DF5B7EC"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69DC04A" w14:textId="77777777" w:rsidR="009D3DC8" w:rsidRDefault="009D3DC8">
            <w:pPr>
              <w:spacing w:before="60" w:after="60" w:line="240" w:lineRule="auto"/>
              <w:rPr>
                <w:rFonts w:ascii="Arial" w:hAnsi="Arial" w:cs="Arial"/>
                <w:sz w:val="16"/>
                <w:szCs w:val="16"/>
              </w:rPr>
            </w:pPr>
            <w:r>
              <w:rPr>
                <w:rFonts w:ascii="Arial" w:hAnsi="Arial" w:cs="Arial"/>
                <w:sz w:val="16"/>
                <w:szCs w:val="16"/>
              </w:rPr>
              <w:t>(ABRS 2009)</w:t>
            </w:r>
          </w:p>
        </w:tc>
        <w:tc>
          <w:tcPr>
            <w:tcW w:w="2670" w:type="dxa"/>
            <w:tcBorders>
              <w:left w:val="single" w:sz="2" w:space="0" w:color="999999"/>
              <w:bottom w:val="single" w:sz="2" w:space="0" w:color="auto"/>
              <w:right w:val="single" w:sz="2" w:space="0" w:color="999999"/>
            </w:tcBorders>
            <w:shd w:val="clear" w:color="auto" w:fill="FFFFFF"/>
          </w:tcPr>
          <w:p w14:paraId="3CE68B68"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737EFB48" w14:textId="77777777" w:rsidR="009D3DC8" w:rsidRDefault="009D3DC8">
            <w:pPr>
              <w:spacing w:before="60" w:after="60" w:line="240" w:lineRule="auto"/>
              <w:rPr>
                <w:rFonts w:ascii="Arial" w:hAnsi="Arial" w:cs="Arial"/>
                <w:sz w:val="16"/>
                <w:szCs w:val="16"/>
              </w:rPr>
            </w:pPr>
            <w:r>
              <w:rPr>
                <w:rFonts w:ascii="Arial" w:hAnsi="Arial" w:cs="Arial"/>
                <w:sz w:val="16"/>
                <w:szCs w:val="16"/>
              </w:rPr>
              <w:t>Recorded as a pest of mangosteen (Pableo and Velasco 1994). No records of association with the mangosteen fruit.</w:t>
            </w:r>
          </w:p>
        </w:tc>
        <w:tc>
          <w:tcPr>
            <w:tcW w:w="2007" w:type="dxa"/>
            <w:tcBorders>
              <w:left w:val="single" w:sz="2" w:space="0" w:color="999999"/>
              <w:bottom w:val="single" w:sz="2" w:space="0" w:color="auto"/>
              <w:right w:val="single" w:sz="2" w:space="0" w:color="999999"/>
            </w:tcBorders>
            <w:shd w:val="clear" w:color="auto" w:fill="FFFFFF"/>
          </w:tcPr>
          <w:p w14:paraId="697AE593"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AC63250" w14:textId="77777777" w:rsidR="009D3DC8" w:rsidRDefault="009D3DC8">
            <w:pPr>
              <w:spacing w:before="60" w:after="60" w:line="240" w:lineRule="auto"/>
              <w:rPr>
                <w:rFonts w:ascii="Arial" w:hAnsi="Arial" w:cs="Arial"/>
                <w:sz w:val="16"/>
                <w:szCs w:val="16"/>
              </w:rPr>
            </w:pPr>
            <w:r>
              <w:rPr>
                <w:rFonts w:ascii="Arial" w:hAnsi="Arial" w:cs="Arial"/>
                <w:sz w:val="16"/>
                <w:szCs w:val="16"/>
              </w:rPr>
              <w:t>NSW, NT, Qld, WA (ABRS 2009; Poole 2010)</w:t>
            </w:r>
          </w:p>
        </w:tc>
        <w:tc>
          <w:tcPr>
            <w:tcW w:w="2537" w:type="dxa"/>
            <w:tcBorders>
              <w:left w:val="single" w:sz="2" w:space="0" w:color="999999"/>
              <w:bottom w:val="single" w:sz="2" w:space="0" w:color="auto"/>
              <w:right w:val="single" w:sz="2" w:space="0" w:color="999999"/>
            </w:tcBorders>
            <w:shd w:val="clear" w:color="auto" w:fill="FFFFFF"/>
          </w:tcPr>
          <w:p w14:paraId="1084EED9"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6CBAEC2"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5EFC1D98"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03CAECC9"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B3C3C5D" w14:textId="77777777" w:rsidR="009D3DC8" w:rsidRDefault="009D3DC8">
            <w:pPr>
              <w:pStyle w:val="TableText1"/>
              <w:keepNext w:val="0"/>
              <w:rPr>
                <w:rFonts w:ascii="Arial" w:hAnsi="Arial" w:cs="Arial"/>
                <w:color w:val="auto"/>
                <w:szCs w:val="16"/>
                <w:lang w:val="en-US"/>
              </w:rPr>
            </w:pPr>
            <w:r>
              <w:rPr>
                <w:rFonts w:ascii="Arial" w:hAnsi="Arial" w:cs="Arial"/>
                <w:i/>
                <w:color w:val="auto"/>
                <w:szCs w:val="16"/>
                <w:lang w:val="en-US"/>
              </w:rPr>
              <w:t xml:space="preserve">Heliothrips haemorrhoidalis </w:t>
            </w:r>
            <w:r>
              <w:rPr>
                <w:rFonts w:ascii="Arial" w:hAnsi="Arial" w:cs="Arial"/>
                <w:color w:val="auto"/>
                <w:szCs w:val="16"/>
                <w:lang w:val="en-US"/>
              </w:rPr>
              <w:t>(Bouché, 1833)</w:t>
            </w:r>
          </w:p>
          <w:p w14:paraId="70E47268" w14:textId="77777777" w:rsidR="009D3DC8" w:rsidRDefault="009D3DC8">
            <w:pPr>
              <w:pStyle w:val="TableText1"/>
              <w:keepNext w:val="0"/>
              <w:rPr>
                <w:rFonts w:ascii="Arial" w:hAnsi="Arial" w:cs="Arial"/>
                <w:color w:val="auto"/>
                <w:szCs w:val="16"/>
                <w:lang w:val="en-US"/>
              </w:rPr>
            </w:pPr>
            <w:r>
              <w:rPr>
                <w:rFonts w:ascii="Arial" w:hAnsi="Arial" w:cs="Arial"/>
                <w:color w:val="auto"/>
                <w:szCs w:val="16"/>
                <w:lang w:val="en-US"/>
              </w:rPr>
              <w:t>[</w:t>
            </w:r>
            <w:r>
              <w:rPr>
                <w:rFonts w:ascii="Arial" w:hAnsi="Arial" w:cs="Arial"/>
                <w:szCs w:val="16"/>
              </w:rPr>
              <w:t xml:space="preserve">Thysanoptera: </w:t>
            </w:r>
            <w:r>
              <w:rPr>
                <w:rFonts w:ascii="Arial" w:hAnsi="Arial" w:cs="Arial"/>
                <w:color w:val="auto"/>
                <w:szCs w:val="16"/>
                <w:lang w:val="en-US"/>
              </w:rPr>
              <w:t>Thripidae]</w:t>
            </w:r>
          </w:p>
          <w:p w14:paraId="0705E995"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lang w:val="en-US"/>
              </w:rPr>
              <w:t>Greenhouse thrips</w:t>
            </w:r>
          </w:p>
        </w:tc>
        <w:tc>
          <w:tcPr>
            <w:tcW w:w="2146" w:type="dxa"/>
            <w:tcBorders>
              <w:left w:val="single" w:sz="2" w:space="0" w:color="999999"/>
              <w:bottom w:val="single" w:sz="2" w:space="0" w:color="auto"/>
              <w:right w:val="single" w:sz="2" w:space="0" w:color="999999"/>
            </w:tcBorders>
            <w:shd w:val="clear" w:color="auto" w:fill="FFFFFF"/>
          </w:tcPr>
          <w:p w14:paraId="08DEBEE4"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44DE86C" w14:textId="77777777" w:rsidR="009D3DC8" w:rsidRDefault="009D3DC8">
            <w:pPr>
              <w:spacing w:before="60" w:after="60" w:line="240" w:lineRule="auto"/>
              <w:rPr>
                <w:rFonts w:ascii="Arial" w:hAnsi="Arial" w:cs="Arial"/>
                <w:sz w:val="16"/>
                <w:szCs w:val="16"/>
              </w:rPr>
            </w:pPr>
            <w:r>
              <w:rPr>
                <w:rFonts w:ascii="Arial" w:hAnsi="Arial" w:cs="Arial"/>
                <w:sz w:val="16"/>
                <w:szCs w:val="16"/>
              </w:rPr>
              <w:t>(Idham</w:t>
            </w:r>
            <w:r>
              <w:rPr>
                <w:rFonts w:ascii="Arial" w:hAnsi="Arial" w:cs="Arial"/>
                <w:i/>
                <w:sz w:val="16"/>
                <w:szCs w:val="16"/>
              </w:rPr>
              <w:t xml:space="preserve"> et al.</w:t>
            </w:r>
            <w:r>
              <w:rPr>
                <w:rFonts w:ascii="Arial" w:hAnsi="Arial" w:cs="Arial"/>
                <w:sz w:val="16"/>
                <w:szCs w:val="16"/>
              </w:rPr>
              <w:t xml:space="preserve"> 2009)</w:t>
            </w:r>
          </w:p>
        </w:tc>
        <w:tc>
          <w:tcPr>
            <w:tcW w:w="2670" w:type="dxa"/>
            <w:tcBorders>
              <w:left w:val="single" w:sz="2" w:space="0" w:color="999999"/>
              <w:bottom w:val="single" w:sz="2" w:space="0" w:color="auto"/>
              <w:right w:val="single" w:sz="2" w:space="0" w:color="999999"/>
            </w:tcBorders>
            <w:shd w:val="clear" w:color="auto" w:fill="FFFFFF"/>
          </w:tcPr>
          <w:p w14:paraId="1BDA6EE6"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25DD241B" w14:textId="77777777" w:rsidR="009D3DC8" w:rsidRDefault="009D3DC8">
            <w:pPr>
              <w:spacing w:before="60" w:after="60" w:line="240" w:lineRule="auto"/>
              <w:rPr>
                <w:rFonts w:ascii="Arial" w:hAnsi="Arial" w:cs="Arial"/>
                <w:sz w:val="16"/>
                <w:szCs w:val="16"/>
              </w:rPr>
            </w:pPr>
            <w:r>
              <w:rPr>
                <w:rFonts w:ascii="Arial" w:hAnsi="Arial" w:cs="Arial"/>
                <w:sz w:val="16"/>
                <w:szCs w:val="16"/>
              </w:rPr>
              <w:t>Feeds on buds of mangosteen (Idham</w:t>
            </w:r>
            <w:r>
              <w:rPr>
                <w:rFonts w:ascii="Arial" w:hAnsi="Arial" w:cs="Arial"/>
                <w:i/>
                <w:sz w:val="16"/>
                <w:szCs w:val="16"/>
              </w:rPr>
              <w:t xml:space="preserve"> et al.</w:t>
            </w:r>
            <w:r>
              <w:rPr>
                <w:rFonts w:ascii="Arial" w:hAnsi="Arial" w:cs="Arial"/>
                <w:sz w:val="16"/>
                <w:szCs w:val="16"/>
              </w:rPr>
              <w:t xml:space="preserve"> 2009).</w:t>
            </w:r>
          </w:p>
        </w:tc>
        <w:tc>
          <w:tcPr>
            <w:tcW w:w="2007" w:type="dxa"/>
            <w:tcBorders>
              <w:left w:val="single" w:sz="2" w:space="0" w:color="999999"/>
              <w:bottom w:val="single" w:sz="2" w:space="0" w:color="auto"/>
              <w:right w:val="single" w:sz="2" w:space="0" w:color="999999"/>
            </w:tcBorders>
            <w:shd w:val="clear" w:color="auto" w:fill="FFFFFF"/>
          </w:tcPr>
          <w:p w14:paraId="2FBEDC47"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81559AC" w14:textId="77777777" w:rsidR="009D3DC8" w:rsidRDefault="009D3DC8">
            <w:pPr>
              <w:spacing w:before="60" w:after="60" w:line="240" w:lineRule="auto"/>
              <w:rPr>
                <w:rFonts w:ascii="Arial" w:hAnsi="Arial" w:cs="Arial"/>
                <w:sz w:val="16"/>
                <w:szCs w:val="16"/>
              </w:rPr>
            </w:pPr>
            <w:r>
              <w:rPr>
                <w:rFonts w:ascii="Arial" w:hAnsi="Arial" w:cs="Arial"/>
                <w:sz w:val="16"/>
                <w:szCs w:val="16"/>
              </w:rPr>
              <w:t>All states and territories</w:t>
            </w:r>
          </w:p>
          <w:p w14:paraId="761DF911" w14:textId="77777777" w:rsidR="009D3DC8" w:rsidRDefault="009D3DC8">
            <w:pPr>
              <w:spacing w:before="60" w:after="60" w:line="240" w:lineRule="auto"/>
              <w:rPr>
                <w:rFonts w:ascii="Arial" w:hAnsi="Arial" w:cs="Arial"/>
                <w:sz w:val="16"/>
                <w:szCs w:val="16"/>
              </w:rPr>
            </w:pPr>
            <w:r>
              <w:rPr>
                <w:rFonts w:ascii="Arial" w:hAnsi="Arial" w:cs="Arial"/>
                <w:sz w:val="16"/>
                <w:szCs w:val="16"/>
              </w:rPr>
              <w:t>(APPD 2011)</w:t>
            </w:r>
          </w:p>
        </w:tc>
        <w:tc>
          <w:tcPr>
            <w:tcW w:w="2537" w:type="dxa"/>
            <w:tcBorders>
              <w:left w:val="single" w:sz="2" w:space="0" w:color="999999"/>
              <w:bottom w:val="single" w:sz="2" w:space="0" w:color="auto"/>
              <w:right w:val="single" w:sz="2" w:space="0" w:color="999999"/>
            </w:tcBorders>
            <w:shd w:val="clear" w:color="auto" w:fill="FFFFFF"/>
          </w:tcPr>
          <w:p w14:paraId="76E8FC5B"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63262093"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48BC886F"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6A9E343E"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1AEA820F" w14:textId="77777777" w:rsidR="009D3DC8" w:rsidRDefault="009D3DC8">
            <w:pPr>
              <w:pStyle w:val="TableText"/>
              <w:spacing w:line="240" w:lineRule="auto"/>
              <w:rPr>
                <w:rFonts w:cs="Arial"/>
                <w:szCs w:val="16"/>
              </w:rPr>
            </w:pPr>
            <w:r>
              <w:rPr>
                <w:rFonts w:cs="Arial"/>
                <w:i/>
                <w:szCs w:val="16"/>
              </w:rPr>
              <w:t>Megalurothrips usitatus</w:t>
            </w:r>
            <w:r>
              <w:rPr>
                <w:rFonts w:cs="Arial"/>
                <w:szCs w:val="16"/>
              </w:rPr>
              <w:t xml:space="preserve"> (Bagnall,1913)</w:t>
            </w:r>
          </w:p>
          <w:p w14:paraId="318C4547" w14:textId="77777777" w:rsidR="009D3DC8" w:rsidRDefault="009D3DC8">
            <w:pPr>
              <w:pStyle w:val="TableText"/>
              <w:spacing w:line="240" w:lineRule="auto"/>
              <w:rPr>
                <w:rFonts w:cs="Arial"/>
                <w:szCs w:val="16"/>
              </w:rPr>
            </w:pPr>
            <w:r>
              <w:rPr>
                <w:rFonts w:cs="Arial"/>
                <w:szCs w:val="16"/>
              </w:rPr>
              <w:t>[Thysanoptera: Thripidae]</w:t>
            </w:r>
          </w:p>
          <w:p w14:paraId="6D4A87BC"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Bean flower thrips</w:t>
            </w:r>
          </w:p>
        </w:tc>
        <w:tc>
          <w:tcPr>
            <w:tcW w:w="2146" w:type="dxa"/>
            <w:tcBorders>
              <w:left w:val="single" w:sz="2" w:space="0" w:color="999999"/>
              <w:bottom w:val="single" w:sz="2" w:space="0" w:color="auto"/>
              <w:right w:val="single" w:sz="2" w:space="0" w:color="999999"/>
            </w:tcBorders>
            <w:shd w:val="clear" w:color="auto" w:fill="FFFFFF"/>
          </w:tcPr>
          <w:p w14:paraId="5F463A6B"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43C1648" w14:textId="77777777" w:rsidR="009D3DC8" w:rsidRDefault="009D3DC8">
            <w:pPr>
              <w:spacing w:before="60" w:after="60" w:line="240" w:lineRule="auto"/>
              <w:rPr>
                <w:rFonts w:ascii="Arial" w:hAnsi="Arial" w:cs="Arial"/>
                <w:sz w:val="16"/>
                <w:szCs w:val="16"/>
              </w:rPr>
            </w:pPr>
            <w:r>
              <w:rPr>
                <w:rFonts w:ascii="Arial" w:hAnsi="Arial" w:cs="Arial"/>
                <w:sz w:val="16"/>
                <w:szCs w:val="16"/>
              </w:rPr>
              <w:t>(APEC Agricultural Technical Cooperation Working Group 2008)</w:t>
            </w:r>
          </w:p>
        </w:tc>
        <w:tc>
          <w:tcPr>
            <w:tcW w:w="2670" w:type="dxa"/>
            <w:tcBorders>
              <w:left w:val="single" w:sz="2" w:space="0" w:color="999999"/>
              <w:bottom w:val="single" w:sz="2" w:space="0" w:color="auto"/>
              <w:right w:val="single" w:sz="2" w:space="0" w:color="999999"/>
            </w:tcBorders>
            <w:shd w:val="clear" w:color="auto" w:fill="FFFFFF"/>
          </w:tcPr>
          <w:p w14:paraId="302F81DA"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29955CCB" w14:textId="77777777" w:rsidR="009D3DC8" w:rsidRDefault="009D3DC8">
            <w:pPr>
              <w:spacing w:before="60" w:after="60" w:line="240" w:lineRule="auto"/>
              <w:rPr>
                <w:rFonts w:ascii="Arial" w:hAnsi="Arial" w:cs="Arial"/>
                <w:sz w:val="16"/>
                <w:szCs w:val="16"/>
              </w:rPr>
            </w:pPr>
            <w:r>
              <w:rPr>
                <w:rFonts w:ascii="Arial" w:hAnsi="Arial" w:cs="Arial"/>
                <w:sz w:val="16"/>
                <w:szCs w:val="16"/>
              </w:rPr>
              <w:t>Mainly feeds on various flowering plants of the family Fabaceae (CABI 2011). No records of association with the mangosteen fruit.</w:t>
            </w:r>
          </w:p>
        </w:tc>
        <w:tc>
          <w:tcPr>
            <w:tcW w:w="2007" w:type="dxa"/>
            <w:tcBorders>
              <w:left w:val="single" w:sz="2" w:space="0" w:color="999999"/>
              <w:bottom w:val="single" w:sz="2" w:space="0" w:color="auto"/>
              <w:right w:val="single" w:sz="2" w:space="0" w:color="999999"/>
            </w:tcBorders>
            <w:shd w:val="clear" w:color="auto" w:fill="FFFFFF"/>
          </w:tcPr>
          <w:p w14:paraId="62158DFE"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FF53697" w14:textId="77777777" w:rsidR="009D3DC8" w:rsidRDefault="009D3DC8">
            <w:pPr>
              <w:spacing w:before="60" w:after="60" w:line="240" w:lineRule="auto"/>
              <w:rPr>
                <w:rFonts w:ascii="Arial" w:hAnsi="Arial" w:cs="Arial"/>
                <w:sz w:val="16"/>
                <w:szCs w:val="16"/>
              </w:rPr>
            </w:pPr>
            <w:r>
              <w:rPr>
                <w:rFonts w:ascii="Arial" w:hAnsi="Arial" w:cs="Arial"/>
                <w:sz w:val="16"/>
                <w:szCs w:val="16"/>
              </w:rPr>
              <w:t>NSW, NT, Qld, WA (Poole 2010; APPD 2011)</w:t>
            </w:r>
          </w:p>
        </w:tc>
        <w:tc>
          <w:tcPr>
            <w:tcW w:w="2537" w:type="dxa"/>
            <w:tcBorders>
              <w:left w:val="single" w:sz="2" w:space="0" w:color="999999"/>
              <w:bottom w:val="single" w:sz="2" w:space="0" w:color="auto"/>
              <w:right w:val="single" w:sz="2" w:space="0" w:color="999999"/>
            </w:tcBorders>
            <w:shd w:val="clear" w:color="auto" w:fill="FFFFFF"/>
          </w:tcPr>
          <w:p w14:paraId="2D3C3F95"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7B60135D"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2FD3C7A1"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60D46B42"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24716AC" w14:textId="77777777" w:rsidR="009D3DC8" w:rsidRDefault="009D3DC8">
            <w:pPr>
              <w:pStyle w:val="TableText"/>
              <w:spacing w:line="240" w:lineRule="auto"/>
              <w:rPr>
                <w:rFonts w:cs="Arial"/>
                <w:i/>
                <w:szCs w:val="16"/>
              </w:rPr>
            </w:pPr>
            <w:r>
              <w:rPr>
                <w:rFonts w:cs="Arial"/>
                <w:i/>
                <w:szCs w:val="16"/>
              </w:rPr>
              <w:t xml:space="preserve">Nesothrips propinquus </w:t>
            </w:r>
            <w:r>
              <w:rPr>
                <w:rFonts w:cs="Arial"/>
                <w:szCs w:val="16"/>
              </w:rPr>
              <w:t>(Bagnall, 1916)</w:t>
            </w:r>
          </w:p>
          <w:p w14:paraId="0C3DB0C2"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[Thysanoptera: Phlaeothripidae]</w:t>
            </w:r>
          </w:p>
        </w:tc>
        <w:tc>
          <w:tcPr>
            <w:tcW w:w="2146" w:type="dxa"/>
            <w:tcBorders>
              <w:left w:val="single" w:sz="2" w:space="0" w:color="999999"/>
              <w:bottom w:val="single" w:sz="2" w:space="0" w:color="auto"/>
              <w:right w:val="single" w:sz="2" w:space="0" w:color="999999"/>
            </w:tcBorders>
            <w:shd w:val="clear" w:color="auto" w:fill="FFFFFF"/>
          </w:tcPr>
          <w:p w14:paraId="35B2C803"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6AFE426" w14:textId="77777777" w:rsidR="009D3DC8" w:rsidRDefault="009D3DC8">
            <w:pPr>
              <w:spacing w:before="60" w:after="60" w:line="240" w:lineRule="auto"/>
              <w:rPr>
                <w:rFonts w:ascii="Arial" w:hAnsi="Arial" w:cs="Arial"/>
                <w:sz w:val="16"/>
                <w:szCs w:val="16"/>
              </w:rPr>
            </w:pPr>
            <w:r>
              <w:rPr>
                <w:rFonts w:ascii="Arial" w:hAnsi="Arial" w:cs="Arial"/>
                <w:sz w:val="16"/>
                <w:szCs w:val="16"/>
              </w:rPr>
              <w:t>(Idham</w:t>
            </w:r>
            <w:r>
              <w:rPr>
                <w:rFonts w:ascii="Arial" w:hAnsi="Arial" w:cs="Arial"/>
                <w:i/>
                <w:sz w:val="16"/>
                <w:szCs w:val="16"/>
              </w:rPr>
              <w:t xml:space="preserve"> et al.</w:t>
            </w:r>
            <w:r>
              <w:rPr>
                <w:rFonts w:ascii="Arial" w:hAnsi="Arial" w:cs="Arial"/>
                <w:sz w:val="16"/>
                <w:szCs w:val="16"/>
              </w:rPr>
              <w:t xml:space="preserve"> 2009)</w:t>
            </w:r>
          </w:p>
        </w:tc>
        <w:tc>
          <w:tcPr>
            <w:tcW w:w="2670" w:type="dxa"/>
            <w:tcBorders>
              <w:left w:val="single" w:sz="2" w:space="0" w:color="999999"/>
              <w:bottom w:val="single" w:sz="2" w:space="0" w:color="auto"/>
              <w:right w:val="single" w:sz="2" w:space="0" w:color="999999"/>
            </w:tcBorders>
            <w:shd w:val="clear" w:color="auto" w:fill="FFFFFF"/>
          </w:tcPr>
          <w:p w14:paraId="44D03D1A"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03C4EA3D" w14:textId="77777777" w:rsidR="009D3DC8" w:rsidRDefault="009D3DC8">
            <w:pPr>
              <w:spacing w:before="60" w:after="60" w:line="240" w:lineRule="auto"/>
              <w:rPr>
                <w:rFonts w:ascii="Arial" w:hAnsi="Arial" w:cs="Arial"/>
                <w:sz w:val="16"/>
                <w:szCs w:val="16"/>
              </w:rPr>
            </w:pPr>
            <w:r>
              <w:rPr>
                <w:rFonts w:ascii="Arial" w:hAnsi="Arial" w:cs="Arial"/>
                <w:sz w:val="16"/>
                <w:szCs w:val="16"/>
              </w:rPr>
              <w:t>Feeds on buds of mangosteen (Idham</w:t>
            </w:r>
            <w:r>
              <w:rPr>
                <w:rFonts w:ascii="Arial" w:hAnsi="Arial" w:cs="Arial"/>
                <w:i/>
                <w:sz w:val="16"/>
                <w:szCs w:val="16"/>
              </w:rPr>
              <w:t xml:space="preserve"> et al.</w:t>
            </w:r>
            <w:r>
              <w:rPr>
                <w:rFonts w:ascii="Arial" w:hAnsi="Arial" w:cs="Arial"/>
                <w:sz w:val="16"/>
                <w:szCs w:val="16"/>
              </w:rPr>
              <w:t xml:space="preserve"> 2009).</w:t>
            </w:r>
          </w:p>
        </w:tc>
        <w:tc>
          <w:tcPr>
            <w:tcW w:w="2007" w:type="dxa"/>
            <w:tcBorders>
              <w:left w:val="single" w:sz="2" w:space="0" w:color="999999"/>
              <w:bottom w:val="single" w:sz="2" w:space="0" w:color="auto"/>
              <w:right w:val="single" w:sz="2" w:space="0" w:color="999999"/>
            </w:tcBorders>
            <w:shd w:val="clear" w:color="auto" w:fill="FFFFFF"/>
          </w:tcPr>
          <w:p w14:paraId="345AC6D4"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198A945A" w14:textId="77777777" w:rsidR="009D3DC8" w:rsidRDefault="009D3DC8">
            <w:pPr>
              <w:spacing w:before="60" w:after="60" w:line="240" w:lineRule="auto"/>
              <w:rPr>
                <w:rFonts w:ascii="Arial" w:hAnsi="Arial" w:cs="Arial"/>
                <w:sz w:val="16"/>
                <w:szCs w:val="16"/>
              </w:rPr>
            </w:pPr>
            <w:r>
              <w:rPr>
                <w:rFonts w:ascii="Arial" w:hAnsi="Arial" w:cs="Arial"/>
                <w:sz w:val="16"/>
                <w:szCs w:val="16"/>
              </w:rPr>
              <w:t>NSW, Qld, Tas., Vic., WA (APPD 2011)</w:t>
            </w:r>
          </w:p>
        </w:tc>
        <w:tc>
          <w:tcPr>
            <w:tcW w:w="2537" w:type="dxa"/>
            <w:tcBorders>
              <w:left w:val="single" w:sz="2" w:space="0" w:color="999999"/>
              <w:bottom w:val="single" w:sz="2" w:space="0" w:color="auto"/>
              <w:right w:val="single" w:sz="2" w:space="0" w:color="999999"/>
            </w:tcBorders>
            <w:shd w:val="clear" w:color="auto" w:fill="FFFFFF"/>
          </w:tcPr>
          <w:p w14:paraId="7469F24C"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F8130E4"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3A3D683B"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2B0D963A"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023BC49" w14:textId="77777777" w:rsidR="009D3DC8" w:rsidRDefault="009D3DC8">
            <w:pPr>
              <w:pStyle w:val="TableText"/>
              <w:spacing w:line="240" w:lineRule="auto"/>
              <w:rPr>
                <w:rFonts w:cs="Arial"/>
                <w:szCs w:val="16"/>
              </w:rPr>
            </w:pPr>
            <w:r>
              <w:rPr>
                <w:rFonts w:cs="Arial"/>
                <w:i/>
                <w:szCs w:val="16"/>
              </w:rPr>
              <w:t>Scirtothrips dorsalis</w:t>
            </w:r>
            <w:r>
              <w:rPr>
                <w:rFonts w:cs="Arial"/>
                <w:szCs w:val="16"/>
              </w:rPr>
              <w:t xml:space="preserve"> (Hood, 1919)</w:t>
            </w:r>
          </w:p>
          <w:p w14:paraId="05FB1949" w14:textId="77777777" w:rsidR="009D3DC8" w:rsidRDefault="009D3DC8">
            <w:pPr>
              <w:pStyle w:val="TableText"/>
              <w:spacing w:line="240" w:lineRule="auto"/>
              <w:rPr>
                <w:rFonts w:cs="Arial"/>
                <w:szCs w:val="16"/>
              </w:rPr>
            </w:pPr>
            <w:r>
              <w:rPr>
                <w:rFonts w:cs="Arial"/>
                <w:szCs w:val="16"/>
              </w:rPr>
              <w:t>[Thysanoptera: Thripidae]</w:t>
            </w:r>
          </w:p>
          <w:p w14:paraId="0D05B40E"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Chilli thrips</w:t>
            </w:r>
          </w:p>
        </w:tc>
        <w:tc>
          <w:tcPr>
            <w:tcW w:w="2146" w:type="dxa"/>
            <w:tcBorders>
              <w:left w:val="single" w:sz="2" w:space="0" w:color="999999"/>
              <w:bottom w:val="single" w:sz="2" w:space="0" w:color="auto"/>
              <w:right w:val="single" w:sz="2" w:space="0" w:color="999999"/>
            </w:tcBorders>
            <w:shd w:val="clear" w:color="auto" w:fill="FFFFFF"/>
          </w:tcPr>
          <w:p w14:paraId="2ED928D8"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C00C34E" w14:textId="77777777" w:rsidR="009D3DC8" w:rsidRDefault="009D3DC8">
            <w:pPr>
              <w:spacing w:before="60" w:after="60" w:line="240" w:lineRule="auto"/>
              <w:rPr>
                <w:rFonts w:ascii="Arial" w:hAnsi="Arial" w:cs="Arial"/>
                <w:sz w:val="16"/>
                <w:szCs w:val="16"/>
              </w:rPr>
            </w:pPr>
            <w:r>
              <w:rPr>
                <w:rFonts w:ascii="Arial" w:hAnsi="Arial" w:cs="Arial"/>
                <w:sz w:val="16"/>
                <w:szCs w:val="16"/>
              </w:rPr>
              <w:t>(Affandi and Emilda 2009)</w:t>
            </w:r>
          </w:p>
        </w:tc>
        <w:tc>
          <w:tcPr>
            <w:tcW w:w="2670" w:type="dxa"/>
            <w:tcBorders>
              <w:left w:val="single" w:sz="2" w:space="0" w:color="999999"/>
              <w:bottom w:val="single" w:sz="2" w:space="0" w:color="auto"/>
              <w:right w:val="single" w:sz="2" w:space="0" w:color="999999"/>
            </w:tcBorders>
            <w:shd w:val="clear" w:color="auto" w:fill="FFFFFF"/>
          </w:tcPr>
          <w:p w14:paraId="24516333"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1576987" w14:textId="77777777" w:rsidR="009D3DC8" w:rsidRDefault="009D3DC8">
            <w:pPr>
              <w:spacing w:before="60" w:after="60" w:line="240" w:lineRule="auto"/>
              <w:rPr>
                <w:rFonts w:ascii="Arial" w:hAnsi="Arial" w:cs="Arial"/>
                <w:sz w:val="16"/>
                <w:szCs w:val="16"/>
              </w:rPr>
            </w:pPr>
            <w:r>
              <w:rPr>
                <w:rFonts w:ascii="Arial" w:hAnsi="Arial" w:cs="Arial"/>
                <w:sz w:val="16"/>
                <w:szCs w:val="16"/>
              </w:rPr>
              <w:t>Occurs on leaves and infests fruits at early stages. Causes scarring of mangosteen fruit (Affandi and Emilda 2009).</w:t>
            </w:r>
          </w:p>
        </w:tc>
        <w:tc>
          <w:tcPr>
            <w:tcW w:w="2007" w:type="dxa"/>
            <w:tcBorders>
              <w:left w:val="single" w:sz="2" w:space="0" w:color="999999"/>
              <w:bottom w:val="single" w:sz="2" w:space="0" w:color="auto"/>
              <w:right w:val="single" w:sz="2" w:space="0" w:color="999999"/>
            </w:tcBorders>
            <w:shd w:val="clear" w:color="auto" w:fill="FFFFFF"/>
          </w:tcPr>
          <w:p w14:paraId="71783D40"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CD2BEF5" w14:textId="77777777" w:rsidR="009D3DC8" w:rsidRDefault="009D3DC8">
            <w:pPr>
              <w:spacing w:before="60" w:after="60" w:line="240" w:lineRule="auto"/>
              <w:rPr>
                <w:rFonts w:ascii="Arial" w:hAnsi="Arial" w:cs="Arial"/>
                <w:sz w:val="16"/>
                <w:szCs w:val="16"/>
              </w:rPr>
            </w:pPr>
            <w:r>
              <w:rPr>
                <w:rFonts w:ascii="Arial" w:hAnsi="Arial" w:cs="Arial"/>
                <w:sz w:val="16"/>
                <w:szCs w:val="16"/>
              </w:rPr>
              <w:t>NT, Qld, NSW, WA (Mound 1996; Poole 2010; APPD 2011)</w:t>
            </w:r>
          </w:p>
        </w:tc>
        <w:tc>
          <w:tcPr>
            <w:tcW w:w="2537" w:type="dxa"/>
            <w:tcBorders>
              <w:left w:val="single" w:sz="2" w:space="0" w:color="999999"/>
              <w:bottom w:val="single" w:sz="2" w:space="0" w:color="auto"/>
              <w:right w:val="single" w:sz="2" w:space="0" w:color="999999"/>
            </w:tcBorders>
            <w:shd w:val="clear" w:color="auto" w:fill="FFFFFF"/>
          </w:tcPr>
          <w:p w14:paraId="2BF4767A"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C71E602"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1891C3B4" w14:textId="77777777" w:rsidR="009D3DC8" w:rsidRDefault="009D3DC8">
            <w:pPr>
              <w:pStyle w:val="TableText1"/>
              <w:rPr>
                <w:rFonts w:ascii="Arial" w:hAnsi="Arial" w:cs="Arial"/>
                <w:szCs w:val="16"/>
              </w:rPr>
            </w:pPr>
            <w:r>
              <w:rPr>
                <w:rFonts w:ascii="Arial" w:hAnsi="Arial" w:cs="Arial"/>
                <w:szCs w:val="16"/>
              </w:rPr>
              <w:t>No</w:t>
            </w:r>
          </w:p>
        </w:tc>
      </w:tr>
      <w:tr w:rsidR="009D3DC8" w14:paraId="5E68193F"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4348EDA3" w14:textId="77777777" w:rsidR="009D3DC8" w:rsidRDefault="009D3DC8">
            <w:pPr>
              <w:pStyle w:val="TableText"/>
              <w:spacing w:line="240" w:lineRule="auto"/>
              <w:rPr>
                <w:rFonts w:cs="Arial"/>
                <w:i/>
                <w:szCs w:val="16"/>
              </w:rPr>
            </w:pPr>
            <w:r>
              <w:rPr>
                <w:rFonts w:cs="Arial"/>
                <w:i/>
                <w:szCs w:val="16"/>
              </w:rPr>
              <w:lastRenderedPageBreak/>
              <w:t xml:space="preserve">Selenothrips rubrocinctus </w:t>
            </w:r>
            <w:r>
              <w:rPr>
                <w:rFonts w:cs="Arial"/>
                <w:color w:val="000000"/>
                <w:szCs w:val="16"/>
              </w:rPr>
              <w:t>Giard, 1901</w:t>
            </w:r>
          </w:p>
          <w:p w14:paraId="5FD15364" w14:textId="77777777" w:rsidR="009D3DC8" w:rsidRDefault="009D3DC8">
            <w:pPr>
              <w:pStyle w:val="TableText"/>
              <w:spacing w:line="240" w:lineRule="auto"/>
              <w:rPr>
                <w:rFonts w:cs="Arial"/>
                <w:szCs w:val="16"/>
              </w:rPr>
            </w:pPr>
            <w:r>
              <w:rPr>
                <w:rFonts w:cs="Arial"/>
                <w:szCs w:val="16"/>
              </w:rPr>
              <w:t>[Thysanoptera: Thripidae]</w:t>
            </w:r>
          </w:p>
          <w:p w14:paraId="7C79009C"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Red-banded thrips</w:t>
            </w:r>
          </w:p>
        </w:tc>
        <w:tc>
          <w:tcPr>
            <w:tcW w:w="2146" w:type="dxa"/>
            <w:tcBorders>
              <w:left w:val="single" w:sz="2" w:space="0" w:color="999999"/>
              <w:bottom w:val="single" w:sz="2" w:space="0" w:color="auto"/>
              <w:right w:val="single" w:sz="2" w:space="0" w:color="999999"/>
            </w:tcBorders>
            <w:shd w:val="clear" w:color="auto" w:fill="FFFFFF"/>
          </w:tcPr>
          <w:p w14:paraId="49196658"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E78199B" w14:textId="77777777" w:rsidR="009D3DC8" w:rsidRDefault="009D3DC8">
            <w:pPr>
              <w:spacing w:before="60" w:after="60" w:line="240" w:lineRule="auto"/>
              <w:rPr>
                <w:rFonts w:ascii="Arial" w:hAnsi="Arial" w:cs="Arial"/>
                <w:sz w:val="16"/>
                <w:szCs w:val="16"/>
              </w:rPr>
            </w:pPr>
            <w:r>
              <w:rPr>
                <w:rFonts w:ascii="Arial" w:hAnsi="Arial" w:cs="Arial"/>
                <w:sz w:val="16"/>
                <w:szCs w:val="16"/>
              </w:rPr>
              <w:t>(APEC Agricultural Technical Cooperation Working Group 2008; Affandi and Emilda 2009)</w:t>
            </w:r>
          </w:p>
        </w:tc>
        <w:tc>
          <w:tcPr>
            <w:tcW w:w="2670" w:type="dxa"/>
            <w:tcBorders>
              <w:left w:val="single" w:sz="2" w:space="0" w:color="999999"/>
              <w:bottom w:val="single" w:sz="2" w:space="0" w:color="auto"/>
              <w:right w:val="single" w:sz="2" w:space="0" w:color="999999"/>
            </w:tcBorders>
            <w:shd w:val="clear" w:color="auto" w:fill="FFFFFF"/>
          </w:tcPr>
          <w:p w14:paraId="107B2EC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0BDFEED" w14:textId="77777777" w:rsidR="009D3DC8" w:rsidRDefault="009D3DC8">
            <w:pPr>
              <w:spacing w:before="60" w:after="60" w:line="240" w:lineRule="auto"/>
              <w:rPr>
                <w:rFonts w:ascii="Arial" w:hAnsi="Arial" w:cs="Arial"/>
                <w:sz w:val="16"/>
                <w:szCs w:val="16"/>
              </w:rPr>
            </w:pPr>
            <w:r>
              <w:rPr>
                <w:rFonts w:ascii="Arial" w:hAnsi="Arial" w:cs="Arial"/>
                <w:sz w:val="16"/>
                <w:szCs w:val="16"/>
              </w:rPr>
              <w:t>Causes scarring on mangosteen fruit (Affandi and Emilda 2009). The preferred feeding site is the undersurface of leaves, but in severe infestations fruit is also attacked (Astridge and Fay 2005).</w:t>
            </w:r>
          </w:p>
        </w:tc>
        <w:tc>
          <w:tcPr>
            <w:tcW w:w="2007" w:type="dxa"/>
            <w:tcBorders>
              <w:left w:val="single" w:sz="2" w:space="0" w:color="999999"/>
              <w:bottom w:val="single" w:sz="2" w:space="0" w:color="auto"/>
              <w:right w:val="single" w:sz="2" w:space="0" w:color="999999"/>
            </w:tcBorders>
            <w:shd w:val="clear" w:color="auto" w:fill="FFFFFF"/>
          </w:tcPr>
          <w:p w14:paraId="73E9AF3F"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6F50C54" w14:textId="77777777" w:rsidR="009D3DC8" w:rsidRDefault="009D3DC8">
            <w:pPr>
              <w:spacing w:before="60" w:after="60" w:line="240" w:lineRule="auto"/>
              <w:rPr>
                <w:rFonts w:ascii="Arial" w:hAnsi="Arial" w:cs="Arial"/>
                <w:sz w:val="16"/>
                <w:szCs w:val="16"/>
              </w:rPr>
            </w:pPr>
            <w:r>
              <w:rPr>
                <w:rFonts w:ascii="Arial" w:hAnsi="Arial" w:cs="Arial"/>
                <w:sz w:val="16"/>
                <w:szCs w:val="16"/>
              </w:rPr>
              <w:t xml:space="preserve">NT, Qld, SA, WA </w:t>
            </w:r>
          </w:p>
          <w:p w14:paraId="61E6E9E0" w14:textId="77777777" w:rsidR="009D3DC8" w:rsidRDefault="009D3DC8">
            <w:pPr>
              <w:spacing w:before="60" w:after="60" w:line="240" w:lineRule="auto"/>
              <w:rPr>
                <w:rFonts w:ascii="Arial" w:hAnsi="Arial" w:cs="Arial"/>
                <w:sz w:val="16"/>
                <w:szCs w:val="16"/>
              </w:rPr>
            </w:pPr>
            <w:r>
              <w:rPr>
                <w:rFonts w:ascii="Arial" w:hAnsi="Arial" w:cs="Arial"/>
                <w:sz w:val="16"/>
                <w:szCs w:val="16"/>
              </w:rPr>
              <w:t>(Poole 2010; APPD 2011)</w:t>
            </w:r>
          </w:p>
        </w:tc>
        <w:tc>
          <w:tcPr>
            <w:tcW w:w="2537" w:type="dxa"/>
            <w:tcBorders>
              <w:left w:val="single" w:sz="2" w:space="0" w:color="999999"/>
              <w:bottom w:val="single" w:sz="2" w:space="0" w:color="auto"/>
              <w:right w:val="single" w:sz="2" w:space="0" w:color="999999"/>
            </w:tcBorders>
            <w:shd w:val="clear" w:color="auto" w:fill="FFFFFF"/>
          </w:tcPr>
          <w:p w14:paraId="72A71DC6"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102E283F"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55CAC157"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0DF0F0E2"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5A9D5C47" w14:textId="77777777" w:rsidR="009D3DC8" w:rsidRDefault="009D3DC8">
            <w:pPr>
              <w:pStyle w:val="TableText"/>
              <w:spacing w:line="240" w:lineRule="auto"/>
              <w:rPr>
                <w:rFonts w:cs="Arial"/>
                <w:i/>
                <w:szCs w:val="16"/>
              </w:rPr>
            </w:pPr>
            <w:r>
              <w:rPr>
                <w:rFonts w:cs="Arial"/>
                <w:i/>
                <w:szCs w:val="16"/>
              </w:rPr>
              <w:t xml:space="preserve">Thrips hawaiiensis </w:t>
            </w:r>
            <w:r>
              <w:rPr>
                <w:rFonts w:cs="Arial"/>
                <w:szCs w:val="16"/>
              </w:rPr>
              <w:t>(Morgan, 1913)</w:t>
            </w:r>
          </w:p>
          <w:p w14:paraId="61E9FA30" w14:textId="77777777" w:rsidR="009D3DC8" w:rsidRDefault="009D3DC8">
            <w:pPr>
              <w:pStyle w:val="TableText"/>
              <w:spacing w:line="240" w:lineRule="auto"/>
              <w:rPr>
                <w:rFonts w:cs="Arial"/>
                <w:szCs w:val="16"/>
              </w:rPr>
            </w:pPr>
            <w:r>
              <w:rPr>
                <w:rFonts w:cs="Arial"/>
                <w:szCs w:val="16"/>
              </w:rPr>
              <w:t>[Thysanoptera: Thripidae]</w:t>
            </w:r>
          </w:p>
          <w:p w14:paraId="683000F1"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Flower thrips</w:t>
            </w:r>
          </w:p>
        </w:tc>
        <w:tc>
          <w:tcPr>
            <w:tcW w:w="2146" w:type="dxa"/>
            <w:tcBorders>
              <w:left w:val="single" w:sz="2" w:space="0" w:color="999999"/>
              <w:bottom w:val="single" w:sz="2" w:space="0" w:color="auto"/>
              <w:right w:val="single" w:sz="2" w:space="0" w:color="999999"/>
            </w:tcBorders>
            <w:shd w:val="clear" w:color="auto" w:fill="FFFFFF"/>
          </w:tcPr>
          <w:p w14:paraId="14A100E9" w14:textId="77777777" w:rsidR="009D3DC8" w:rsidRDefault="009D3DC8">
            <w:pPr>
              <w:pStyle w:val="TableText1"/>
              <w:keepNext w:val="0"/>
              <w:rPr>
                <w:rFonts w:ascii="Arial" w:hAnsi="Arial" w:cs="Arial"/>
                <w:szCs w:val="16"/>
              </w:rPr>
            </w:pPr>
            <w:r>
              <w:rPr>
                <w:rFonts w:ascii="Arial" w:hAnsi="Arial" w:cs="Arial"/>
                <w:szCs w:val="16"/>
              </w:rPr>
              <w:t>Yes</w:t>
            </w:r>
          </w:p>
          <w:p w14:paraId="7FAC9892" w14:textId="77777777" w:rsidR="009D3DC8" w:rsidRDefault="009D3DC8">
            <w:pPr>
              <w:pStyle w:val="TableText1"/>
              <w:keepNext w:val="0"/>
              <w:rPr>
                <w:rFonts w:ascii="Arial" w:hAnsi="Arial" w:cs="Arial"/>
                <w:szCs w:val="16"/>
              </w:rPr>
            </w:pPr>
            <w:r>
              <w:rPr>
                <w:rFonts w:ascii="Arial" w:hAnsi="Arial" w:cs="Arial"/>
                <w:szCs w:val="16"/>
              </w:rPr>
              <w:t xml:space="preserve">(Bigger 2009) </w:t>
            </w:r>
          </w:p>
        </w:tc>
        <w:tc>
          <w:tcPr>
            <w:tcW w:w="2670" w:type="dxa"/>
            <w:tcBorders>
              <w:left w:val="single" w:sz="2" w:space="0" w:color="999999"/>
              <w:bottom w:val="single" w:sz="2" w:space="0" w:color="auto"/>
              <w:right w:val="single" w:sz="2" w:space="0" w:color="999999"/>
            </w:tcBorders>
            <w:shd w:val="clear" w:color="auto" w:fill="FFFFFF"/>
          </w:tcPr>
          <w:p w14:paraId="1B662682"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38DFFA4E" w14:textId="77777777" w:rsidR="009D3DC8" w:rsidRDefault="009D3DC8">
            <w:pPr>
              <w:spacing w:before="60" w:after="60" w:line="240" w:lineRule="auto"/>
              <w:rPr>
                <w:rFonts w:ascii="Arial" w:hAnsi="Arial" w:cs="Arial"/>
                <w:sz w:val="16"/>
                <w:szCs w:val="16"/>
              </w:rPr>
            </w:pPr>
            <w:r>
              <w:rPr>
                <w:rFonts w:ascii="Arial" w:hAnsi="Arial" w:cs="Arial"/>
                <w:i/>
                <w:sz w:val="16"/>
                <w:szCs w:val="16"/>
              </w:rPr>
              <w:t xml:space="preserve">Thrips hawaiiensis </w:t>
            </w:r>
            <w:r>
              <w:rPr>
                <w:rFonts w:ascii="Arial" w:hAnsi="Arial" w:cs="Arial"/>
                <w:sz w:val="16"/>
                <w:szCs w:val="16"/>
              </w:rPr>
              <w:t>has been reported on mangosteen (Pola 2009).</w:t>
            </w:r>
            <w:r>
              <w:rPr>
                <w:rFonts w:ascii="Arial" w:hAnsi="Arial" w:cs="Arial"/>
                <w:i/>
                <w:sz w:val="16"/>
                <w:szCs w:val="16"/>
              </w:rPr>
              <w:t xml:space="preserve"> Thrips</w:t>
            </w:r>
            <w:r>
              <w:rPr>
                <w:rFonts w:ascii="Arial" w:hAnsi="Arial" w:cs="Arial"/>
                <w:sz w:val="16"/>
                <w:szCs w:val="16"/>
              </w:rPr>
              <w:t xml:space="preserve"> spp. attack flowers and feed on fruit surfaces leaving fruit unsuitable for export (Yaacob and Tindall 1995).</w:t>
            </w:r>
          </w:p>
        </w:tc>
        <w:tc>
          <w:tcPr>
            <w:tcW w:w="2007" w:type="dxa"/>
            <w:tcBorders>
              <w:left w:val="single" w:sz="2" w:space="0" w:color="999999"/>
              <w:bottom w:val="single" w:sz="2" w:space="0" w:color="auto"/>
              <w:right w:val="single" w:sz="2" w:space="0" w:color="999999"/>
            </w:tcBorders>
            <w:shd w:val="clear" w:color="auto" w:fill="FFFFFF"/>
          </w:tcPr>
          <w:p w14:paraId="03925B34"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20C19DB4" w14:textId="77777777" w:rsidR="009D3DC8" w:rsidRDefault="009D3DC8">
            <w:pPr>
              <w:spacing w:before="60" w:after="60" w:line="240" w:lineRule="auto"/>
              <w:rPr>
                <w:rFonts w:ascii="Arial" w:hAnsi="Arial" w:cs="Arial"/>
                <w:sz w:val="16"/>
                <w:szCs w:val="16"/>
              </w:rPr>
            </w:pPr>
            <w:r>
              <w:rPr>
                <w:rFonts w:ascii="Arial" w:hAnsi="Arial" w:cs="Arial"/>
                <w:sz w:val="16"/>
                <w:szCs w:val="16"/>
              </w:rPr>
              <w:t>Qld, NT, NSW, WA (CSIRO 2005; ABRS 2009; Poole 2010)</w:t>
            </w:r>
          </w:p>
        </w:tc>
        <w:tc>
          <w:tcPr>
            <w:tcW w:w="2537" w:type="dxa"/>
            <w:tcBorders>
              <w:left w:val="single" w:sz="2" w:space="0" w:color="999999"/>
              <w:bottom w:val="single" w:sz="2" w:space="0" w:color="auto"/>
              <w:right w:val="single" w:sz="2" w:space="0" w:color="999999"/>
            </w:tcBorders>
            <w:shd w:val="clear" w:color="auto" w:fill="FFFFFF"/>
          </w:tcPr>
          <w:p w14:paraId="3ECBC4A1"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2A431DD8"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6BDCBAA3"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3281FAE8" w14:textId="77777777">
        <w:trPr>
          <w:cantSplit/>
          <w:trHeight w:val="75"/>
          <w:jc w:val="center"/>
        </w:trPr>
        <w:tc>
          <w:tcPr>
            <w:tcW w:w="3047" w:type="dxa"/>
            <w:gridSpan w:val="2"/>
            <w:tcBorders>
              <w:bottom w:val="single" w:sz="2" w:space="0" w:color="auto"/>
              <w:right w:val="single" w:sz="2" w:space="0" w:color="999999"/>
            </w:tcBorders>
            <w:shd w:val="clear" w:color="auto" w:fill="FFFFFF"/>
          </w:tcPr>
          <w:p w14:paraId="6F55D6B4" w14:textId="77777777" w:rsidR="009D3DC8" w:rsidRDefault="009D3DC8">
            <w:pPr>
              <w:pStyle w:val="TableText"/>
              <w:spacing w:line="240" w:lineRule="auto"/>
              <w:rPr>
                <w:rFonts w:cs="Arial"/>
                <w:szCs w:val="16"/>
              </w:rPr>
            </w:pPr>
            <w:r>
              <w:rPr>
                <w:rFonts w:cs="Arial"/>
                <w:i/>
                <w:szCs w:val="16"/>
              </w:rPr>
              <w:t xml:space="preserve">Thrips tabaci </w:t>
            </w:r>
            <w:r>
              <w:rPr>
                <w:rFonts w:cs="Arial"/>
                <w:szCs w:val="16"/>
              </w:rPr>
              <w:t>(Lindmann, 1888)</w:t>
            </w:r>
          </w:p>
          <w:p w14:paraId="4B1AB7F8" w14:textId="77777777" w:rsidR="009D3DC8" w:rsidRDefault="009D3DC8">
            <w:pPr>
              <w:pStyle w:val="TableText"/>
              <w:spacing w:line="240" w:lineRule="auto"/>
              <w:rPr>
                <w:rFonts w:cs="Arial"/>
                <w:szCs w:val="16"/>
              </w:rPr>
            </w:pPr>
            <w:r>
              <w:rPr>
                <w:rFonts w:cs="Arial"/>
                <w:szCs w:val="16"/>
              </w:rPr>
              <w:t>[Thysanoptera: Thripidae]</w:t>
            </w:r>
          </w:p>
          <w:p w14:paraId="5B10733E" w14:textId="77777777" w:rsidR="009D3DC8" w:rsidRDefault="009D3DC8">
            <w:pPr>
              <w:pStyle w:val="TableText1"/>
              <w:keepNext w:val="0"/>
              <w:rPr>
                <w:rFonts w:ascii="Arial" w:hAnsi="Arial" w:cs="Arial"/>
                <w:i/>
                <w:color w:val="auto"/>
                <w:szCs w:val="16"/>
                <w:highlight w:val="yellow"/>
                <w:lang w:val="en-US"/>
              </w:rPr>
            </w:pPr>
            <w:r>
              <w:rPr>
                <w:rFonts w:ascii="Arial" w:hAnsi="Arial" w:cs="Arial"/>
                <w:szCs w:val="16"/>
              </w:rPr>
              <w:t>Onion thrips</w:t>
            </w:r>
          </w:p>
        </w:tc>
        <w:tc>
          <w:tcPr>
            <w:tcW w:w="2146" w:type="dxa"/>
            <w:tcBorders>
              <w:left w:val="single" w:sz="2" w:space="0" w:color="999999"/>
              <w:bottom w:val="single" w:sz="2" w:space="0" w:color="auto"/>
              <w:right w:val="single" w:sz="2" w:space="0" w:color="999999"/>
            </w:tcBorders>
            <w:shd w:val="clear" w:color="auto" w:fill="FFFFFF"/>
          </w:tcPr>
          <w:p w14:paraId="2121FCAC" w14:textId="77777777" w:rsidR="009D3DC8" w:rsidRDefault="009D3DC8">
            <w:pPr>
              <w:pStyle w:val="TableText1"/>
              <w:keepNext w:val="0"/>
              <w:rPr>
                <w:rFonts w:ascii="Arial" w:hAnsi="Arial" w:cs="Arial"/>
                <w:szCs w:val="16"/>
              </w:rPr>
            </w:pPr>
            <w:r>
              <w:rPr>
                <w:rFonts w:ascii="Arial" w:hAnsi="Arial" w:cs="Arial"/>
                <w:szCs w:val="16"/>
              </w:rPr>
              <w:t>Yes</w:t>
            </w:r>
          </w:p>
          <w:p w14:paraId="2FE72296" w14:textId="77777777" w:rsidR="009D3DC8" w:rsidRDefault="009D3DC8">
            <w:pPr>
              <w:pStyle w:val="TableText1"/>
              <w:keepNext w:val="0"/>
              <w:rPr>
                <w:rFonts w:ascii="Arial" w:hAnsi="Arial" w:cs="Arial"/>
                <w:szCs w:val="16"/>
              </w:rPr>
            </w:pPr>
            <w:r>
              <w:rPr>
                <w:rFonts w:ascii="Arial" w:hAnsi="Arial" w:cs="Arial"/>
                <w:szCs w:val="16"/>
              </w:rPr>
              <w:t>(Talekar 1991)</w:t>
            </w:r>
          </w:p>
        </w:tc>
        <w:tc>
          <w:tcPr>
            <w:tcW w:w="2670" w:type="dxa"/>
            <w:tcBorders>
              <w:left w:val="single" w:sz="2" w:space="0" w:color="999999"/>
              <w:bottom w:val="single" w:sz="2" w:space="0" w:color="auto"/>
              <w:right w:val="single" w:sz="2" w:space="0" w:color="999999"/>
            </w:tcBorders>
            <w:shd w:val="clear" w:color="auto" w:fill="FFFFFF"/>
          </w:tcPr>
          <w:p w14:paraId="51268EA3"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4F3ADB41" w14:textId="77777777" w:rsidR="009D3DC8" w:rsidRDefault="009D3DC8">
            <w:pPr>
              <w:spacing w:before="60" w:after="60" w:line="240" w:lineRule="auto"/>
              <w:rPr>
                <w:rFonts w:ascii="Arial" w:hAnsi="Arial" w:cs="Arial"/>
                <w:sz w:val="16"/>
                <w:szCs w:val="16"/>
              </w:rPr>
            </w:pPr>
            <w:r>
              <w:rPr>
                <w:rFonts w:ascii="Arial" w:hAnsi="Arial" w:cs="Arial"/>
                <w:i/>
                <w:sz w:val="16"/>
                <w:szCs w:val="16"/>
              </w:rPr>
              <w:t>Thrips tabaci</w:t>
            </w:r>
            <w:r>
              <w:rPr>
                <w:rFonts w:ascii="Arial" w:hAnsi="Arial" w:cs="Arial"/>
                <w:sz w:val="16"/>
                <w:szCs w:val="16"/>
              </w:rPr>
              <w:t xml:space="preserve"> has been intercepted on mangosteen from Thailand to Australia.</w:t>
            </w:r>
          </w:p>
        </w:tc>
        <w:tc>
          <w:tcPr>
            <w:tcW w:w="2007" w:type="dxa"/>
            <w:tcBorders>
              <w:left w:val="single" w:sz="2" w:space="0" w:color="999999"/>
              <w:bottom w:val="single" w:sz="2" w:space="0" w:color="auto"/>
              <w:right w:val="single" w:sz="2" w:space="0" w:color="999999"/>
            </w:tcBorders>
            <w:shd w:val="clear" w:color="auto" w:fill="FFFFFF"/>
          </w:tcPr>
          <w:p w14:paraId="1FFA36DD"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5D17857D" w14:textId="77777777" w:rsidR="009D3DC8" w:rsidRDefault="009D3DC8">
            <w:pPr>
              <w:spacing w:before="60" w:after="60" w:line="240" w:lineRule="auto"/>
              <w:rPr>
                <w:rFonts w:ascii="Arial" w:hAnsi="Arial" w:cs="Arial"/>
                <w:sz w:val="16"/>
                <w:szCs w:val="16"/>
              </w:rPr>
            </w:pPr>
            <w:r>
              <w:rPr>
                <w:rFonts w:ascii="Arial" w:hAnsi="Arial" w:cs="Arial"/>
                <w:sz w:val="16"/>
                <w:szCs w:val="16"/>
              </w:rPr>
              <w:t>All states and territories (APPD 2011)</w:t>
            </w:r>
          </w:p>
        </w:tc>
        <w:tc>
          <w:tcPr>
            <w:tcW w:w="2537" w:type="dxa"/>
            <w:tcBorders>
              <w:left w:val="single" w:sz="2" w:space="0" w:color="999999"/>
              <w:bottom w:val="single" w:sz="2" w:space="0" w:color="auto"/>
              <w:right w:val="single" w:sz="2" w:space="0" w:color="999999"/>
            </w:tcBorders>
            <w:shd w:val="clear" w:color="auto" w:fill="FFFFFF"/>
          </w:tcPr>
          <w:p w14:paraId="6A68F801"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2270" w:type="dxa"/>
            <w:gridSpan w:val="2"/>
            <w:tcBorders>
              <w:left w:val="single" w:sz="2" w:space="0" w:color="999999"/>
              <w:bottom w:val="single" w:sz="2" w:space="0" w:color="auto"/>
              <w:right w:val="single" w:sz="2" w:space="0" w:color="999999"/>
            </w:tcBorders>
            <w:shd w:val="clear" w:color="auto" w:fill="FFFFFF"/>
          </w:tcPr>
          <w:p w14:paraId="57FF3845" w14:textId="77777777" w:rsidR="009D3DC8" w:rsidRDefault="009D3DC8">
            <w:pPr>
              <w:pStyle w:val="TableText1"/>
              <w:keepNext w:val="0"/>
              <w:rPr>
                <w:rFonts w:ascii="Arial" w:hAnsi="Arial" w:cs="Arial"/>
                <w:szCs w:val="16"/>
              </w:rPr>
            </w:pPr>
            <w:r>
              <w:rPr>
                <w:rFonts w:ascii="Arial" w:hAnsi="Arial" w:cs="Arial"/>
                <w:szCs w:val="16"/>
              </w:rPr>
              <w:t>Assessment not required</w:t>
            </w:r>
          </w:p>
        </w:tc>
        <w:tc>
          <w:tcPr>
            <w:tcW w:w="1163" w:type="dxa"/>
            <w:tcBorders>
              <w:left w:val="single" w:sz="2" w:space="0" w:color="999999"/>
              <w:bottom w:val="single" w:sz="2" w:space="0" w:color="auto"/>
            </w:tcBorders>
            <w:shd w:val="clear" w:color="auto" w:fill="FFFFFF"/>
          </w:tcPr>
          <w:p w14:paraId="751E9D35" w14:textId="77777777" w:rsidR="009D3DC8" w:rsidRDefault="009D3DC8">
            <w:pPr>
              <w:pStyle w:val="TableText1"/>
              <w:keepNext w:val="0"/>
              <w:rPr>
                <w:rFonts w:ascii="Arial" w:hAnsi="Arial" w:cs="Arial"/>
                <w:szCs w:val="16"/>
              </w:rPr>
            </w:pPr>
            <w:r>
              <w:rPr>
                <w:rFonts w:ascii="Arial" w:hAnsi="Arial" w:cs="Arial"/>
                <w:szCs w:val="16"/>
              </w:rPr>
              <w:t>No</w:t>
            </w:r>
          </w:p>
        </w:tc>
      </w:tr>
      <w:tr w:rsidR="009D3DC8" w14:paraId="2FBEEEF4" w14:textId="77777777">
        <w:trPr>
          <w:cantSplit/>
          <w:jc w:val="center"/>
        </w:trPr>
        <w:tc>
          <w:tcPr>
            <w:tcW w:w="15840" w:type="dxa"/>
            <w:gridSpan w:val="9"/>
            <w:tcBorders>
              <w:bottom w:val="single" w:sz="2" w:space="0" w:color="auto"/>
            </w:tcBorders>
            <w:shd w:val="clear" w:color="auto" w:fill="CCCCCC"/>
          </w:tcPr>
          <w:p w14:paraId="3F836B7A" w14:textId="77777777" w:rsidR="009D3DC8" w:rsidRDefault="009D3DC8">
            <w:pPr>
              <w:pStyle w:val="TableText1"/>
              <w:rPr>
                <w:rFonts w:ascii="Arial" w:hAnsi="Arial" w:cs="Arial"/>
                <w:color w:val="auto"/>
                <w:szCs w:val="16"/>
              </w:rPr>
            </w:pPr>
            <w:r>
              <w:rPr>
                <w:rFonts w:ascii="Arial" w:hAnsi="Arial" w:cs="Arial"/>
                <w:b/>
                <w:color w:val="auto"/>
                <w:szCs w:val="16"/>
              </w:rPr>
              <w:t>DOMAIN FUNGI</w:t>
            </w:r>
          </w:p>
        </w:tc>
      </w:tr>
      <w:tr w:rsidR="009D3DC8" w14:paraId="546837A2" w14:textId="77777777">
        <w:trPr>
          <w:cantSplit/>
          <w:jc w:val="center"/>
        </w:trPr>
        <w:tc>
          <w:tcPr>
            <w:tcW w:w="15840" w:type="dxa"/>
            <w:gridSpan w:val="9"/>
            <w:tcBorders>
              <w:bottom w:val="single" w:sz="2" w:space="0" w:color="auto"/>
            </w:tcBorders>
            <w:shd w:val="clear" w:color="auto" w:fill="E0E0E0"/>
          </w:tcPr>
          <w:p w14:paraId="4AE1D2FE" w14:textId="77777777" w:rsidR="009D3DC8" w:rsidRDefault="009D3DC8">
            <w:pPr>
              <w:pStyle w:val="TableText1"/>
              <w:rPr>
                <w:rFonts w:ascii="Arial" w:hAnsi="Arial" w:cs="Arial"/>
                <w:b/>
                <w:color w:val="auto"/>
                <w:szCs w:val="16"/>
              </w:rPr>
            </w:pPr>
            <w:r>
              <w:rPr>
                <w:rFonts w:ascii="Arial" w:hAnsi="Arial" w:cs="Arial"/>
                <w:b/>
                <w:color w:val="auto"/>
                <w:szCs w:val="16"/>
              </w:rPr>
              <w:t>Class Agaricomycetes</w:t>
            </w:r>
          </w:p>
        </w:tc>
      </w:tr>
      <w:tr w:rsidR="009D3DC8" w14:paraId="3BAF5181" w14:textId="77777777">
        <w:trPr>
          <w:cantSplit/>
          <w:jc w:val="center"/>
        </w:trPr>
        <w:tc>
          <w:tcPr>
            <w:tcW w:w="15840" w:type="dxa"/>
            <w:gridSpan w:val="9"/>
            <w:tcBorders>
              <w:bottom w:val="single" w:sz="2" w:space="0" w:color="auto"/>
            </w:tcBorders>
            <w:shd w:val="clear" w:color="auto" w:fill="E6E6E6"/>
          </w:tcPr>
          <w:p w14:paraId="3D2B2821" w14:textId="77777777" w:rsidR="009D3DC8" w:rsidRDefault="009D3DC8">
            <w:pPr>
              <w:pStyle w:val="TableText1"/>
              <w:rPr>
                <w:rFonts w:ascii="Arial" w:hAnsi="Arial" w:cs="Arial"/>
                <w:color w:val="auto"/>
                <w:szCs w:val="16"/>
              </w:rPr>
            </w:pPr>
            <w:r>
              <w:rPr>
                <w:rFonts w:ascii="Arial" w:hAnsi="Arial" w:cs="Arial"/>
                <w:b/>
                <w:color w:val="auto"/>
                <w:szCs w:val="16"/>
              </w:rPr>
              <w:t>Order Agaricales</w:t>
            </w:r>
          </w:p>
        </w:tc>
      </w:tr>
      <w:tr w:rsidR="009D3DC8" w14:paraId="15D1B101" w14:textId="77777777">
        <w:trPr>
          <w:cantSplit/>
          <w:jc w:val="center"/>
        </w:trPr>
        <w:tc>
          <w:tcPr>
            <w:tcW w:w="3039" w:type="dxa"/>
            <w:tcBorders>
              <w:bottom w:val="single" w:sz="2" w:space="0" w:color="auto"/>
              <w:right w:val="single" w:sz="2" w:space="0" w:color="999999"/>
            </w:tcBorders>
            <w:shd w:val="clear" w:color="auto" w:fill="FFFFFF"/>
          </w:tcPr>
          <w:p w14:paraId="4FD6A1B2" w14:textId="77777777" w:rsidR="009D3DC8" w:rsidRDefault="009D3DC8">
            <w:pPr>
              <w:pStyle w:val="TableText"/>
              <w:spacing w:line="240" w:lineRule="auto"/>
              <w:rPr>
                <w:rFonts w:cs="Arial"/>
                <w:szCs w:val="16"/>
              </w:rPr>
            </w:pPr>
            <w:r>
              <w:rPr>
                <w:rFonts w:cs="Arial"/>
                <w:i/>
                <w:szCs w:val="16"/>
              </w:rPr>
              <w:t>Marasmius crinis-equi</w:t>
            </w:r>
            <w:r>
              <w:rPr>
                <w:rFonts w:cs="Arial"/>
                <w:szCs w:val="16"/>
              </w:rPr>
              <w:t xml:space="preserve"> F. Muell. ex Kalchbr.</w:t>
            </w:r>
          </w:p>
          <w:p w14:paraId="78060FB7" w14:textId="77777777" w:rsidR="009D3DC8" w:rsidRDefault="009D3DC8">
            <w:pPr>
              <w:pStyle w:val="TableText"/>
              <w:spacing w:line="240" w:lineRule="auto"/>
              <w:rPr>
                <w:rFonts w:cs="Arial"/>
                <w:szCs w:val="16"/>
              </w:rPr>
            </w:pPr>
            <w:r>
              <w:rPr>
                <w:rFonts w:cs="Arial"/>
                <w:szCs w:val="16"/>
              </w:rPr>
              <w:t xml:space="preserve">[Agaricales: Marasmiaceae] </w:t>
            </w:r>
          </w:p>
          <w:p w14:paraId="1B95C875" w14:textId="77777777" w:rsidR="009D3DC8" w:rsidRDefault="009D3DC8">
            <w:pPr>
              <w:pStyle w:val="TableText"/>
              <w:spacing w:line="240" w:lineRule="auto"/>
              <w:rPr>
                <w:rFonts w:cs="Arial"/>
                <w:szCs w:val="16"/>
              </w:rPr>
            </w:pPr>
            <w:r>
              <w:rPr>
                <w:rFonts w:cs="Arial"/>
                <w:szCs w:val="16"/>
              </w:rPr>
              <w:t>Horse hair blight</w:t>
            </w:r>
          </w:p>
        </w:tc>
        <w:tc>
          <w:tcPr>
            <w:tcW w:w="2154" w:type="dxa"/>
            <w:gridSpan w:val="2"/>
            <w:tcBorders>
              <w:left w:val="single" w:sz="2" w:space="0" w:color="999999"/>
              <w:bottom w:val="single" w:sz="2" w:space="0" w:color="auto"/>
              <w:right w:val="single" w:sz="2" w:space="0" w:color="999999"/>
            </w:tcBorders>
            <w:shd w:val="clear" w:color="auto" w:fill="FFFFFF"/>
          </w:tcPr>
          <w:p w14:paraId="5C37F669" w14:textId="77777777" w:rsidR="009D3DC8" w:rsidRDefault="009D3DC8">
            <w:pPr>
              <w:pStyle w:val="TableText"/>
              <w:spacing w:line="240" w:lineRule="auto"/>
              <w:rPr>
                <w:rFonts w:cs="Arial"/>
                <w:szCs w:val="16"/>
              </w:rPr>
            </w:pPr>
            <w:r>
              <w:rPr>
                <w:rFonts w:cs="Arial"/>
                <w:szCs w:val="16"/>
              </w:rPr>
              <w:t>Yes</w:t>
            </w:r>
          </w:p>
          <w:p w14:paraId="69F5060A" w14:textId="77777777" w:rsidR="009D3DC8" w:rsidRDefault="009D3DC8">
            <w:pPr>
              <w:pStyle w:val="TableText"/>
              <w:spacing w:line="240" w:lineRule="auto"/>
              <w:rPr>
                <w:rFonts w:cs="Arial"/>
                <w:szCs w:val="16"/>
              </w:rPr>
            </w:pPr>
            <w:r>
              <w:rPr>
                <w:rFonts w:cs="Arial"/>
                <w:szCs w:val="16"/>
              </w:rPr>
              <w:t>(Hasyim 2006; CABI 2011)</w:t>
            </w:r>
          </w:p>
        </w:tc>
        <w:tc>
          <w:tcPr>
            <w:tcW w:w="2670" w:type="dxa"/>
            <w:tcBorders>
              <w:left w:val="single" w:sz="2" w:space="0" w:color="999999"/>
              <w:bottom w:val="single" w:sz="2" w:space="0" w:color="auto"/>
              <w:right w:val="single" w:sz="2" w:space="0" w:color="999999"/>
            </w:tcBorders>
            <w:shd w:val="clear" w:color="auto" w:fill="FFFFFF"/>
          </w:tcPr>
          <w:p w14:paraId="77F59D0C" w14:textId="77777777" w:rsidR="009D3DC8" w:rsidRDefault="009D3DC8">
            <w:pPr>
              <w:pStyle w:val="TableText"/>
              <w:spacing w:line="240" w:lineRule="auto"/>
              <w:rPr>
                <w:rFonts w:cs="Arial"/>
                <w:szCs w:val="16"/>
              </w:rPr>
            </w:pPr>
            <w:r>
              <w:rPr>
                <w:rFonts w:cs="Arial"/>
                <w:szCs w:val="16"/>
              </w:rPr>
              <w:t>No</w:t>
            </w:r>
          </w:p>
          <w:p w14:paraId="2496D963" w14:textId="77777777" w:rsidR="009D3DC8" w:rsidRDefault="009D3DC8">
            <w:pPr>
              <w:pStyle w:val="TableText"/>
              <w:spacing w:line="240" w:lineRule="auto"/>
              <w:rPr>
                <w:rFonts w:cs="Arial"/>
                <w:szCs w:val="16"/>
              </w:rPr>
            </w:pPr>
            <w:r>
              <w:rPr>
                <w:rFonts w:cs="Arial"/>
                <w:szCs w:val="16"/>
              </w:rPr>
              <w:t>Associated with leaves and causes dieback of shoots and branches (Lim and Sangchote 2003; CABI 2011).</w:t>
            </w:r>
          </w:p>
        </w:tc>
        <w:tc>
          <w:tcPr>
            <w:tcW w:w="2007" w:type="dxa"/>
            <w:tcBorders>
              <w:left w:val="single" w:sz="2" w:space="0" w:color="999999"/>
              <w:bottom w:val="single" w:sz="2" w:space="0" w:color="auto"/>
              <w:right w:val="single" w:sz="2" w:space="0" w:color="999999"/>
            </w:tcBorders>
            <w:shd w:val="clear" w:color="auto" w:fill="FFFFFF"/>
          </w:tcPr>
          <w:p w14:paraId="4A1E608A" w14:textId="77777777" w:rsidR="009D3DC8" w:rsidRDefault="009D3DC8">
            <w:pPr>
              <w:pStyle w:val="TableText"/>
              <w:spacing w:line="240" w:lineRule="auto"/>
              <w:rPr>
                <w:rFonts w:cs="Arial"/>
                <w:szCs w:val="16"/>
              </w:rPr>
            </w:pPr>
            <w:r>
              <w:rPr>
                <w:rFonts w:cs="Arial"/>
                <w:szCs w:val="16"/>
              </w:rPr>
              <w:t>Yes</w:t>
            </w:r>
          </w:p>
          <w:p w14:paraId="0A6A631B" w14:textId="77777777" w:rsidR="009D3DC8" w:rsidRDefault="009D3DC8">
            <w:pPr>
              <w:pStyle w:val="TableText"/>
              <w:spacing w:line="240" w:lineRule="auto"/>
              <w:rPr>
                <w:rFonts w:cs="Arial"/>
                <w:szCs w:val="16"/>
              </w:rPr>
            </w:pPr>
            <w:r>
              <w:rPr>
                <w:rFonts w:cs="Arial"/>
                <w:szCs w:val="16"/>
              </w:rPr>
              <w:t>Qld, Vic., Tas., WA (Robinson and Tunsell 2009; Gates 2009; APPD 2011)</w:t>
            </w:r>
          </w:p>
        </w:tc>
        <w:tc>
          <w:tcPr>
            <w:tcW w:w="2537" w:type="dxa"/>
            <w:tcBorders>
              <w:left w:val="single" w:sz="2" w:space="0" w:color="999999"/>
              <w:bottom w:val="single" w:sz="2" w:space="0" w:color="auto"/>
              <w:right w:val="single" w:sz="2" w:space="0" w:color="999999"/>
            </w:tcBorders>
            <w:shd w:val="clear" w:color="auto" w:fill="FFFFFF"/>
          </w:tcPr>
          <w:p w14:paraId="2E68B589"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0209217D"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33566E49" w14:textId="77777777" w:rsidR="009D3DC8" w:rsidRDefault="009D3DC8">
            <w:pPr>
              <w:pStyle w:val="TableText"/>
              <w:spacing w:line="240" w:lineRule="auto"/>
              <w:rPr>
                <w:rFonts w:cs="Arial"/>
                <w:szCs w:val="16"/>
              </w:rPr>
            </w:pPr>
            <w:r>
              <w:rPr>
                <w:rFonts w:cs="Arial"/>
                <w:szCs w:val="16"/>
              </w:rPr>
              <w:t>No</w:t>
            </w:r>
          </w:p>
        </w:tc>
      </w:tr>
      <w:tr w:rsidR="009D3DC8" w14:paraId="7497AADA" w14:textId="77777777">
        <w:trPr>
          <w:cantSplit/>
          <w:jc w:val="center"/>
        </w:trPr>
        <w:tc>
          <w:tcPr>
            <w:tcW w:w="3039" w:type="dxa"/>
            <w:tcBorders>
              <w:bottom w:val="single" w:sz="2" w:space="0" w:color="auto"/>
              <w:right w:val="single" w:sz="2" w:space="0" w:color="999999"/>
            </w:tcBorders>
            <w:shd w:val="clear" w:color="auto" w:fill="FFFFFF"/>
          </w:tcPr>
          <w:p w14:paraId="28802C9C" w14:textId="77777777" w:rsidR="009D3DC8" w:rsidRDefault="009D3DC8">
            <w:pPr>
              <w:pStyle w:val="TableText"/>
              <w:spacing w:line="240" w:lineRule="auto"/>
              <w:rPr>
                <w:rFonts w:cs="Arial"/>
                <w:szCs w:val="16"/>
              </w:rPr>
            </w:pPr>
            <w:r>
              <w:rPr>
                <w:rFonts w:cs="Arial"/>
                <w:i/>
                <w:szCs w:val="16"/>
              </w:rPr>
              <w:t>Marasmiellus scandens</w:t>
            </w:r>
            <w:r>
              <w:rPr>
                <w:rFonts w:cs="Arial"/>
                <w:szCs w:val="16"/>
              </w:rPr>
              <w:t xml:space="preserve"> (Massee) Dennis &amp; D.A. Reid </w:t>
            </w:r>
          </w:p>
          <w:p w14:paraId="583C2DD1" w14:textId="77777777" w:rsidR="009D3DC8" w:rsidRDefault="009D3DC8">
            <w:pPr>
              <w:pStyle w:val="TableText"/>
              <w:spacing w:line="240" w:lineRule="auto"/>
              <w:rPr>
                <w:rFonts w:cs="Arial"/>
                <w:szCs w:val="16"/>
              </w:rPr>
            </w:pPr>
            <w:r>
              <w:rPr>
                <w:rFonts w:cs="Arial"/>
                <w:szCs w:val="16"/>
              </w:rPr>
              <w:t>[Agaricales: Marasmiaceae]</w:t>
            </w:r>
          </w:p>
          <w:p w14:paraId="17B6A044" w14:textId="77777777" w:rsidR="009D3DC8" w:rsidRDefault="009D3DC8">
            <w:pPr>
              <w:pStyle w:val="TableText"/>
              <w:spacing w:line="240" w:lineRule="auto"/>
              <w:rPr>
                <w:rFonts w:cs="Arial"/>
                <w:szCs w:val="16"/>
              </w:rPr>
            </w:pPr>
            <w:r>
              <w:rPr>
                <w:rFonts w:cs="Arial"/>
                <w:szCs w:val="16"/>
              </w:rPr>
              <w:t>White thread blight</w:t>
            </w:r>
          </w:p>
        </w:tc>
        <w:tc>
          <w:tcPr>
            <w:tcW w:w="2154" w:type="dxa"/>
            <w:gridSpan w:val="2"/>
            <w:tcBorders>
              <w:left w:val="single" w:sz="2" w:space="0" w:color="999999"/>
              <w:bottom w:val="single" w:sz="2" w:space="0" w:color="auto"/>
              <w:right w:val="single" w:sz="2" w:space="0" w:color="999999"/>
            </w:tcBorders>
            <w:shd w:val="clear" w:color="auto" w:fill="FFFFFF"/>
          </w:tcPr>
          <w:p w14:paraId="542F156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D554CA4" w14:textId="77777777" w:rsidR="009D3DC8" w:rsidRDefault="009D3DC8">
            <w:pPr>
              <w:pStyle w:val="TableText1"/>
              <w:keepNext w:val="0"/>
              <w:rPr>
                <w:rFonts w:ascii="Arial" w:hAnsi="Arial" w:cs="Arial"/>
                <w:color w:val="auto"/>
                <w:szCs w:val="16"/>
              </w:rPr>
            </w:pPr>
            <w:r>
              <w:rPr>
                <w:rFonts w:ascii="Arial" w:hAnsi="Arial" w:cs="Arial"/>
                <w:szCs w:val="16"/>
              </w:rPr>
              <w:t>(Hasyim 2006; CABI 2011)</w:t>
            </w:r>
          </w:p>
        </w:tc>
        <w:tc>
          <w:tcPr>
            <w:tcW w:w="2670" w:type="dxa"/>
            <w:tcBorders>
              <w:left w:val="single" w:sz="2" w:space="0" w:color="999999"/>
              <w:bottom w:val="single" w:sz="2" w:space="0" w:color="auto"/>
              <w:right w:val="single" w:sz="2" w:space="0" w:color="999999"/>
            </w:tcBorders>
            <w:shd w:val="clear" w:color="auto" w:fill="FFFFFF"/>
          </w:tcPr>
          <w:p w14:paraId="3C69EDD8"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46D64F22" w14:textId="77777777" w:rsidR="009D3DC8" w:rsidRDefault="009D3DC8">
            <w:pPr>
              <w:keepNext/>
              <w:keepLines/>
              <w:widowControl w:val="0"/>
              <w:suppressLineNumbers/>
              <w:suppressAutoHyphens/>
              <w:spacing w:before="60" w:after="60" w:line="240" w:lineRule="auto"/>
              <w:rPr>
                <w:rFonts w:ascii="Arial" w:hAnsi="Arial" w:cs="Arial"/>
                <w:sz w:val="16"/>
                <w:szCs w:val="16"/>
              </w:rPr>
            </w:pPr>
            <w:r>
              <w:rPr>
                <w:rFonts w:ascii="Arial" w:hAnsi="Arial" w:cs="Arial"/>
                <w:sz w:val="16"/>
                <w:szCs w:val="16"/>
              </w:rPr>
              <w:t>Associated with leaves, twigs and branches (Lim and Sangchote 2003; Hasyim 2006; CABI 2011).</w:t>
            </w:r>
          </w:p>
        </w:tc>
        <w:tc>
          <w:tcPr>
            <w:tcW w:w="2007" w:type="dxa"/>
            <w:tcBorders>
              <w:left w:val="single" w:sz="2" w:space="0" w:color="999999"/>
              <w:bottom w:val="single" w:sz="2" w:space="0" w:color="auto"/>
              <w:right w:val="single" w:sz="2" w:space="0" w:color="999999"/>
            </w:tcBorders>
            <w:shd w:val="clear" w:color="auto" w:fill="FFFFFF"/>
          </w:tcPr>
          <w:p w14:paraId="26A6B920" w14:textId="77777777" w:rsidR="009D3DC8" w:rsidRDefault="009D3DC8">
            <w:pPr>
              <w:pStyle w:val="TableText1"/>
              <w:keepNext w:val="0"/>
              <w:rPr>
                <w:rFonts w:ascii="Arial" w:hAnsi="Arial" w:cs="Arial"/>
                <w:color w:val="auto"/>
                <w:szCs w:val="16"/>
              </w:rPr>
            </w:pPr>
            <w:r>
              <w:rPr>
                <w:rFonts w:ascii="Arial" w:hAnsi="Arial" w:cs="Arial"/>
                <w:color w:val="auto"/>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6518B812"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005A7444"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292B137F"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1C7D8A4A" w14:textId="77777777">
        <w:trPr>
          <w:cantSplit/>
          <w:jc w:val="center"/>
        </w:trPr>
        <w:tc>
          <w:tcPr>
            <w:tcW w:w="15840" w:type="dxa"/>
            <w:gridSpan w:val="9"/>
            <w:tcBorders>
              <w:bottom w:val="single" w:sz="2" w:space="0" w:color="auto"/>
            </w:tcBorders>
            <w:shd w:val="clear" w:color="auto" w:fill="E6E6E6"/>
          </w:tcPr>
          <w:p w14:paraId="798272DD" w14:textId="77777777" w:rsidR="009D3DC8" w:rsidRDefault="009D3DC8">
            <w:pPr>
              <w:pStyle w:val="TableText1"/>
              <w:rPr>
                <w:rFonts w:ascii="Arial" w:hAnsi="Arial" w:cs="Arial"/>
                <w:color w:val="auto"/>
                <w:szCs w:val="16"/>
              </w:rPr>
            </w:pPr>
            <w:r>
              <w:rPr>
                <w:rFonts w:ascii="Arial" w:hAnsi="Arial" w:cs="Arial"/>
                <w:b/>
                <w:color w:val="auto"/>
                <w:szCs w:val="16"/>
              </w:rPr>
              <w:lastRenderedPageBreak/>
              <w:t>Order Corticiales</w:t>
            </w:r>
          </w:p>
        </w:tc>
      </w:tr>
      <w:tr w:rsidR="009D3DC8" w14:paraId="42621BD0" w14:textId="77777777">
        <w:trPr>
          <w:cantSplit/>
          <w:jc w:val="center"/>
        </w:trPr>
        <w:tc>
          <w:tcPr>
            <w:tcW w:w="3039" w:type="dxa"/>
            <w:tcBorders>
              <w:bottom w:val="single" w:sz="2" w:space="0" w:color="auto"/>
              <w:right w:val="single" w:sz="2" w:space="0" w:color="999999"/>
            </w:tcBorders>
            <w:shd w:val="clear" w:color="auto" w:fill="FFFFFF"/>
          </w:tcPr>
          <w:p w14:paraId="172EF20E" w14:textId="77777777" w:rsidR="009D3DC8" w:rsidRDefault="009D3DC8">
            <w:pPr>
              <w:pStyle w:val="TableText"/>
              <w:spacing w:line="240" w:lineRule="auto"/>
              <w:rPr>
                <w:rFonts w:cs="Arial"/>
                <w:szCs w:val="16"/>
              </w:rPr>
            </w:pPr>
            <w:r>
              <w:rPr>
                <w:rFonts w:cs="Arial"/>
                <w:i/>
                <w:szCs w:val="16"/>
              </w:rPr>
              <w:t>Corticium koleroga</w:t>
            </w:r>
            <w:r>
              <w:rPr>
                <w:rFonts w:cs="Arial"/>
                <w:szCs w:val="16"/>
              </w:rPr>
              <w:t xml:space="preserve"> (Cooke) Höhn.</w:t>
            </w:r>
          </w:p>
          <w:p w14:paraId="7F08CD43" w14:textId="77777777" w:rsidR="009D3DC8" w:rsidRDefault="009D3DC8">
            <w:pPr>
              <w:pStyle w:val="TableText"/>
              <w:spacing w:line="240" w:lineRule="auto"/>
              <w:rPr>
                <w:rFonts w:cs="Arial"/>
                <w:szCs w:val="16"/>
              </w:rPr>
            </w:pPr>
            <w:r>
              <w:rPr>
                <w:rFonts w:cs="Arial"/>
                <w:szCs w:val="16"/>
              </w:rPr>
              <w:t>[Corticiales: Corticiaceae]</w:t>
            </w:r>
          </w:p>
          <w:p w14:paraId="0FB77CCD" w14:textId="77777777" w:rsidR="009D3DC8" w:rsidRDefault="009D3DC8">
            <w:pPr>
              <w:pStyle w:val="TableText"/>
              <w:spacing w:line="240" w:lineRule="auto"/>
              <w:rPr>
                <w:rFonts w:cs="Arial"/>
                <w:i/>
                <w:szCs w:val="16"/>
              </w:rPr>
            </w:pPr>
            <w:r>
              <w:rPr>
                <w:rFonts w:cs="Arial"/>
                <w:szCs w:val="16"/>
              </w:rPr>
              <w:t>Thread blight</w:t>
            </w:r>
          </w:p>
        </w:tc>
        <w:tc>
          <w:tcPr>
            <w:tcW w:w="2154" w:type="dxa"/>
            <w:gridSpan w:val="2"/>
            <w:tcBorders>
              <w:left w:val="single" w:sz="2" w:space="0" w:color="999999"/>
              <w:bottom w:val="single" w:sz="2" w:space="0" w:color="auto"/>
              <w:right w:val="single" w:sz="2" w:space="0" w:color="999999"/>
            </w:tcBorders>
            <w:shd w:val="clear" w:color="auto" w:fill="FFFFFF"/>
          </w:tcPr>
          <w:p w14:paraId="0D3B88E3"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FFF19B9" w14:textId="77777777" w:rsidR="009D3DC8" w:rsidRDefault="009D3DC8">
            <w:pPr>
              <w:pStyle w:val="TableText1"/>
              <w:keepNext w:val="0"/>
              <w:rPr>
                <w:rFonts w:ascii="Arial" w:hAnsi="Arial" w:cs="Arial"/>
                <w:color w:val="auto"/>
                <w:szCs w:val="16"/>
              </w:rPr>
            </w:pPr>
            <w:r>
              <w:rPr>
                <w:rFonts w:ascii="Arial" w:hAnsi="Arial" w:cs="Arial"/>
                <w:szCs w:val="16"/>
              </w:rPr>
              <w:t>(Lim and Sangchote 2003)</w:t>
            </w:r>
          </w:p>
        </w:tc>
        <w:tc>
          <w:tcPr>
            <w:tcW w:w="2670" w:type="dxa"/>
            <w:tcBorders>
              <w:left w:val="single" w:sz="2" w:space="0" w:color="999999"/>
              <w:bottom w:val="single" w:sz="2" w:space="0" w:color="auto"/>
              <w:right w:val="single" w:sz="2" w:space="0" w:color="999999"/>
            </w:tcBorders>
            <w:shd w:val="clear" w:color="auto" w:fill="FFFFFF"/>
          </w:tcPr>
          <w:p w14:paraId="388A9CF5"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38B4392C" w14:textId="77777777" w:rsidR="009D3DC8" w:rsidRDefault="009D3DC8">
            <w:pPr>
              <w:pStyle w:val="TableText1"/>
              <w:keepNext w:val="0"/>
              <w:rPr>
                <w:rFonts w:ascii="Arial" w:hAnsi="Arial" w:cs="Arial"/>
                <w:color w:val="auto"/>
                <w:szCs w:val="16"/>
              </w:rPr>
            </w:pPr>
            <w:r>
              <w:rPr>
                <w:rFonts w:ascii="Arial" w:hAnsi="Arial" w:cs="Arial"/>
                <w:szCs w:val="16"/>
              </w:rPr>
              <w:t>Infects leaves and young fruits of trees in shaded and humid areas (Almeyda and Martin 1976; Yaacob and Tindall 1995). Filaments covering the infected fruit are highly visible (Almeyda and Martin 1976). Visibly damaged and unsightly fruits will be removed during packing.</w:t>
            </w:r>
          </w:p>
        </w:tc>
        <w:tc>
          <w:tcPr>
            <w:tcW w:w="2007" w:type="dxa"/>
            <w:tcBorders>
              <w:left w:val="single" w:sz="2" w:space="0" w:color="999999"/>
              <w:bottom w:val="single" w:sz="2" w:space="0" w:color="auto"/>
              <w:right w:val="single" w:sz="2" w:space="0" w:color="999999"/>
            </w:tcBorders>
            <w:shd w:val="clear" w:color="auto" w:fill="FFFFFF"/>
          </w:tcPr>
          <w:p w14:paraId="7502227A"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6DF185D3"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Various records of </w:t>
            </w:r>
            <w:r>
              <w:rPr>
                <w:rFonts w:ascii="Arial" w:hAnsi="Arial" w:cs="Arial"/>
                <w:i/>
                <w:color w:val="auto"/>
                <w:szCs w:val="16"/>
              </w:rPr>
              <w:t>Corticium</w:t>
            </w:r>
            <w:r>
              <w:rPr>
                <w:rFonts w:ascii="Arial" w:hAnsi="Arial" w:cs="Arial"/>
                <w:color w:val="auto"/>
                <w:szCs w:val="16"/>
              </w:rPr>
              <w:t xml:space="preserve"> sp. and two records of </w:t>
            </w:r>
            <w:r>
              <w:rPr>
                <w:rFonts w:ascii="Arial" w:hAnsi="Arial" w:cs="Arial"/>
                <w:i/>
                <w:color w:val="auto"/>
                <w:szCs w:val="16"/>
              </w:rPr>
              <w:t>Pellicularia</w:t>
            </w:r>
            <w:r>
              <w:rPr>
                <w:rFonts w:ascii="Arial" w:hAnsi="Arial" w:cs="Arial"/>
                <w:color w:val="auto"/>
                <w:szCs w:val="16"/>
              </w:rPr>
              <w:t xml:space="preserve"> sp. are recorded from Australia (APPD 2011).</w:t>
            </w:r>
          </w:p>
        </w:tc>
        <w:tc>
          <w:tcPr>
            <w:tcW w:w="2537" w:type="dxa"/>
            <w:tcBorders>
              <w:left w:val="single" w:sz="2" w:space="0" w:color="999999"/>
              <w:bottom w:val="single" w:sz="2" w:space="0" w:color="auto"/>
              <w:right w:val="single" w:sz="2" w:space="0" w:color="999999"/>
            </w:tcBorders>
            <w:shd w:val="clear" w:color="auto" w:fill="FFFFFF"/>
          </w:tcPr>
          <w:p w14:paraId="65A7D1E2"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722BAA08"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r>
              <w:rPr>
                <w:rFonts w:ascii="Arial" w:hAnsi="Arial" w:cs="Arial"/>
                <w:szCs w:val="16"/>
              </w:rPr>
              <w:t xml:space="preserve"> </w:t>
            </w:r>
          </w:p>
        </w:tc>
        <w:tc>
          <w:tcPr>
            <w:tcW w:w="1179" w:type="dxa"/>
            <w:gridSpan w:val="2"/>
            <w:tcBorders>
              <w:left w:val="single" w:sz="2" w:space="0" w:color="999999"/>
              <w:bottom w:val="single" w:sz="2" w:space="0" w:color="auto"/>
            </w:tcBorders>
            <w:shd w:val="clear" w:color="auto" w:fill="FFFFFF"/>
          </w:tcPr>
          <w:p w14:paraId="1026FA6F" w14:textId="77777777" w:rsidR="009D3DC8" w:rsidRDefault="009D3DC8">
            <w:pPr>
              <w:pStyle w:val="TableText1"/>
              <w:keepNext w:val="0"/>
              <w:rPr>
                <w:rFonts w:ascii="Arial" w:hAnsi="Arial" w:cs="Arial"/>
                <w:color w:val="auto"/>
                <w:szCs w:val="16"/>
              </w:rPr>
            </w:pPr>
            <w:r>
              <w:rPr>
                <w:rFonts w:ascii="Arial" w:hAnsi="Arial" w:cs="Arial"/>
                <w:szCs w:val="16"/>
              </w:rPr>
              <w:t>No</w:t>
            </w:r>
          </w:p>
        </w:tc>
      </w:tr>
      <w:tr w:rsidR="009D3DC8" w14:paraId="3338F753" w14:textId="77777777">
        <w:trPr>
          <w:cantSplit/>
          <w:trHeight w:val="75"/>
          <w:jc w:val="center"/>
        </w:trPr>
        <w:tc>
          <w:tcPr>
            <w:tcW w:w="15840" w:type="dxa"/>
            <w:gridSpan w:val="9"/>
            <w:tcBorders>
              <w:bottom w:val="single" w:sz="2" w:space="0" w:color="auto"/>
            </w:tcBorders>
            <w:shd w:val="clear" w:color="auto" w:fill="E6E6E6"/>
          </w:tcPr>
          <w:p w14:paraId="48D1C9D6" w14:textId="77777777" w:rsidR="009D3DC8" w:rsidRDefault="009D3DC8">
            <w:pPr>
              <w:pStyle w:val="TableText1"/>
              <w:rPr>
                <w:rFonts w:ascii="Arial" w:hAnsi="Arial" w:cs="Arial"/>
                <w:color w:val="auto"/>
                <w:szCs w:val="16"/>
              </w:rPr>
            </w:pPr>
            <w:r>
              <w:rPr>
                <w:rFonts w:ascii="Arial" w:hAnsi="Arial" w:cs="Arial"/>
                <w:b/>
                <w:color w:val="auto"/>
                <w:szCs w:val="16"/>
              </w:rPr>
              <w:t>Order Hymenochaetales</w:t>
            </w:r>
          </w:p>
        </w:tc>
      </w:tr>
      <w:tr w:rsidR="009D3DC8" w14:paraId="51474083" w14:textId="77777777">
        <w:trPr>
          <w:cantSplit/>
          <w:jc w:val="center"/>
        </w:trPr>
        <w:tc>
          <w:tcPr>
            <w:tcW w:w="3039" w:type="dxa"/>
            <w:tcBorders>
              <w:bottom w:val="single" w:sz="2" w:space="0" w:color="auto"/>
              <w:right w:val="single" w:sz="2" w:space="0" w:color="999999"/>
            </w:tcBorders>
            <w:shd w:val="clear" w:color="auto" w:fill="FFFFFF"/>
          </w:tcPr>
          <w:p w14:paraId="2B750A2A" w14:textId="77777777" w:rsidR="009D3DC8" w:rsidRDefault="009D3DC8">
            <w:pPr>
              <w:pStyle w:val="TableText"/>
              <w:spacing w:line="240" w:lineRule="auto"/>
              <w:rPr>
                <w:rFonts w:cs="Arial"/>
                <w:szCs w:val="16"/>
              </w:rPr>
            </w:pPr>
            <w:r>
              <w:rPr>
                <w:rFonts w:cs="Arial"/>
                <w:i/>
                <w:szCs w:val="16"/>
              </w:rPr>
              <w:t>Phellinus noxius</w:t>
            </w:r>
            <w:r>
              <w:rPr>
                <w:rFonts w:cs="Arial"/>
                <w:szCs w:val="16"/>
              </w:rPr>
              <w:t xml:space="preserve"> (Corner) G. Cunn.</w:t>
            </w:r>
          </w:p>
          <w:p w14:paraId="4413AD06" w14:textId="77777777" w:rsidR="009D3DC8" w:rsidRDefault="009D3DC8">
            <w:pPr>
              <w:pStyle w:val="TableText"/>
              <w:spacing w:line="240" w:lineRule="auto"/>
              <w:rPr>
                <w:rFonts w:cs="Arial"/>
                <w:szCs w:val="16"/>
              </w:rPr>
            </w:pPr>
            <w:r>
              <w:rPr>
                <w:rFonts w:cs="Arial"/>
                <w:szCs w:val="16"/>
              </w:rPr>
              <w:t>[Hymenochaetales: Hymenochaetaceae]</w:t>
            </w:r>
          </w:p>
          <w:p w14:paraId="41E188C2" w14:textId="77777777" w:rsidR="009D3DC8" w:rsidRDefault="009D3DC8">
            <w:pPr>
              <w:pStyle w:val="TableText"/>
              <w:spacing w:line="240" w:lineRule="auto"/>
              <w:rPr>
                <w:rFonts w:cs="Arial"/>
                <w:szCs w:val="16"/>
              </w:rPr>
            </w:pPr>
            <w:r>
              <w:rPr>
                <w:rFonts w:cs="Arial"/>
                <w:szCs w:val="16"/>
              </w:rPr>
              <w:t>Brown rot</w:t>
            </w:r>
          </w:p>
        </w:tc>
        <w:tc>
          <w:tcPr>
            <w:tcW w:w="2154" w:type="dxa"/>
            <w:gridSpan w:val="2"/>
            <w:tcBorders>
              <w:left w:val="single" w:sz="2" w:space="0" w:color="999999"/>
              <w:bottom w:val="single" w:sz="2" w:space="0" w:color="auto"/>
              <w:right w:val="single" w:sz="2" w:space="0" w:color="999999"/>
            </w:tcBorders>
            <w:shd w:val="clear" w:color="auto" w:fill="FFFFFF"/>
          </w:tcPr>
          <w:p w14:paraId="0448628E"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7F9A086" w14:textId="77777777" w:rsidR="009D3DC8" w:rsidRDefault="009D3DC8">
            <w:pPr>
              <w:pStyle w:val="TableText1"/>
              <w:keepNext w:val="0"/>
              <w:rPr>
                <w:rFonts w:ascii="Arial" w:hAnsi="Arial" w:cs="Arial"/>
                <w:color w:val="auto"/>
                <w:szCs w:val="16"/>
              </w:rPr>
            </w:pPr>
            <w:r>
              <w:rPr>
                <w:rFonts w:ascii="Arial" w:hAnsi="Arial" w:cs="Arial"/>
                <w:color w:val="auto"/>
                <w:szCs w:val="16"/>
              </w:rPr>
              <w:t>(Farr and Rossman 2011)</w:t>
            </w:r>
          </w:p>
        </w:tc>
        <w:tc>
          <w:tcPr>
            <w:tcW w:w="2670" w:type="dxa"/>
            <w:tcBorders>
              <w:left w:val="single" w:sz="2" w:space="0" w:color="999999"/>
              <w:bottom w:val="single" w:sz="2" w:space="0" w:color="auto"/>
              <w:right w:val="single" w:sz="2" w:space="0" w:color="999999"/>
            </w:tcBorders>
            <w:shd w:val="clear" w:color="auto" w:fill="FFFFFF"/>
          </w:tcPr>
          <w:p w14:paraId="6E9024B2"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2ADCAFB6" w14:textId="77777777" w:rsidR="009D3DC8" w:rsidRDefault="009D3DC8">
            <w:pPr>
              <w:pStyle w:val="TableText1"/>
              <w:keepNext w:val="0"/>
              <w:rPr>
                <w:rFonts w:ascii="Arial" w:hAnsi="Arial" w:cs="Arial"/>
                <w:color w:val="auto"/>
                <w:szCs w:val="16"/>
              </w:rPr>
            </w:pPr>
            <w:r>
              <w:rPr>
                <w:rFonts w:ascii="Arial" w:hAnsi="Arial" w:cs="Arial"/>
                <w:color w:val="auto"/>
                <w:szCs w:val="16"/>
              </w:rPr>
              <w:t>Occurs on roots and stems (Singh 1980; Yaacob and Tindall 1995).</w:t>
            </w:r>
          </w:p>
        </w:tc>
        <w:tc>
          <w:tcPr>
            <w:tcW w:w="2007" w:type="dxa"/>
            <w:tcBorders>
              <w:left w:val="single" w:sz="2" w:space="0" w:color="999999"/>
              <w:bottom w:val="single" w:sz="2" w:space="0" w:color="auto"/>
              <w:right w:val="single" w:sz="2" w:space="0" w:color="999999"/>
            </w:tcBorders>
            <w:shd w:val="clear" w:color="auto" w:fill="FFFFFF"/>
          </w:tcPr>
          <w:p w14:paraId="6F4D9415"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E36E7F6"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NSW, Qld </w:t>
            </w:r>
            <w:r>
              <w:rPr>
                <w:rFonts w:ascii="Arial" w:hAnsi="Arial" w:cs="Arial"/>
                <w:szCs w:val="16"/>
              </w:rPr>
              <w:t>(APPD 2011)</w:t>
            </w:r>
          </w:p>
        </w:tc>
        <w:tc>
          <w:tcPr>
            <w:tcW w:w="2537" w:type="dxa"/>
            <w:tcBorders>
              <w:left w:val="single" w:sz="2" w:space="0" w:color="999999"/>
              <w:bottom w:val="single" w:sz="2" w:space="0" w:color="auto"/>
              <w:right w:val="single" w:sz="2" w:space="0" w:color="999999"/>
            </w:tcBorders>
            <w:shd w:val="clear" w:color="auto" w:fill="FFFFFF"/>
          </w:tcPr>
          <w:p w14:paraId="6B6D856E"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63A4CE96"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4496339F" w14:textId="77777777" w:rsidR="009D3DC8" w:rsidRDefault="009D3DC8">
            <w:pPr>
              <w:pStyle w:val="TableText1"/>
              <w:keepNext w:val="0"/>
              <w:rPr>
                <w:rFonts w:ascii="Arial" w:hAnsi="Arial" w:cs="Arial"/>
                <w:szCs w:val="16"/>
              </w:rPr>
            </w:pPr>
            <w:r>
              <w:rPr>
                <w:rFonts w:ascii="Arial" w:hAnsi="Arial" w:cs="Arial"/>
                <w:color w:val="auto"/>
                <w:szCs w:val="16"/>
              </w:rPr>
              <w:t>No</w:t>
            </w:r>
          </w:p>
        </w:tc>
      </w:tr>
      <w:tr w:rsidR="009D3DC8" w14:paraId="77345066" w14:textId="77777777">
        <w:trPr>
          <w:cantSplit/>
          <w:trHeight w:val="75"/>
          <w:jc w:val="center"/>
        </w:trPr>
        <w:tc>
          <w:tcPr>
            <w:tcW w:w="15840" w:type="dxa"/>
            <w:gridSpan w:val="9"/>
            <w:tcBorders>
              <w:bottom w:val="single" w:sz="2" w:space="0" w:color="auto"/>
            </w:tcBorders>
            <w:shd w:val="clear" w:color="auto" w:fill="E6E6E6"/>
          </w:tcPr>
          <w:p w14:paraId="3582D50E" w14:textId="77777777" w:rsidR="009D3DC8" w:rsidRDefault="009D3DC8">
            <w:pPr>
              <w:pStyle w:val="TableText1"/>
              <w:rPr>
                <w:rFonts w:ascii="Arial" w:hAnsi="Arial" w:cs="Arial"/>
                <w:color w:val="auto"/>
                <w:szCs w:val="16"/>
              </w:rPr>
            </w:pPr>
            <w:r>
              <w:rPr>
                <w:rFonts w:ascii="Arial" w:hAnsi="Arial" w:cs="Arial"/>
                <w:b/>
                <w:color w:val="auto"/>
                <w:szCs w:val="16"/>
              </w:rPr>
              <w:t>Order Polyporales</w:t>
            </w:r>
          </w:p>
        </w:tc>
      </w:tr>
      <w:tr w:rsidR="009D3DC8" w14:paraId="6A076160" w14:textId="77777777">
        <w:trPr>
          <w:cantSplit/>
          <w:jc w:val="center"/>
        </w:trPr>
        <w:tc>
          <w:tcPr>
            <w:tcW w:w="3039" w:type="dxa"/>
            <w:tcBorders>
              <w:bottom w:val="single" w:sz="2" w:space="0" w:color="auto"/>
              <w:right w:val="single" w:sz="2" w:space="0" w:color="999999"/>
            </w:tcBorders>
            <w:shd w:val="clear" w:color="auto" w:fill="FFFFFF"/>
          </w:tcPr>
          <w:p w14:paraId="2CFD62D9" w14:textId="77777777" w:rsidR="009D3DC8" w:rsidRDefault="009D3DC8">
            <w:pPr>
              <w:pStyle w:val="TableText"/>
              <w:spacing w:line="240" w:lineRule="auto"/>
              <w:rPr>
                <w:rFonts w:cs="Arial"/>
                <w:szCs w:val="16"/>
              </w:rPr>
            </w:pPr>
            <w:r>
              <w:rPr>
                <w:rFonts w:cs="Arial"/>
                <w:i/>
                <w:szCs w:val="16"/>
              </w:rPr>
              <w:t>Ganoderma philippii</w:t>
            </w:r>
            <w:r>
              <w:rPr>
                <w:rFonts w:cs="Arial"/>
                <w:szCs w:val="16"/>
              </w:rPr>
              <w:t xml:space="preserve"> (Bres. &amp; Henn. ex Sacc.) Bres.</w:t>
            </w:r>
          </w:p>
          <w:p w14:paraId="0FC5FA2C" w14:textId="77777777" w:rsidR="009D3DC8" w:rsidRDefault="009D3DC8">
            <w:pPr>
              <w:pStyle w:val="TableText"/>
              <w:spacing w:line="240" w:lineRule="auto"/>
              <w:rPr>
                <w:rFonts w:cs="Arial"/>
                <w:szCs w:val="16"/>
              </w:rPr>
            </w:pPr>
            <w:r>
              <w:rPr>
                <w:rFonts w:cs="Arial"/>
                <w:szCs w:val="16"/>
              </w:rPr>
              <w:t>[Polyporales: Ganodermataceae]</w:t>
            </w:r>
          </w:p>
          <w:p w14:paraId="391B2D92" w14:textId="77777777" w:rsidR="009D3DC8" w:rsidRDefault="009D3DC8">
            <w:pPr>
              <w:pStyle w:val="TableText"/>
              <w:spacing w:line="240" w:lineRule="auto"/>
              <w:rPr>
                <w:rFonts w:cs="Arial"/>
                <w:i/>
                <w:szCs w:val="16"/>
              </w:rPr>
            </w:pPr>
            <w:r>
              <w:rPr>
                <w:rFonts w:cs="Arial"/>
                <w:szCs w:val="16"/>
              </w:rPr>
              <w:t>Red root</w:t>
            </w:r>
          </w:p>
        </w:tc>
        <w:tc>
          <w:tcPr>
            <w:tcW w:w="2154" w:type="dxa"/>
            <w:gridSpan w:val="2"/>
            <w:tcBorders>
              <w:left w:val="single" w:sz="2" w:space="0" w:color="999999"/>
              <w:bottom w:val="single" w:sz="2" w:space="0" w:color="auto"/>
              <w:right w:val="single" w:sz="2" w:space="0" w:color="999999"/>
            </w:tcBorders>
            <w:shd w:val="clear" w:color="auto" w:fill="FFFFFF"/>
          </w:tcPr>
          <w:p w14:paraId="62B00DBB" w14:textId="77777777" w:rsidR="009D3DC8" w:rsidRDefault="009D3DC8">
            <w:pPr>
              <w:pStyle w:val="TableText"/>
              <w:spacing w:line="240" w:lineRule="auto"/>
              <w:rPr>
                <w:rFonts w:cs="Arial"/>
                <w:szCs w:val="16"/>
              </w:rPr>
            </w:pPr>
            <w:r>
              <w:rPr>
                <w:rFonts w:cs="Arial"/>
                <w:szCs w:val="16"/>
              </w:rPr>
              <w:t>Yes</w:t>
            </w:r>
          </w:p>
          <w:p w14:paraId="170BBB05" w14:textId="77777777" w:rsidR="009D3DC8" w:rsidRDefault="009D3DC8">
            <w:pPr>
              <w:pStyle w:val="TableText1"/>
              <w:keepNext w:val="0"/>
              <w:rPr>
                <w:rFonts w:ascii="Arial" w:hAnsi="Arial" w:cs="Arial"/>
                <w:color w:val="auto"/>
                <w:szCs w:val="16"/>
              </w:rPr>
            </w:pPr>
            <w:r>
              <w:rPr>
                <w:rFonts w:ascii="Arial" w:hAnsi="Arial" w:cs="Arial"/>
                <w:szCs w:val="16"/>
              </w:rPr>
              <w:t>(FAO 2007a)</w:t>
            </w:r>
          </w:p>
        </w:tc>
        <w:tc>
          <w:tcPr>
            <w:tcW w:w="2670" w:type="dxa"/>
            <w:tcBorders>
              <w:left w:val="single" w:sz="2" w:space="0" w:color="999999"/>
              <w:bottom w:val="single" w:sz="2" w:space="0" w:color="auto"/>
              <w:right w:val="single" w:sz="2" w:space="0" w:color="999999"/>
            </w:tcBorders>
            <w:shd w:val="clear" w:color="auto" w:fill="FFFFFF"/>
          </w:tcPr>
          <w:p w14:paraId="38125A80" w14:textId="77777777" w:rsidR="009D3DC8" w:rsidRDefault="009D3DC8">
            <w:pPr>
              <w:pStyle w:val="TableText"/>
              <w:spacing w:line="240" w:lineRule="auto"/>
              <w:rPr>
                <w:rFonts w:cs="Arial"/>
                <w:szCs w:val="16"/>
              </w:rPr>
            </w:pPr>
            <w:r>
              <w:rPr>
                <w:rFonts w:cs="Arial"/>
                <w:szCs w:val="16"/>
              </w:rPr>
              <w:t>No</w:t>
            </w:r>
          </w:p>
          <w:p w14:paraId="3326B65E" w14:textId="77777777" w:rsidR="009D3DC8" w:rsidRDefault="009D3DC8">
            <w:pPr>
              <w:pStyle w:val="TableText1"/>
              <w:keepNext w:val="0"/>
              <w:rPr>
                <w:rFonts w:ascii="Arial" w:hAnsi="Arial" w:cs="Arial"/>
                <w:color w:val="auto"/>
                <w:szCs w:val="16"/>
              </w:rPr>
            </w:pPr>
            <w:r>
              <w:rPr>
                <w:rFonts w:ascii="Arial" w:hAnsi="Arial" w:cs="Arial"/>
                <w:szCs w:val="16"/>
              </w:rPr>
              <w:t>Causes red root. Survives in the soil on decaying wood and stumps and spreads via its rhizomorph from diseased roots and stumps to healthy roots and stumps (Lim and Sangchote 2003).</w:t>
            </w:r>
          </w:p>
        </w:tc>
        <w:tc>
          <w:tcPr>
            <w:tcW w:w="2007" w:type="dxa"/>
            <w:tcBorders>
              <w:left w:val="single" w:sz="2" w:space="0" w:color="999999"/>
              <w:bottom w:val="single" w:sz="2" w:space="0" w:color="auto"/>
              <w:right w:val="single" w:sz="2" w:space="0" w:color="999999"/>
            </w:tcBorders>
            <w:shd w:val="clear" w:color="auto" w:fill="FFFFFF"/>
          </w:tcPr>
          <w:p w14:paraId="6F2F1421" w14:textId="77777777" w:rsidR="009D3DC8" w:rsidRDefault="009D3DC8">
            <w:pPr>
              <w:pStyle w:val="TableText1"/>
              <w:keepNext w:val="0"/>
              <w:rPr>
                <w:rFonts w:ascii="Arial" w:hAnsi="Arial" w:cs="Arial"/>
                <w:color w:val="auto"/>
                <w:szCs w:val="16"/>
              </w:rPr>
            </w:pPr>
            <w:r>
              <w:rPr>
                <w:rFonts w:ascii="Arial" w:hAnsi="Arial" w:cs="Arial"/>
                <w:szCs w:val="16"/>
              </w:rPr>
              <w:t>No records found</w:t>
            </w:r>
          </w:p>
        </w:tc>
        <w:tc>
          <w:tcPr>
            <w:tcW w:w="2537" w:type="dxa"/>
            <w:tcBorders>
              <w:left w:val="single" w:sz="2" w:space="0" w:color="999999"/>
              <w:bottom w:val="single" w:sz="2" w:space="0" w:color="auto"/>
              <w:right w:val="single" w:sz="2" w:space="0" w:color="999999"/>
            </w:tcBorders>
            <w:shd w:val="clear" w:color="auto" w:fill="FFFFFF"/>
          </w:tcPr>
          <w:p w14:paraId="7C2429F9"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126B3C8E"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1179" w:type="dxa"/>
            <w:gridSpan w:val="2"/>
            <w:tcBorders>
              <w:left w:val="single" w:sz="2" w:space="0" w:color="999999"/>
              <w:bottom w:val="single" w:sz="2" w:space="0" w:color="auto"/>
            </w:tcBorders>
            <w:shd w:val="clear" w:color="auto" w:fill="FFFFFF"/>
          </w:tcPr>
          <w:p w14:paraId="36FEDA3F" w14:textId="77777777" w:rsidR="009D3DC8" w:rsidRDefault="009D3DC8">
            <w:pPr>
              <w:pStyle w:val="TableText1"/>
              <w:keepNext w:val="0"/>
              <w:rPr>
                <w:rFonts w:ascii="Arial" w:hAnsi="Arial" w:cs="Arial"/>
                <w:color w:val="auto"/>
                <w:szCs w:val="16"/>
              </w:rPr>
            </w:pPr>
            <w:r>
              <w:rPr>
                <w:rFonts w:ascii="Arial" w:hAnsi="Arial" w:cs="Arial"/>
                <w:szCs w:val="16"/>
              </w:rPr>
              <w:t>No</w:t>
            </w:r>
          </w:p>
        </w:tc>
      </w:tr>
      <w:tr w:rsidR="009D3DC8" w14:paraId="03ADE696" w14:textId="77777777">
        <w:trPr>
          <w:cantSplit/>
          <w:jc w:val="center"/>
        </w:trPr>
        <w:tc>
          <w:tcPr>
            <w:tcW w:w="3039" w:type="dxa"/>
            <w:tcBorders>
              <w:bottom w:val="single" w:sz="2" w:space="0" w:color="auto"/>
              <w:right w:val="single" w:sz="2" w:space="0" w:color="999999"/>
            </w:tcBorders>
            <w:shd w:val="clear" w:color="auto" w:fill="FFFFFF"/>
          </w:tcPr>
          <w:p w14:paraId="382F8C72" w14:textId="77777777" w:rsidR="009D3DC8" w:rsidRDefault="009D3DC8">
            <w:pPr>
              <w:pStyle w:val="TableText"/>
              <w:spacing w:line="240" w:lineRule="auto"/>
              <w:rPr>
                <w:rFonts w:cs="Arial"/>
                <w:szCs w:val="16"/>
              </w:rPr>
            </w:pPr>
            <w:hyperlink r:id="rId52" w:history="1">
              <w:r>
                <w:rPr>
                  <w:rFonts w:cs="Arial"/>
                  <w:i/>
                  <w:szCs w:val="16"/>
                </w:rPr>
                <w:t>Phanerochaete</w:t>
              </w:r>
            </w:hyperlink>
            <w:r>
              <w:rPr>
                <w:rFonts w:cs="Arial"/>
                <w:i/>
                <w:szCs w:val="16"/>
              </w:rPr>
              <w:t xml:space="preserve"> salmonicolor</w:t>
            </w:r>
            <w:r>
              <w:rPr>
                <w:rFonts w:cs="Arial"/>
                <w:szCs w:val="16"/>
              </w:rPr>
              <w:t xml:space="preserve"> (Berk. &amp; Broome) Jülich</w:t>
            </w:r>
          </w:p>
          <w:p w14:paraId="132BD2D3" w14:textId="77777777" w:rsidR="009D3DC8" w:rsidRDefault="009D3DC8">
            <w:pPr>
              <w:pStyle w:val="TableText"/>
              <w:spacing w:line="240" w:lineRule="auto"/>
              <w:rPr>
                <w:rFonts w:cs="Arial"/>
                <w:szCs w:val="16"/>
              </w:rPr>
            </w:pPr>
            <w:r>
              <w:rPr>
                <w:rFonts w:cs="Arial"/>
                <w:szCs w:val="16"/>
              </w:rPr>
              <w:t>[Polyporales: Phanerochaetaceae]</w:t>
            </w:r>
          </w:p>
          <w:p w14:paraId="1343A13A" w14:textId="77777777" w:rsidR="009D3DC8" w:rsidRDefault="009D3DC8">
            <w:pPr>
              <w:pStyle w:val="TableText"/>
              <w:spacing w:line="240" w:lineRule="auto"/>
              <w:rPr>
                <w:rFonts w:cs="Arial"/>
                <w:i/>
                <w:szCs w:val="16"/>
              </w:rPr>
            </w:pPr>
            <w:r>
              <w:rPr>
                <w:rFonts w:cs="Arial"/>
                <w:szCs w:val="16"/>
              </w:rPr>
              <w:t>Pink disease</w:t>
            </w:r>
          </w:p>
        </w:tc>
        <w:tc>
          <w:tcPr>
            <w:tcW w:w="2154" w:type="dxa"/>
            <w:gridSpan w:val="2"/>
            <w:tcBorders>
              <w:left w:val="single" w:sz="2" w:space="0" w:color="999999"/>
              <w:bottom w:val="single" w:sz="2" w:space="0" w:color="auto"/>
              <w:right w:val="single" w:sz="2" w:space="0" w:color="999999"/>
            </w:tcBorders>
            <w:shd w:val="clear" w:color="auto" w:fill="FFFFFF"/>
          </w:tcPr>
          <w:p w14:paraId="248CE6DE" w14:textId="77777777" w:rsidR="009D3DC8" w:rsidRDefault="009D3DC8">
            <w:pPr>
              <w:pStyle w:val="TableText"/>
              <w:spacing w:line="240" w:lineRule="auto"/>
              <w:rPr>
                <w:rFonts w:cs="Arial"/>
                <w:szCs w:val="16"/>
              </w:rPr>
            </w:pPr>
            <w:r>
              <w:rPr>
                <w:rFonts w:cs="Arial"/>
                <w:szCs w:val="16"/>
              </w:rPr>
              <w:t>Yes</w:t>
            </w:r>
          </w:p>
          <w:p w14:paraId="4C81A059" w14:textId="77777777" w:rsidR="009D3DC8" w:rsidRDefault="009D3DC8">
            <w:pPr>
              <w:pStyle w:val="TableText1"/>
              <w:keepNext w:val="0"/>
              <w:rPr>
                <w:rFonts w:ascii="Arial" w:hAnsi="Arial" w:cs="Arial"/>
                <w:color w:val="auto"/>
                <w:szCs w:val="16"/>
              </w:rPr>
            </w:pPr>
            <w:r>
              <w:rPr>
                <w:rFonts w:ascii="Arial" w:hAnsi="Arial" w:cs="Arial"/>
                <w:szCs w:val="16"/>
              </w:rPr>
              <w:t>(Lim and Sangchote 2003; Hasyim</w:t>
            </w:r>
            <w:r>
              <w:rPr>
                <w:rFonts w:ascii="Arial" w:hAnsi="Arial" w:cs="Arial"/>
                <w:i/>
                <w:szCs w:val="16"/>
              </w:rPr>
              <w:t xml:space="preserve"> et al.</w:t>
            </w:r>
            <w:r>
              <w:rPr>
                <w:rFonts w:ascii="Arial" w:hAnsi="Arial" w:cs="Arial"/>
                <w:szCs w:val="16"/>
              </w:rPr>
              <w:t xml:space="preserve"> 2006)</w:t>
            </w:r>
          </w:p>
        </w:tc>
        <w:tc>
          <w:tcPr>
            <w:tcW w:w="2670" w:type="dxa"/>
            <w:tcBorders>
              <w:left w:val="single" w:sz="2" w:space="0" w:color="999999"/>
              <w:bottom w:val="single" w:sz="2" w:space="0" w:color="auto"/>
              <w:right w:val="single" w:sz="2" w:space="0" w:color="999999"/>
            </w:tcBorders>
            <w:shd w:val="clear" w:color="auto" w:fill="FFFFFF"/>
          </w:tcPr>
          <w:p w14:paraId="23F15E09" w14:textId="77777777" w:rsidR="009D3DC8" w:rsidRDefault="009D3DC8">
            <w:pPr>
              <w:pStyle w:val="TableText"/>
              <w:spacing w:line="240" w:lineRule="auto"/>
              <w:rPr>
                <w:rFonts w:cs="Arial"/>
                <w:szCs w:val="16"/>
              </w:rPr>
            </w:pPr>
            <w:r>
              <w:rPr>
                <w:rFonts w:cs="Arial"/>
                <w:szCs w:val="16"/>
              </w:rPr>
              <w:t>No</w:t>
            </w:r>
          </w:p>
          <w:p w14:paraId="7DB141BA" w14:textId="77777777" w:rsidR="009D3DC8" w:rsidRDefault="009D3DC8">
            <w:pPr>
              <w:pStyle w:val="TableText1"/>
              <w:keepNext w:val="0"/>
              <w:rPr>
                <w:rFonts w:ascii="Arial" w:hAnsi="Arial" w:cs="Arial"/>
                <w:color w:val="auto"/>
                <w:szCs w:val="16"/>
              </w:rPr>
            </w:pPr>
            <w:r>
              <w:rPr>
                <w:rFonts w:ascii="Arial" w:hAnsi="Arial" w:cs="Arial"/>
                <w:szCs w:val="16"/>
              </w:rPr>
              <w:t>Pinkish white mycelial threads encompass branches and shoots. The leaves above the zone of infection wilt, dry, and die (Lim and Sangchote 2003; Osman and Milan 2006).</w:t>
            </w:r>
          </w:p>
        </w:tc>
        <w:tc>
          <w:tcPr>
            <w:tcW w:w="2007" w:type="dxa"/>
            <w:tcBorders>
              <w:left w:val="single" w:sz="2" w:space="0" w:color="999999"/>
              <w:bottom w:val="single" w:sz="2" w:space="0" w:color="auto"/>
              <w:right w:val="single" w:sz="2" w:space="0" w:color="999999"/>
            </w:tcBorders>
            <w:shd w:val="clear" w:color="auto" w:fill="FFFFFF"/>
          </w:tcPr>
          <w:p w14:paraId="14338132" w14:textId="77777777" w:rsidR="009D3DC8" w:rsidRDefault="009D3DC8">
            <w:pPr>
              <w:pStyle w:val="TableText"/>
              <w:spacing w:line="240" w:lineRule="auto"/>
              <w:rPr>
                <w:rFonts w:cs="Arial"/>
                <w:szCs w:val="16"/>
              </w:rPr>
            </w:pPr>
            <w:r>
              <w:rPr>
                <w:rFonts w:cs="Arial"/>
                <w:szCs w:val="16"/>
              </w:rPr>
              <w:t>Yes</w:t>
            </w:r>
          </w:p>
          <w:p w14:paraId="16F02220" w14:textId="77777777" w:rsidR="009D3DC8" w:rsidRDefault="009D3DC8">
            <w:pPr>
              <w:pStyle w:val="TableText1"/>
              <w:keepNext w:val="0"/>
              <w:rPr>
                <w:rFonts w:ascii="Arial" w:hAnsi="Arial" w:cs="Arial"/>
                <w:szCs w:val="16"/>
              </w:rPr>
            </w:pPr>
            <w:r>
              <w:rPr>
                <w:rFonts w:ascii="Arial" w:hAnsi="Arial" w:cs="Arial"/>
                <w:szCs w:val="16"/>
              </w:rPr>
              <w:t xml:space="preserve">NSW, NT, Qld </w:t>
            </w:r>
          </w:p>
          <w:p w14:paraId="1559D9A1" w14:textId="77777777" w:rsidR="009D3DC8" w:rsidRDefault="009D3DC8">
            <w:pPr>
              <w:pStyle w:val="TableText1"/>
              <w:keepNext w:val="0"/>
              <w:rPr>
                <w:rFonts w:ascii="Arial" w:hAnsi="Arial" w:cs="Arial"/>
                <w:color w:val="auto"/>
                <w:szCs w:val="16"/>
              </w:rPr>
            </w:pPr>
            <w:r>
              <w:rPr>
                <w:rFonts w:ascii="Arial" w:hAnsi="Arial" w:cs="Arial"/>
                <w:szCs w:val="16"/>
              </w:rPr>
              <w:t>(May</w:t>
            </w:r>
            <w:r>
              <w:rPr>
                <w:rFonts w:ascii="Arial" w:hAnsi="Arial" w:cs="Arial"/>
                <w:i/>
                <w:szCs w:val="16"/>
              </w:rPr>
              <w:t xml:space="preserve"> et al.</w:t>
            </w:r>
            <w:r>
              <w:rPr>
                <w:rFonts w:ascii="Arial" w:hAnsi="Arial" w:cs="Arial"/>
                <w:szCs w:val="16"/>
              </w:rPr>
              <w:t xml:space="preserve"> 2003; Lim and Sangchote 2003; APPD 2011)</w:t>
            </w:r>
          </w:p>
        </w:tc>
        <w:tc>
          <w:tcPr>
            <w:tcW w:w="2537" w:type="dxa"/>
            <w:tcBorders>
              <w:left w:val="single" w:sz="2" w:space="0" w:color="999999"/>
              <w:bottom w:val="single" w:sz="2" w:space="0" w:color="auto"/>
              <w:right w:val="single" w:sz="2" w:space="0" w:color="999999"/>
            </w:tcBorders>
            <w:shd w:val="clear" w:color="auto" w:fill="FFFFFF"/>
          </w:tcPr>
          <w:p w14:paraId="32FEAB37"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6EFB1985"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1179" w:type="dxa"/>
            <w:gridSpan w:val="2"/>
            <w:tcBorders>
              <w:left w:val="single" w:sz="2" w:space="0" w:color="999999"/>
              <w:bottom w:val="single" w:sz="2" w:space="0" w:color="auto"/>
            </w:tcBorders>
            <w:shd w:val="clear" w:color="auto" w:fill="FFFFFF"/>
          </w:tcPr>
          <w:p w14:paraId="320EFA87" w14:textId="77777777" w:rsidR="009D3DC8" w:rsidRDefault="009D3DC8">
            <w:pPr>
              <w:pStyle w:val="TableText1"/>
              <w:keepNext w:val="0"/>
              <w:rPr>
                <w:rFonts w:ascii="Arial" w:hAnsi="Arial" w:cs="Arial"/>
                <w:color w:val="auto"/>
                <w:szCs w:val="16"/>
              </w:rPr>
            </w:pPr>
            <w:r>
              <w:rPr>
                <w:rFonts w:ascii="Arial" w:hAnsi="Arial" w:cs="Arial"/>
                <w:szCs w:val="16"/>
              </w:rPr>
              <w:t>No</w:t>
            </w:r>
          </w:p>
        </w:tc>
      </w:tr>
      <w:tr w:rsidR="009D3DC8" w14:paraId="105806C2" w14:textId="77777777">
        <w:trPr>
          <w:cantSplit/>
          <w:trHeight w:val="75"/>
          <w:jc w:val="center"/>
        </w:trPr>
        <w:tc>
          <w:tcPr>
            <w:tcW w:w="15840" w:type="dxa"/>
            <w:gridSpan w:val="9"/>
            <w:tcBorders>
              <w:bottom w:val="single" w:sz="2" w:space="0" w:color="auto"/>
            </w:tcBorders>
            <w:shd w:val="clear" w:color="auto" w:fill="E0E0E0"/>
          </w:tcPr>
          <w:p w14:paraId="4173BE4A" w14:textId="77777777" w:rsidR="009D3DC8" w:rsidRDefault="009D3DC8">
            <w:pPr>
              <w:pStyle w:val="TableText1"/>
              <w:rPr>
                <w:rFonts w:ascii="Arial" w:hAnsi="Arial" w:cs="Arial"/>
                <w:color w:val="auto"/>
                <w:szCs w:val="16"/>
              </w:rPr>
            </w:pPr>
            <w:r>
              <w:rPr>
                <w:rFonts w:ascii="Arial" w:hAnsi="Arial" w:cs="Arial"/>
                <w:b/>
                <w:color w:val="auto"/>
                <w:szCs w:val="16"/>
              </w:rPr>
              <w:lastRenderedPageBreak/>
              <w:t>Class Dothideomycetes</w:t>
            </w:r>
          </w:p>
        </w:tc>
      </w:tr>
      <w:tr w:rsidR="009D3DC8" w14:paraId="7BEF5DBA" w14:textId="77777777">
        <w:trPr>
          <w:cantSplit/>
          <w:trHeight w:val="75"/>
          <w:jc w:val="center"/>
        </w:trPr>
        <w:tc>
          <w:tcPr>
            <w:tcW w:w="15840" w:type="dxa"/>
            <w:gridSpan w:val="9"/>
            <w:tcBorders>
              <w:bottom w:val="single" w:sz="2" w:space="0" w:color="auto"/>
            </w:tcBorders>
            <w:shd w:val="clear" w:color="auto" w:fill="E6E6E6"/>
          </w:tcPr>
          <w:p w14:paraId="1C080D35" w14:textId="77777777" w:rsidR="009D3DC8" w:rsidRDefault="009D3DC8">
            <w:pPr>
              <w:pStyle w:val="TableText1"/>
              <w:rPr>
                <w:rFonts w:ascii="Arial" w:hAnsi="Arial" w:cs="Arial"/>
                <w:color w:val="auto"/>
                <w:szCs w:val="16"/>
              </w:rPr>
            </w:pPr>
            <w:r>
              <w:rPr>
                <w:rFonts w:ascii="Arial" w:hAnsi="Arial" w:cs="Arial"/>
                <w:b/>
                <w:color w:val="auto"/>
                <w:szCs w:val="16"/>
              </w:rPr>
              <w:t>Order Botryosphaeriales</w:t>
            </w:r>
          </w:p>
        </w:tc>
      </w:tr>
      <w:tr w:rsidR="009D3DC8" w14:paraId="6ACEA442" w14:textId="77777777">
        <w:trPr>
          <w:cantSplit/>
          <w:jc w:val="center"/>
        </w:trPr>
        <w:tc>
          <w:tcPr>
            <w:tcW w:w="3039" w:type="dxa"/>
            <w:tcBorders>
              <w:bottom w:val="single" w:sz="2" w:space="0" w:color="auto"/>
              <w:right w:val="single" w:sz="2" w:space="0" w:color="999999"/>
            </w:tcBorders>
            <w:shd w:val="clear" w:color="auto" w:fill="FFFFFF"/>
          </w:tcPr>
          <w:p w14:paraId="28EBA09B" w14:textId="77777777" w:rsidR="009D3DC8" w:rsidRDefault="009D3DC8">
            <w:pPr>
              <w:pStyle w:val="TableText"/>
              <w:spacing w:line="240" w:lineRule="auto"/>
              <w:rPr>
                <w:rFonts w:cs="Arial"/>
                <w:szCs w:val="16"/>
              </w:rPr>
            </w:pPr>
            <w:r>
              <w:rPr>
                <w:rFonts w:cs="Arial"/>
                <w:i/>
                <w:szCs w:val="16"/>
              </w:rPr>
              <w:t>Lasiodiplodia theobromae</w:t>
            </w:r>
            <w:r>
              <w:rPr>
                <w:rFonts w:cs="Arial"/>
                <w:szCs w:val="16"/>
              </w:rPr>
              <w:t xml:space="preserve"> (Pat.) Griffon &amp; Maubl. </w:t>
            </w:r>
          </w:p>
          <w:p w14:paraId="727D33D8" w14:textId="77777777" w:rsidR="009D3DC8" w:rsidRDefault="009D3DC8">
            <w:pPr>
              <w:pStyle w:val="TableText"/>
              <w:spacing w:line="240" w:lineRule="auto"/>
              <w:rPr>
                <w:rFonts w:cs="Arial"/>
                <w:szCs w:val="16"/>
              </w:rPr>
            </w:pPr>
            <w:r>
              <w:rPr>
                <w:rFonts w:cs="Arial"/>
                <w:szCs w:val="16"/>
              </w:rPr>
              <w:t xml:space="preserve">Teleomorph: </w:t>
            </w:r>
            <w:r>
              <w:rPr>
                <w:rFonts w:cs="Arial"/>
                <w:i/>
                <w:szCs w:val="16"/>
              </w:rPr>
              <w:t>Botryosphaeria rhodina</w:t>
            </w:r>
            <w:r>
              <w:rPr>
                <w:rFonts w:cs="Arial"/>
                <w:szCs w:val="16"/>
              </w:rPr>
              <w:t xml:space="preserve"> (Berk. &amp; M.A. Curtis) Arx</w:t>
            </w:r>
          </w:p>
          <w:p w14:paraId="483AE7FE" w14:textId="77777777" w:rsidR="009D3DC8" w:rsidRDefault="009D3DC8">
            <w:pPr>
              <w:pStyle w:val="TableText"/>
              <w:spacing w:line="240" w:lineRule="auto"/>
              <w:rPr>
                <w:rFonts w:cs="Arial"/>
                <w:szCs w:val="16"/>
              </w:rPr>
            </w:pPr>
            <w:r>
              <w:rPr>
                <w:rFonts w:cs="Arial"/>
                <w:szCs w:val="16"/>
              </w:rPr>
              <w:t>[Botryosphaeriales: Botryosphaeriaceae]</w:t>
            </w:r>
          </w:p>
          <w:p w14:paraId="16E2E54D" w14:textId="77777777" w:rsidR="009D3DC8" w:rsidRDefault="009D3DC8">
            <w:pPr>
              <w:pStyle w:val="TableText"/>
              <w:spacing w:line="240" w:lineRule="auto"/>
              <w:rPr>
                <w:rFonts w:cs="Arial"/>
                <w:szCs w:val="16"/>
              </w:rPr>
            </w:pPr>
            <w:r>
              <w:rPr>
                <w:rFonts w:cs="Arial"/>
                <w:szCs w:val="16"/>
              </w:rPr>
              <w:t>Stem end rot</w:t>
            </w:r>
          </w:p>
        </w:tc>
        <w:tc>
          <w:tcPr>
            <w:tcW w:w="2154" w:type="dxa"/>
            <w:gridSpan w:val="2"/>
            <w:tcBorders>
              <w:left w:val="single" w:sz="2" w:space="0" w:color="999999"/>
              <w:bottom w:val="single" w:sz="2" w:space="0" w:color="auto"/>
              <w:right w:val="single" w:sz="2" w:space="0" w:color="999999"/>
            </w:tcBorders>
            <w:shd w:val="clear" w:color="auto" w:fill="FFFFFF"/>
          </w:tcPr>
          <w:p w14:paraId="19836F4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250A206" w14:textId="77777777" w:rsidR="009D3DC8" w:rsidRDefault="009D3DC8">
            <w:pPr>
              <w:pStyle w:val="TableText1"/>
              <w:keepNext w:val="0"/>
              <w:rPr>
                <w:rFonts w:ascii="Arial" w:hAnsi="Arial" w:cs="Arial"/>
                <w:color w:val="auto"/>
                <w:szCs w:val="16"/>
              </w:rPr>
            </w:pPr>
            <w:r>
              <w:rPr>
                <w:rFonts w:ascii="Arial" w:hAnsi="Arial" w:cs="Arial"/>
                <w:color w:val="auto"/>
                <w:szCs w:val="16"/>
              </w:rPr>
              <w:t>(CABI 2011)</w:t>
            </w:r>
          </w:p>
        </w:tc>
        <w:tc>
          <w:tcPr>
            <w:tcW w:w="2670" w:type="dxa"/>
            <w:tcBorders>
              <w:left w:val="single" w:sz="2" w:space="0" w:color="999999"/>
              <w:bottom w:val="single" w:sz="2" w:space="0" w:color="auto"/>
              <w:right w:val="single" w:sz="2" w:space="0" w:color="999999"/>
            </w:tcBorders>
            <w:shd w:val="clear" w:color="auto" w:fill="FFFFFF"/>
          </w:tcPr>
          <w:p w14:paraId="4A64B8F7" w14:textId="77777777" w:rsidR="009D3DC8" w:rsidRDefault="009D3DC8">
            <w:pPr>
              <w:keepNext/>
              <w:keepLines/>
              <w:widowControl w:val="0"/>
              <w:suppressLineNumbers/>
              <w:suppressAutoHyphens/>
              <w:spacing w:before="60" w:after="60" w:line="240" w:lineRule="auto"/>
              <w:rPr>
                <w:rFonts w:ascii="Arial" w:hAnsi="Arial" w:cs="Arial"/>
                <w:sz w:val="16"/>
                <w:szCs w:val="16"/>
              </w:rPr>
            </w:pPr>
            <w:r>
              <w:rPr>
                <w:rFonts w:ascii="Arial" w:hAnsi="Arial" w:cs="Arial"/>
                <w:sz w:val="16"/>
                <w:szCs w:val="16"/>
              </w:rPr>
              <w:t>Yes</w:t>
            </w:r>
          </w:p>
          <w:p w14:paraId="1518AE14" w14:textId="77777777" w:rsidR="009D3DC8" w:rsidRDefault="009D3DC8">
            <w:pPr>
              <w:keepNext/>
              <w:keepLines/>
              <w:widowControl w:val="0"/>
              <w:suppressLineNumbers/>
              <w:suppressAutoHyphens/>
              <w:spacing w:before="60" w:after="60" w:line="240" w:lineRule="auto"/>
              <w:rPr>
                <w:rFonts w:ascii="Arial" w:hAnsi="Arial" w:cs="Arial"/>
                <w:sz w:val="16"/>
                <w:szCs w:val="16"/>
              </w:rPr>
            </w:pPr>
            <w:r>
              <w:rPr>
                <w:rFonts w:ascii="Arial" w:hAnsi="Arial" w:cs="Arial"/>
                <w:sz w:val="16"/>
                <w:szCs w:val="16"/>
              </w:rPr>
              <w:t>A post-harvest rot, occurring on the fruit, flower, leaf, root, seed and stem (Osman and Milan 2006; CABI 2011).</w:t>
            </w:r>
          </w:p>
        </w:tc>
        <w:tc>
          <w:tcPr>
            <w:tcW w:w="2007" w:type="dxa"/>
            <w:tcBorders>
              <w:left w:val="single" w:sz="2" w:space="0" w:color="999999"/>
              <w:bottom w:val="single" w:sz="2" w:space="0" w:color="auto"/>
              <w:right w:val="single" w:sz="2" w:space="0" w:color="999999"/>
            </w:tcBorders>
            <w:shd w:val="clear" w:color="auto" w:fill="FFFFFF"/>
          </w:tcPr>
          <w:p w14:paraId="6EDB00A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2B48970" w14:textId="77777777" w:rsidR="009D3DC8" w:rsidRDefault="009D3DC8">
            <w:pPr>
              <w:pStyle w:val="TableText1"/>
              <w:keepNext w:val="0"/>
              <w:rPr>
                <w:rFonts w:ascii="Arial" w:hAnsi="Arial" w:cs="Arial"/>
                <w:color w:val="auto"/>
                <w:szCs w:val="16"/>
              </w:rPr>
            </w:pPr>
            <w:r>
              <w:rPr>
                <w:rFonts w:ascii="Arial" w:hAnsi="Arial" w:cs="Arial"/>
                <w:color w:val="auto"/>
                <w:szCs w:val="16"/>
              </w:rPr>
              <w:t>NSW, NT, Qld, SA, WA (APPD 2011)</w:t>
            </w:r>
          </w:p>
        </w:tc>
        <w:tc>
          <w:tcPr>
            <w:tcW w:w="2537" w:type="dxa"/>
            <w:tcBorders>
              <w:left w:val="single" w:sz="2" w:space="0" w:color="999999"/>
              <w:bottom w:val="single" w:sz="2" w:space="0" w:color="auto"/>
              <w:right w:val="single" w:sz="2" w:space="0" w:color="999999"/>
            </w:tcBorders>
            <w:shd w:val="clear" w:color="auto" w:fill="FFFFFF"/>
          </w:tcPr>
          <w:p w14:paraId="43098340"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5EFD07DD"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2C238C6B"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590BA1BF" w14:textId="77777777">
        <w:trPr>
          <w:cantSplit/>
          <w:jc w:val="center"/>
        </w:trPr>
        <w:tc>
          <w:tcPr>
            <w:tcW w:w="3039" w:type="dxa"/>
            <w:tcBorders>
              <w:bottom w:val="single" w:sz="2" w:space="0" w:color="auto"/>
              <w:right w:val="single" w:sz="2" w:space="0" w:color="999999"/>
            </w:tcBorders>
            <w:shd w:val="clear" w:color="auto" w:fill="FFFFFF"/>
          </w:tcPr>
          <w:p w14:paraId="14806B72" w14:textId="77777777" w:rsidR="009D3DC8" w:rsidRDefault="009D3DC8">
            <w:pPr>
              <w:pStyle w:val="TableText"/>
              <w:spacing w:line="240" w:lineRule="auto"/>
              <w:rPr>
                <w:rFonts w:cs="Arial"/>
                <w:szCs w:val="16"/>
              </w:rPr>
            </w:pPr>
            <w:r>
              <w:rPr>
                <w:rFonts w:cs="Arial"/>
                <w:i/>
                <w:szCs w:val="16"/>
              </w:rPr>
              <w:t>Macrophomina phaseolina</w:t>
            </w:r>
            <w:r>
              <w:rPr>
                <w:rFonts w:cs="Arial"/>
                <w:szCs w:val="16"/>
              </w:rPr>
              <w:t xml:space="preserve"> (Tassi) Goid.</w:t>
            </w:r>
          </w:p>
          <w:p w14:paraId="1DA6A472" w14:textId="77777777" w:rsidR="009D3DC8" w:rsidRDefault="009D3DC8">
            <w:pPr>
              <w:pStyle w:val="TableText"/>
              <w:spacing w:line="240" w:lineRule="auto"/>
              <w:rPr>
                <w:rFonts w:cs="Arial"/>
                <w:szCs w:val="16"/>
              </w:rPr>
            </w:pPr>
            <w:r>
              <w:rPr>
                <w:rFonts w:cs="Arial"/>
                <w:szCs w:val="16"/>
              </w:rPr>
              <w:t>[Botryosphaeriales: Botryosphaeriaceae]</w:t>
            </w:r>
          </w:p>
          <w:p w14:paraId="1CFF6D74" w14:textId="77777777" w:rsidR="009D3DC8" w:rsidRDefault="009D3DC8">
            <w:pPr>
              <w:pStyle w:val="TableText"/>
              <w:spacing w:line="240" w:lineRule="auto"/>
              <w:rPr>
                <w:rFonts w:cs="Arial"/>
                <w:szCs w:val="16"/>
              </w:rPr>
            </w:pPr>
            <w:r>
              <w:rPr>
                <w:rFonts w:cs="Arial"/>
                <w:szCs w:val="16"/>
              </w:rPr>
              <w:t>Charcoal rot; crown rot</w:t>
            </w:r>
          </w:p>
        </w:tc>
        <w:tc>
          <w:tcPr>
            <w:tcW w:w="2154" w:type="dxa"/>
            <w:gridSpan w:val="2"/>
            <w:tcBorders>
              <w:left w:val="single" w:sz="2" w:space="0" w:color="999999"/>
              <w:bottom w:val="single" w:sz="2" w:space="0" w:color="auto"/>
              <w:right w:val="single" w:sz="2" w:space="0" w:color="999999"/>
            </w:tcBorders>
            <w:shd w:val="clear" w:color="auto" w:fill="FFFFFF"/>
          </w:tcPr>
          <w:p w14:paraId="0E16ABEC"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6CE39BB" w14:textId="77777777" w:rsidR="009D3DC8" w:rsidRDefault="009D3DC8">
            <w:pPr>
              <w:pStyle w:val="TableText1"/>
              <w:keepNext w:val="0"/>
              <w:rPr>
                <w:rFonts w:ascii="Arial" w:hAnsi="Arial" w:cs="Arial"/>
                <w:color w:val="auto"/>
                <w:szCs w:val="16"/>
              </w:rPr>
            </w:pPr>
            <w:r>
              <w:rPr>
                <w:rFonts w:ascii="Arial" w:hAnsi="Arial" w:cs="Arial"/>
                <w:color w:val="auto"/>
                <w:szCs w:val="16"/>
              </w:rPr>
              <w:t>(Farr and Rossman 2011)</w:t>
            </w:r>
          </w:p>
        </w:tc>
        <w:tc>
          <w:tcPr>
            <w:tcW w:w="2670" w:type="dxa"/>
            <w:tcBorders>
              <w:left w:val="single" w:sz="2" w:space="0" w:color="999999"/>
              <w:bottom w:val="single" w:sz="2" w:space="0" w:color="auto"/>
              <w:right w:val="single" w:sz="2" w:space="0" w:color="999999"/>
            </w:tcBorders>
            <w:shd w:val="clear" w:color="auto" w:fill="FFFFFF"/>
          </w:tcPr>
          <w:p w14:paraId="008968DE"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3288CD63" w14:textId="77777777" w:rsidR="009D3DC8" w:rsidRDefault="009D3DC8">
            <w:pPr>
              <w:spacing w:before="60" w:after="60" w:line="240" w:lineRule="auto"/>
              <w:rPr>
                <w:rFonts w:ascii="Arial" w:hAnsi="Arial" w:cs="Arial"/>
                <w:sz w:val="16"/>
                <w:szCs w:val="16"/>
              </w:rPr>
            </w:pPr>
            <w:r>
              <w:rPr>
                <w:rFonts w:ascii="Arial" w:hAnsi="Arial" w:cs="Arial"/>
                <w:sz w:val="16"/>
                <w:szCs w:val="16"/>
              </w:rPr>
              <w:t>Occurs on leaves, plant debris, seed, soil, stem and root (Farr and Rossman 2011).</w:t>
            </w:r>
          </w:p>
        </w:tc>
        <w:tc>
          <w:tcPr>
            <w:tcW w:w="2007" w:type="dxa"/>
            <w:tcBorders>
              <w:left w:val="single" w:sz="2" w:space="0" w:color="999999"/>
              <w:bottom w:val="single" w:sz="2" w:space="0" w:color="auto"/>
              <w:right w:val="single" w:sz="2" w:space="0" w:color="999999"/>
            </w:tcBorders>
            <w:shd w:val="clear" w:color="auto" w:fill="FFFFFF"/>
          </w:tcPr>
          <w:p w14:paraId="453C2668" w14:textId="77777777" w:rsidR="009D3DC8" w:rsidRDefault="009D3DC8">
            <w:pPr>
              <w:pStyle w:val="PlainText"/>
              <w:spacing w:before="60" w:after="60"/>
              <w:rPr>
                <w:rFonts w:ascii="Arial" w:hAnsi="Arial" w:cs="Arial"/>
                <w:sz w:val="16"/>
                <w:szCs w:val="16"/>
              </w:rPr>
            </w:pPr>
            <w:r>
              <w:rPr>
                <w:rFonts w:ascii="Arial" w:hAnsi="Arial" w:cs="Arial"/>
                <w:sz w:val="16"/>
                <w:szCs w:val="16"/>
              </w:rPr>
              <w:t>Yes</w:t>
            </w:r>
          </w:p>
          <w:p w14:paraId="2F9A4826" w14:textId="77777777" w:rsidR="009D3DC8" w:rsidRDefault="009D3DC8">
            <w:pPr>
              <w:pStyle w:val="TableText1"/>
              <w:keepNext w:val="0"/>
              <w:rPr>
                <w:rFonts w:ascii="Arial" w:hAnsi="Arial" w:cs="Arial"/>
                <w:color w:val="auto"/>
                <w:szCs w:val="16"/>
              </w:rPr>
            </w:pPr>
            <w:r>
              <w:rPr>
                <w:rFonts w:ascii="Arial" w:hAnsi="Arial" w:cs="Arial"/>
                <w:color w:val="auto"/>
                <w:szCs w:val="16"/>
              </w:rPr>
              <w:t>All states and territories except Tas. (APPD 2011)</w:t>
            </w:r>
          </w:p>
        </w:tc>
        <w:tc>
          <w:tcPr>
            <w:tcW w:w="2537" w:type="dxa"/>
            <w:tcBorders>
              <w:left w:val="single" w:sz="2" w:space="0" w:color="999999"/>
              <w:bottom w:val="single" w:sz="2" w:space="0" w:color="auto"/>
              <w:right w:val="single" w:sz="2" w:space="0" w:color="999999"/>
            </w:tcBorders>
            <w:shd w:val="clear" w:color="auto" w:fill="FFFFFF"/>
          </w:tcPr>
          <w:p w14:paraId="4CCEAC3A"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2FB1FF6B"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5AA0773F"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08A1B996" w14:textId="77777777">
        <w:trPr>
          <w:cantSplit/>
          <w:jc w:val="center"/>
        </w:trPr>
        <w:tc>
          <w:tcPr>
            <w:tcW w:w="3039" w:type="dxa"/>
            <w:tcBorders>
              <w:bottom w:val="single" w:sz="2" w:space="0" w:color="auto"/>
              <w:right w:val="single" w:sz="2" w:space="0" w:color="999999"/>
            </w:tcBorders>
            <w:shd w:val="clear" w:color="auto" w:fill="FFFFFF"/>
          </w:tcPr>
          <w:p w14:paraId="2E4911E0" w14:textId="77777777" w:rsidR="009D3DC8" w:rsidRDefault="009D3DC8">
            <w:pPr>
              <w:pStyle w:val="TableText"/>
              <w:spacing w:line="240" w:lineRule="auto"/>
              <w:rPr>
                <w:rFonts w:cs="Arial"/>
                <w:szCs w:val="16"/>
              </w:rPr>
            </w:pPr>
            <w:r>
              <w:rPr>
                <w:rFonts w:cs="Arial"/>
                <w:i/>
                <w:szCs w:val="16"/>
              </w:rPr>
              <w:t>Neofusicoccum ribis</w:t>
            </w:r>
            <w:r>
              <w:rPr>
                <w:rFonts w:cs="Arial"/>
                <w:szCs w:val="16"/>
              </w:rPr>
              <w:t xml:space="preserve"> (Slippers, Crous &amp; M.J. Wingf.) Crous, Slippers &amp; A.J.L Phillips</w:t>
            </w:r>
          </w:p>
          <w:p w14:paraId="443F9105" w14:textId="77777777" w:rsidR="009D3DC8" w:rsidRDefault="009D3DC8">
            <w:pPr>
              <w:pStyle w:val="TableText"/>
              <w:spacing w:line="240" w:lineRule="auto"/>
              <w:rPr>
                <w:rFonts w:cs="Arial"/>
                <w:szCs w:val="16"/>
              </w:rPr>
            </w:pPr>
            <w:r>
              <w:rPr>
                <w:rFonts w:cs="Arial"/>
                <w:szCs w:val="16"/>
              </w:rPr>
              <w:t xml:space="preserve">Teleomorph: </w:t>
            </w:r>
            <w:r>
              <w:rPr>
                <w:rFonts w:cs="Arial"/>
                <w:i/>
                <w:szCs w:val="16"/>
              </w:rPr>
              <w:t>Botryosphaeria ribis</w:t>
            </w:r>
            <w:r>
              <w:rPr>
                <w:rFonts w:cs="Arial"/>
                <w:szCs w:val="16"/>
              </w:rPr>
              <w:t xml:space="preserve"> Grossenb. &amp; Duggar</w:t>
            </w:r>
          </w:p>
          <w:p w14:paraId="55AB5411" w14:textId="77777777" w:rsidR="009D3DC8" w:rsidRDefault="009D3DC8">
            <w:pPr>
              <w:pStyle w:val="TableText"/>
              <w:spacing w:line="240" w:lineRule="auto"/>
              <w:rPr>
                <w:rFonts w:cs="Arial"/>
                <w:szCs w:val="16"/>
              </w:rPr>
            </w:pPr>
            <w:r>
              <w:rPr>
                <w:rFonts w:cs="Arial"/>
                <w:szCs w:val="16"/>
              </w:rPr>
              <w:t>[Botryosphaeriales Botryosphaeriaceae]</w:t>
            </w:r>
          </w:p>
        </w:tc>
        <w:tc>
          <w:tcPr>
            <w:tcW w:w="2154" w:type="dxa"/>
            <w:gridSpan w:val="2"/>
            <w:tcBorders>
              <w:left w:val="single" w:sz="2" w:space="0" w:color="999999"/>
              <w:bottom w:val="single" w:sz="2" w:space="0" w:color="auto"/>
              <w:right w:val="single" w:sz="2" w:space="0" w:color="999999"/>
            </w:tcBorders>
            <w:shd w:val="clear" w:color="auto" w:fill="FFFFFF"/>
          </w:tcPr>
          <w:p w14:paraId="28C4F58E" w14:textId="77777777" w:rsidR="009D3DC8" w:rsidRDefault="009D3DC8">
            <w:pPr>
              <w:pStyle w:val="TableText"/>
              <w:spacing w:line="240" w:lineRule="auto"/>
              <w:rPr>
                <w:rFonts w:cs="Arial"/>
                <w:szCs w:val="16"/>
              </w:rPr>
            </w:pPr>
            <w:r>
              <w:rPr>
                <w:rFonts w:cs="Arial"/>
                <w:szCs w:val="16"/>
              </w:rPr>
              <w:t>Yes</w:t>
            </w:r>
          </w:p>
          <w:p w14:paraId="270D1936" w14:textId="77777777" w:rsidR="009D3DC8" w:rsidRDefault="009D3DC8">
            <w:pPr>
              <w:pStyle w:val="TableText"/>
              <w:spacing w:line="240" w:lineRule="auto"/>
              <w:rPr>
                <w:rFonts w:cs="Arial"/>
                <w:szCs w:val="16"/>
              </w:rPr>
            </w:pPr>
            <w:r>
              <w:rPr>
                <w:rFonts w:cs="Arial"/>
                <w:szCs w:val="16"/>
              </w:rPr>
              <w:t>(CABI 2011)</w:t>
            </w:r>
          </w:p>
        </w:tc>
        <w:tc>
          <w:tcPr>
            <w:tcW w:w="2670" w:type="dxa"/>
            <w:tcBorders>
              <w:left w:val="single" w:sz="2" w:space="0" w:color="999999"/>
              <w:bottom w:val="single" w:sz="2" w:space="0" w:color="auto"/>
              <w:right w:val="single" w:sz="2" w:space="0" w:color="999999"/>
            </w:tcBorders>
            <w:shd w:val="clear" w:color="auto" w:fill="FFFFFF"/>
          </w:tcPr>
          <w:p w14:paraId="3C8CF12D" w14:textId="77777777" w:rsidR="009D3DC8" w:rsidRDefault="009D3DC8">
            <w:pPr>
              <w:pStyle w:val="TableText"/>
              <w:spacing w:line="240" w:lineRule="auto"/>
              <w:rPr>
                <w:rFonts w:cs="Arial"/>
                <w:szCs w:val="16"/>
              </w:rPr>
            </w:pPr>
            <w:r>
              <w:rPr>
                <w:rFonts w:cs="Arial"/>
                <w:szCs w:val="16"/>
              </w:rPr>
              <w:t>No</w:t>
            </w:r>
          </w:p>
          <w:p w14:paraId="060D2CE8" w14:textId="77777777" w:rsidR="009D3DC8" w:rsidRDefault="009D3DC8">
            <w:pPr>
              <w:pStyle w:val="TableText"/>
              <w:spacing w:line="240" w:lineRule="auto"/>
              <w:rPr>
                <w:rFonts w:cs="Arial"/>
                <w:szCs w:val="16"/>
              </w:rPr>
            </w:pPr>
            <w:r>
              <w:rPr>
                <w:rFonts w:cs="Arial"/>
                <w:szCs w:val="16"/>
              </w:rPr>
              <w:t>Stem canker on mangosteen (IPTEKnet 2005)</w:t>
            </w:r>
          </w:p>
        </w:tc>
        <w:tc>
          <w:tcPr>
            <w:tcW w:w="2007" w:type="dxa"/>
            <w:tcBorders>
              <w:left w:val="single" w:sz="2" w:space="0" w:color="999999"/>
              <w:bottom w:val="single" w:sz="2" w:space="0" w:color="auto"/>
              <w:right w:val="single" w:sz="2" w:space="0" w:color="999999"/>
            </w:tcBorders>
            <w:shd w:val="clear" w:color="auto" w:fill="FFFFFF"/>
          </w:tcPr>
          <w:p w14:paraId="428086CA" w14:textId="77777777" w:rsidR="009D3DC8" w:rsidRDefault="009D3DC8">
            <w:pPr>
              <w:pStyle w:val="TableText"/>
              <w:spacing w:line="240" w:lineRule="auto"/>
              <w:rPr>
                <w:rFonts w:cs="Arial"/>
                <w:szCs w:val="16"/>
              </w:rPr>
            </w:pPr>
            <w:r>
              <w:rPr>
                <w:rFonts w:cs="Arial"/>
                <w:szCs w:val="16"/>
              </w:rPr>
              <w:t>Yes</w:t>
            </w:r>
          </w:p>
          <w:p w14:paraId="57BFCA4C" w14:textId="77777777" w:rsidR="009D3DC8" w:rsidRDefault="009D3DC8">
            <w:pPr>
              <w:pStyle w:val="TableText"/>
              <w:spacing w:line="240" w:lineRule="auto"/>
              <w:rPr>
                <w:rFonts w:cs="Arial"/>
                <w:szCs w:val="16"/>
              </w:rPr>
            </w:pPr>
            <w:r>
              <w:rPr>
                <w:rFonts w:cs="Arial"/>
                <w:szCs w:val="16"/>
              </w:rPr>
              <w:t>Qld, WA, ACT, Vic., NSW (APPD 2011)</w:t>
            </w:r>
          </w:p>
        </w:tc>
        <w:tc>
          <w:tcPr>
            <w:tcW w:w="2537" w:type="dxa"/>
            <w:tcBorders>
              <w:left w:val="single" w:sz="2" w:space="0" w:color="999999"/>
              <w:bottom w:val="single" w:sz="2" w:space="0" w:color="auto"/>
              <w:right w:val="single" w:sz="2" w:space="0" w:color="999999"/>
            </w:tcBorders>
            <w:shd w:val="clear" w:color="auto" w:fill="FFFFFF"/>
          </w:tcPr>
          <w:p w14:paraId="73C0BA6B"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43BCA1E4"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369B8DF5" w14:textId="77777777" w:rsidR="009D3DC8" w:rsidRDefault="009D3DC8">
            <w:pPr>
              <w:pStyle w:val="TableText"/>
              <w:spacing w:line="240" w:lineRule="auto"/>
              <w:rPr>
                <w:rFonts w:cs="Arial"/>
                <w:szCs w:val="16"/>
              </w:rPr>
            </w:pPr>
            <w:r>
              <w:rPr>
                <w:rFonts w:cs="Arial"/>
                <w:szCs w:val="16"/>
              </w:rPr>
              <w:t>No</w:t>
            </w:r>
          </w:p>
        </w:tc>
      </w:tr>
      <w:tr w:rsidR="009D3DC8" w14:paraId="6558BD31" w14:textId="77777777">
        <w:trPr>
          <w:cantSplit/>
          <w:trHeight w:val="75"/>
          <w:jc w:val="center"/>
        </w:trPr>
        <w:tc>
          <w:tcPr>
            <w:tcW w:w="15840" w:type="dxa"/>
            <w:gridSpan w:val="9"/>
            <w:tcBorders>
              <w:bottom w:val="single" w:sz="2" w:space="0" w:color="auto"/>
            </w:tcBorders>
            <w:shd w:val="clear" w:color="auto" w:fill="E6E6E6"/>
          </w:tcPr>
          <w:p w14:paraId="3F597134" w14:textId="77777777" w:rsidR="009D3DC8" w:rsidRDefault="009D3DC8">
            <w:pPr>
              <w:pStyle w:val="TableText1"/>
              <w:rPr>
                <w:rFonts w:ascii="Arial" w:hAnsi="Arial" w:cs="Arial"/>
                <w:color w:val="auto"/>
                <w:szCs w:val="16"/>
              </w:rPr>
            </w:pPr>
            <w:r>
              <w:rPr>
                <w:rFonts w:ascii="Arial" w:hAnsi="Arial" w:cs="Arial"/>
                <w:b/>
                <w:color w:val="auto"/>
                <w:szCs w:val="16"/>
              </w:rPr>
              <w:t>Order Dothideales</w:t>
            </w:r>
          </w:p>
        </w:tc>
      </w:tr>
      <w:tr w:rsidR="009D3DC8" w14:paraId="59AC57AB" w14:textId="77777777">
        <w:trPr>
          <w:cantSplit/>
          <w:jc w:val="center"/>
        </w:trPr>
        <w:tc>
          <w:tcPr>
            <w:tcW w:w="3039" w:type="dxa"/>
            <w:tcBorders>
              <w:bottom w:val="single" w:sz="2" w:space="0" w:color="auto"/>
              <w:right w:val="single" w:sz="2" w:space="0" w:color="999999"/>
            </w:tcBorders>
            <w:shd w:val="clear" w:color="auto" w:fill="FFFFFF"/>
          </w:tcPr>
          <w:p w14:paraId="185EF0D2" w14:textId="77777777" w:rsidR="009D3DC8" w:rsidRDefault="009D3DC8">
            <w:pPr>
              <w:pStyle w:val="TableText"/>
              <w:spacing w:line="240" w:lineRule="auto"/>
              <w:rPr>
                <w:rFonts w:cs="Arial"/>
                <w:szCs w:val="16"/>
              </w:rPr>
            </w:pPr>
            <w:r>
              <w:rPr>
                <w:rFonts w:cs="Arial"/>
                <w:i/>
                <w:szCs w:val="16"/>
              </w:rPr>
              <w:t>Brooksia tropicalis</w:t>
            </w:r>
            <w:r>
              <w:rPr>
                <w:rFonts w:cs="Arial"/>
                <w:szCs w:val="16"/>
              </w:rPr>
              <w:t xml:space="preserve"> Hansf.</w:t>
            </w:r>
          </w:p>
          <w:p w14:paraId="0D4970F9" w14:textId="77777777" w:rsidR="009D3DC8" w:rsidRDefault="009D3DC8">
            <w:pPr>
              <w:pStyle w:val="TableText"/>
              <w:spacing w:line="240" w:lineRule="auto"/>
              <w:rPr>
                <w:rFonts w:cs="Arial"/>
                <w:szCs w:val="16"/>
              </w:rPr>
            </w:pPr>
            <w:r>
              <w:rPr>
                <w:rFonts w:cs="Arial"/>
                <w:szCs w:val="16"/>
              </w:rPr>
              <w:t>[Dothideales: Incertae sedis]</w:t>
            </w:r>
          </w:p>
          <w:p w14:paraId="557FBB46" w14:textId="77777777" w:rsidR="009D3DC8" w:rsidRDefault="009D3DC8">
            <w:pPr>
              <w:pStyle w:val="TableText"/>
              <w:spacing w:line="240" w:lineRule="auto"/>
              <w:rPr>
                <w:rFonts w:cs="Arial"/>
                <w:i/>
                <w:szCs w:val="16"/>
              </w:rPr>
            </w:pPr>
            <w:r>
              <w:rPr>
                <w:rFonts w:cs="Arial"/>
                <w:szCs w:val="16"/>
              </w:rPr>
              <w:t>Sooty mould</w:t>
            </w:r>
          </w:p>
        </w:tc>
        <w:tc>
          <w:tcPr>
            <w:tcW w:w="2154" w:type="dxa"/>
            <w:gridSpan w:val="2"/>
            <w:tcBorders>
              <w:left w:val="single" w:sz="2" w:space="0" w:color="999999"/>
              <w:bottom w:val="single" w:sz="2" w:space="0" w:color="auto"/>
              <w:right w:val="single" w:sz="2" w:space="0" w:color="999999"/>
            </w:tcBorders>
            <w:shd w:val="clear" w:color="auto" w:fill="FFFFFF"/>
          </w:tcPr>
          <w:p w14:paraId="20405CD3"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6035CFCF" w14:textId="77777777" w:rsidR="009D3DC8" w:rsidRDefault="009D3DC8">
            <w:pPr>
              <w:pStyle w:val="TableText"/>
              <w:spacing w:line="240" w:lineRule="auto"/>
              <w:rPr>
                <w:rFonts w:cs="Arial"/>
                <w:szCs w:val="16"/>
              </w:rPr>
            </w:pPr>
            <w:r>
              <w:rPr>
                <w:rFonts w:cs="Arial"/>
                <w:szCs w:val="16"/>
              </w:rPr>
              <w:t>(Robert</w:t>
            </w:r>
            <w:r>
              <w:rPr>
                <w:rFonts w:cs="Arial"/>
                <w:i/>
                <w:szCs w:val="16"/>
              </w:rPr>
              <w:t xml:space="preserve"> et al.</w:t>
            </w:r>
            <w:r>
              <w:rPr>
                <w:rFonts w:cs="Arial"/>
                <w:szCs w:val="16"/>
              </w:rPr>
              <w:t xml:space="preserve"> 2005)</w:t>
            </w:r>
          </w:p>
        </w:tc>
        <w:tc>
          <w:tcPr>
            <w:tcW w:w="2670" w:type="dxa"/>
            <w:tcBorders>
              <w:left w:val="single" w:sz="2" w:space="0" w:color="999999"/>
              <w:bottom w:val="single" w:sz="2" w:space="0" w:color="auto"/>
              <w:right w:val="single" w:sz="2" w:space="0" w:color="999999"/>
            </w:tcBorders>
            <w:shd w:val="clear" w:color="auto" w:fill="FFFFFF"/>
          </w:tcPr>
          <w:p w14:paraId="0B722B25"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35EDCFFB" w14:textId="77777777" w:rsidR="009D3DC8" w:rsidRDefault="009D3DC8">
            <w:pPr>
              <w:pStyle w:val="TableText"/>
              <w:spacing w:line="240" w:lineRule="auto"/>
              <w:rPr>
                <w:rFonts w:cs="Arial"/>
                <w:szCs w:val="16"/>
              </w:rPr>
            </w:pPr>
            <w:r>
              <w:rPr>
                <w:rFonts w:cs="Arial"/>
                <w:szCs w:val="16"/>
              </w:rPr>
              <w:t>The fungus survives on honeydew produced by insects and in turn produces black sooty films or mould on mangosteen leaves and petioles (Lim and Sangchote 2003).</w:t>
            </w:r>
          </w:p>
        </w:tc>
        <w:tc>
          <w:tcPr>
            <w:tcW w:w="2007" w:type="dxa"/>
            <w:tcBorders>
              <w:left w:val="single" w:sz="2" w:space="0" w:color="999999"/>
              <w:bottom w:val="single" w:sz="2" w:space="0" w:color="auto"/>
              <w:right w:val="single" w:sz="2" w:space="0" w:color="999999"/>
            </w:tcBorders>
            <w:shd w:val="clear" w:color="auto" w:fill="FFFFFF"/>
          </w:tcPr>
          <w:p w14:paraId="7F50AA18"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549A59B9" w14:textId="77777777" w:rsidR="009D3DC8" w:rsidRDefault="009D3DC8">
            <w:pPr>
              <w:pStyle w:val="TableText"/>
              <w:spacing w:line="240" w:lineRule="auto"/>
              <w:rPr>
                <w:rFonts w:cs="Arial"/>
                <w:szCs w:val="16"/>
              </w:rPr>
            </w:pPr>
            <w:r>
              <w:rPr>
                <w:rFonts w:cs="Arial"/>
                <w:szCs w:val="16"/>
              </w:rPr>
              <w:t>(Farr and Rossman 2011)</w:t>
            </w:r>
          </w:p>
        </w:tc>
        <w:tc>
          <w:tcPr>
            <w:tcW w:w="2537" w:type="dxa"/>
            <w:tcBorders>
              <w:left w:val="single" w:sz="2" w:space="0" w:color="999999"/>
              <w:bottom w:val="single" w:sz="2" w:space="0" w:color="auto"/>
              <w:right w:val="single" w:sz="2" w:space="0" w:color="999999"/>
            </w:tcBorders>
            <w:shd w:val="clear" w:color="auto" w:fill="FFFFFF"/>
          </w:tcPr>
          <w:p w14:paraId="4070E38D"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45D66DCA"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4E3EC8DB" w14:textId="77777777" w:rsidR="009D3DC8" w:rsidRDefault="009D3DC8">
            <w:pPr>
              <w:pStyle w:val="TableText"/>
              <w:spacing w:line="240" w:lineRule="auto"/>
              <w:rPr>
                <w:rFonts w:cs="Arial"/>
                <w:szCs w:val="16"/>
              </w:rPr>
            </w:pPr>
            <w:r>
              <w:rPr>
                <w:rFonts w:cs="Arial"/>
                <w:szCs w:val="16"/>
              </w:rPr>
              <w:t>No</w:t>
            </w:r>
          </w:p>
        </w:tc>
      </w:tr>
      <w:tr w:rsidR="009D3DC8" w14:paraId="3C7BE9BA" w14:textId="77777777">
        <w:trPr>
          <w:cantSplit/>
          <w:trHeight w:val="75"/>
          <w:jc w:val="center"/>
        </w:trPr>
        <w:tc>
          <w:tcPr>
            <w:tcW w:w="15840" w:type="dxa"/>
            <w:gridSpan w:val="9"/>
            <w:tcBorders>
              <w:bottom w:val="single" w:sz="2" w:space="0" w:color="auto"/>
            </w:tcBorders>
            <w:shd w:val="clear" w:color="auto" w:fill="E6E6E6"/>
          </w:tcPr>
          <w:p w14:paraId="43AC1A5B" w14:textId="77777777" w:rsidR="009D3DC8" w:rsidRDefault="009D3DC8">
            <w:pPr>
              <w:pStyle w:val="TableText1"/>
              <w:rPr>
                <w:rFonts w:ascii="Arial" w:hAnsi="Arial" w:cs="Arial"/>
                <w:color w:val="auto"/>
                <w:szCs w:val="16"/>
              </w:rPr>
            </w:pPr>
            <w:r>
              <w:rPr>
                <w:rFonts w:ascii="Arial" w:hAnsi="Arial" w:cs="Arial"/>
                <w:b/>
                <w:color w:val="auto"/>
                <w:szCs w:val="16"/>
              </w:rPr>
              <w:t>Order Mycosphaerellales</w:t>
            </w:r>
          </w:p>
        </w:tc>
      </w:tr>
      <w:tr w:rsidR="009D3DC8" w14:paraId="59483EED" w14:textId="77777777">
        <w:trPr>
          <w:cantSplit/>
          <w:jc w:val="center"/>
        </w:trPr>
        <w:tc>
          <w:tcPr>
            <w:tcW w:w="3039" w:type="dxa"/>
            <w:tcBorders>
              <w:bottom w:val="single" w:sz="2" w:space="0" w:color="auto"/>
              <w:right w:val="single" w:sz="2" w:space="0" w:color="999999"/>
            </w:tcBorders>
            <w:shd w:val="clear" w:color="auto" w:fill="FFFFFF"/>
          </w:tcPr>
          <w:p w14:paraId="78C26826" w14:textId="77777777" w:rsidR="009D3DC8" w:rsidRDefault="009D3DC8">
            <w:pPr>
              <w:pStyle w:val="TableText"/>
              <w:spacing w:line="240" w:lineRule="auto"/>
              <w:rPr>
                <w:rFonts w:cs="Arial"/>
                <w:szCs w:val="16"/>
              </w:rPr>
            </w:pPr>
            <w:r>
              <w:rPr>
                <w:rFonts w:cs="Arial"/>
                <w:i/>
                <w:szCs w:val="16"/>
              </w:rPr>
              <w:t>Mycosphaerella</w:t>
            </w:r>
            <w:r>
              <w:rPr>
                <w:rFonts w:cs="Arial"/>
                <w:szCs w:val="16"/>
              </w:rPr>
              <w:t xml:space="preserve"> sp. </w:t>
            </w:r>
          </w:p>
          <w:p w14:paraId="55226301" w14:textId="77777777" w:rsidR="009D3DC8" w:rsidRDefault="009D3DC8">
            <w:pPr>
              <w:pStyle w:val="TableText"/>
              <w:spacing w:line="240" w:lineRule="auto"/>
              <w:rPr>
                <w:rFonts w:cs="Arial"/>
                <w:szCs w:val="16"/>
              </w:rPr>
            </w:pPr>
            <w:r>
              <w:rPr>
                <w:rFonts w:cs="Arial"/>
                <w:szCs w:val="16"/>
              </w:rPr>
              <w:t>[Mycosphaerellales: Mycosphaerellaceae]</w:t>
            </w:r>
          </w:p>
          <w:p w14:paraId="233CF81B" w14:textId="77777777" w:rsidR="009D3DC8" w:rsidRDefault="009D3DC8">
            <w:pPr>
              <w:pStyle w:val="TableText"/>
              <w:spacing w:line="240" w:lineRule="auto"/>
              <w:rPr>
                <w:rFonts w:cs="Arial"/>
                <w:i/>
                <w:szCs w:val="16"/>
              </w:rPr>
            </w:pPr>
            <w:r>
              <w:rPr>
                <w:rFonts w:cs="Arial"/>
                <w:szCs w:val="16"/>
              </w:rPr>
              <w:t xml:space="preserve">Leaf spot </w:t>
            </w:r>
          </w:p>
        </w:tc>
        <w:tc>
          <w:tcPr>
            <w:tcW w:w="2154" w:type="dxa"/>
            <w:gridSpan w:val="2"/>
            <w:tcBorders>
              <w:left w:val="single" w:sz="2" w:space="0" w:color="999999"/>
              <w:bottom w:val="single" w:sz="2" w:space="0" w:color="auto"/>
              <w:right w:val="single" w:sz="2" w:space="0" w:color="999999"/>
            </w:tcBorders>
            <w:shd w:val="clear" w:color="auto" w:fill="FFFFFF"/>
          </w:tcPr>
          <w:p w14:paraId="7506D602"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224CFF64" w14:textId="77777777" w:rsidR="009D3DC8" w:rsidRDefault="009D3DC8">
            <w:pPr>
              <w:pStyle w:val="TableText"/>
              <w:spacing w:line="240" w:lineRule="auto"/>
              <w:rPr>
                <w:rFonts w:cs="Arial"/>
                <w:szCs w:val="16"/>
              </w:rPr>
            </w:pPr>
            <w:r>
              <w:rPr>
                <w:rFonts w:cs="Arial"/>
                <w:szCs w:val="16"/>
              </w:rPr>
              <w:t>(Farr and Rossman 2011)</w:t>
            </w:r>
          </w:p>
        </w:tc>
        <w:tc>
          <w:tcPr>
            <w:tcW w:w="2670" w:type="dxa"/>
            <w:tcBorders>
              <w:left w:val="single" w:sz="2" w:space="0" w:color="999999"/>
              <w:bottom w:val="single" w:sz="2" w:space="0" w:color="auto"/>
              <w:right w:val="single" w:sz="2" w:space="0" w:color="999999"/>
            </w:tcBorders>
            <w:shd w:val="clear" w:color="auto" w:fill="FFFFFF"/>
          </w:tcPr>
          <w:p w14:paraId="7EEE721F" w14:textId="77777777" w:rsidR="009D3DC8" w:rsidRDefault="009D3DC8">
            <w:pPr>
              <w:spacing w:before="60" w:after="60" w:line="240" w:lineRule="auto"/>
              <w:rPr>
                <w:rFonts w:ascii="Arial" w:hAnsi="Arial" w:cs="Arial"/>
                <w:sz w:val="16"/>
                <w:szCs w:val="16"/>
              </w:rPr>
            </w:pPr>
            <w:r>
              <w:rPr>
                <w:rFonts w:ascii="Arial" w:hAnsi="Arial" w:cs="Arial"/>
                <w:sz w:val="16"/>
                <w:szCs w:val="16"/>
              </w:rPr>
              <w:t>No</w:t>
            </w:r>
          </w:p>
          <w:p w14:paraId="1C9D0474" w14:textId="77777777" w:rsidR="009D3DC8" w:rsidRDefault="009D3DC8">
            <w:pPr>
              <w:pStyle w:val="TableText"/>
              <w:spacing w:line="240" w:lineRule="auto"/>
              <w:rPr>
                <w:rFonts w:cs="Arial"/>
                <w:szCs w:val="16"/>
              </w:rPr>
            </w:pPr>
            <w:r>
              <w:rPr>
                <w:rFonts w:cs="Arial"/>
                <w:szCs w:val="16"/>
              </w:rPr>
              <w:t>Associated with the leaves (Singh 1980); causes leaf spots and stem cankers (Crous</w:t>
            </w:r>
            <w:r>
              <w:rPr>
                <w:rFonts w:cs="Arial"/>
                <w:i/>
                <w:szCs w:val="16"/>
              </w:rPr>
              <w:t xml:space="preserve"> et al.</w:t>
            </w:r>
            <w:r>
              <w:rPr>
                <w:rFonts w:cs="Arial"/>
                <w:szCs w:val="16"/>
              </w:rPr>
              <w:t xml:space="preserve"> 2000).</w:t>
            </w:r>
          </w:p>
        </w:tc>
        <w:tc>
          <w:tcPr>
            <w:tcW w:w="2007" w:type="dxa"/>
            <w:tcBorders>
              <w:left w:val="single" w:sz="2" w:space="0" w:color="999999"/>
              <w:bottom w:val="single" w:sz="2" w:space="0" w:color="auto"/>
              <w:right w:val="single" w:sz="2" w:space="0" w:color="999999"/>
            </w:tcBorders>
            <w:shd w:val="clear" w:color="auto" w:fill="FFFFFF"/>
          </w:tcPr>
          <w:p w14:paraId="4EC08CEA" w14:textId="77777777" w:rsidR="009D3DC8" w:rsidRDefault="009D3DC8">
            <w:pPr>
              <w:pStyle w:val="TableText"/>
              <w:spacing w:line="240" w:lineRule="auto"/>
              <w:rPr>
                <w:rFonts w:cs="Arial"/>
                <w:szCs w:val="16"/>
              </w:rPr>
            </w:pPr>
            <w:r>
              <w:rPr>
                <w:rFonts w:cs="Arial"/>
                <w:szCs w:val="16"/>
              </w:rPr>
              <w:t xml:space="preserve">Various </w:t>
            </w:r>
            <w:r>
              <w:rPr>
                <w:rFonts w:cs="Arial"/>
                <w:i/>
                <w:szCs w:val="16"/>
              </w:rPr>
              <w:t>Mycosphaerella</w:t>
            </w:r>
            <w:r>
              <w:rPr>
                <w:rFonts w:cs="Arial"/>
                <w:szCs w:val="16"/>
              </w:rPr>
              <w:t xml:space="preserve"> spp. are present in Australia (APPD 2011)</w:t>
            </w:r>
          </w:p>
        </w:tc>
        <w:tc>
          <w:tcPr>
            <w:tcW w:w="2537" w:type="dxa"/>
            <w:tcBorders>
              <w:left w:val="single" w:sz="2" w:space="0" w:color="999999"/>
              <w:bottom w:val="single" w:sz="2" w:space="0" w:color="auto"/>
              <w:right w:val="single" w:sz="2" w:space="0" w:color="999999"/>
            </w:tcBorders>
            <w:shd w:val="clear" w:color="auto" w:fill="FFFFFF"/>
          </w:tcPr>
          <w:p w14:paraId="4BEABE61"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0796731F"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31CB249C" w14:textId="77777777" w:rsidR="009D3DC8" w:rsidRDefault="009D3DC8">
            <w:pPr>
              <w:pStyle w:val="TableText"/>
              <w:spacing w:line="240" w:lineRule="auto"/>
              <w:rPr>
                <w:rFonts w:cs="Arial"/>
                <w:szCs w:val="16"/>
              </w:rPr>
            </w:pPr>
            <w:r>
              <w:rPr>
                <w:rFonts w:cs="Arial"/>
                <w:szCs w:val="16"/>
              </w:rPr>
              <w:t xml:space="preserve">No </w:t>
            </w:r>
          </w:p>
        </w:tc>
      </w:tr>
      <w:tr w:rsidR="009D3DC8" w14:paraId="5B17DF78" w14:textId="77777777">
        <w:trPr>
          <w:cantSplit/>
          <w:trHeight w:val="75"/>
          <w:jc w:val="center"/>
        </w:trPr>
        <w:tc>
          <w:tcPr>
            <w:tcW w:w="15840" w:type="dxa"/>
            <w:gridSpan w:val="9"/>
            <w:tcBorders>
              <w:bottom w:val="single" w:sz="2" w:space="0" w:color="auto"/>
            </w:tcBorders>
            <w:shd w:val="clear" w:color="auto" w:fill="E6E6E6"/>
          </w:tcPr>
          <w:p w14:paraId="43A2E429" w14:textId="77777777" w:rsidR="009D3DC8" w:rsidRDefault="009D3DC8">
            <w:pPr>
              <w:pStyle w:val="TableText1"/>
              <w:rPr>
                <w:rFonts w:ascii="Arial" w:hAnsi="Arial" w:cs="Arial"/>
                <w:color w:val="auto"/>
                <w:szCs w:val="16"/>
              </w:rPr>
            </w:pPr>
            <w:r>
              <w:rPr>
                <w:rFonts w:ascii="Arial" w:hAnsi="Arial" w:cs="Arial"/>
                <w:b/>
                <w:color w:val="auto"/>
                <w:szCs w:val="16"/>
              </w:rPr>
              <w:lastRenderedPageBreak/>
              <w:t>Order Pleosporales</w:t>
            </w:r>
          </w:p>
        </w:tc>
      </w:tr>
      <w:tr w:rsidR="009D3DC8" w14:paraId="5F64CE13" w14:textId="77777777">
        <w:trPr>
          <w:cantSplit/>
          <w:jc w:val="center"/>
        </w:trPr>
        <w:tc>
          <w:tcPr>
            <w:tcW w:w="3039" w:type="dxa"/>
            <w:tcBorders>
              <w:bottom w:val="single" w:sz="2" w:space="0" w:color="auto"/>
              <w:right w:val="single" w:sz="2" w:space="0" w:color="999999"/>
            </w:tcBorders>
            <w:shd w:val="clear" w:color="auto" w:fill="FFFFFF"/>
          </w:tcPr>
          <w:p w14:paraId="3DE4F1FC" w14:textId="77777777" w:rsidR="009D3DC8" w:rsidRDefault="009D3DC8">
            <w:pPr>
              <w:pStyle w:val="TableText"/>
              <w:spacing w:line="240" w:lineRule="auto"/>
              <w:rPr>
                <w:rFonts w:cs="Arial"/>
                <w:szCs w:val="16"/>
              </w:rPr>
            </w:pPr>
            <w:r>
              <w:rPr>
                <w:rFonts w:cs="Arial"/>
                <w:i/>
                <w:szCs w:val="16"/>
              </w:rPr>
              <w:t>Corynespora cassiicola</w:t>
            </w:r>
            <w:r>
              <w:rPr>
                <w:rFonts w:cs="Arial"/>
                <w:szCs w:val="16"/>
              </w:rPr>
              <w:t xml:space="preserve"> (Berk. &amp; M.A. Curtis) C.T. Wei</w:t>
            </w:r>
          </w:p>
          <w:p w14:paraId="13241FE6" w14:textId="77777777" w:rsidR="009D3DC8" w:rsidRDefault="009D3DC8">
            <w:pPr>
              <w:pStyle w:val="TableText"/>
              <w:spacing w:line="240" w:lineRule="auto"/>
              <w:rPr>
                <w:rFonts w:cs="Arial"/>
                <w:i/>
                <w:szCs w:val="16"/>
              </w:rPr>
            </w:pPr>
            <w:r>
              <w:rPr>
                <w:rFonts w:cs="Arial"/>
                <w:szCs w:val="16"/>
              </w:rPr>
              <w:t>[Pleosporales: Corynesporasceae]</w:t>
            </w:r>
          </w:p>
        </w:tc>
        <w:tc>
          <w:tcPr>
            <w:tcW w:w="2154" w:type="dxa"/>
            <w:gridSpan w:val="2"/>
            <w:tcBorders>
              <w:left w:val="single" w:sz="2" w:space="0" w:color="999999"/>
              <w:bottom w:val="single" w:sz="2" w:space="0" w:color="auto"/>
              <w:right w:val="single" w:sz="2" w:space="0" w:color="999999"/>
            </w:tcBorders>
            <w:shd w:val="clear" w:color="auto" w:fill="FFFFFF"/>
          </w:tcPr>
          <w:p w14:paraId="6BE87BBD" w14:textId="77777777" w:rsidR="009D3DC8" w:rsidRDefault="009D3DC8">
            <w:pPr>
              <w:pStyle w:val="TableText"/>
              <w:spacing w:line="240" w:lineRule="auto"/>
              <w:rPr>
                <w:rFonts w:cs="Arial"/>
                <w:szCs w:val="16"/>
              </w:rPr>
            </w:pPr>
            <w:r>
              <w:rPr>
                <w:rFonts w:cs="Arial"/>
                <w:szCs w:val="16"/>
              </w:rPr>
              <w:t>Yes</w:t>
            </w:r>
          </w:p>
          <w:p w14:paraId="50E002E9" w14:textId="77777777" w:rsidR="009D3DC8" w:rsidRDefault="009D3DC8">
            <w:pPr>
              <w:pStyle w:val="TableText"/>
              <w:spacing w:line="240" w:lineRule="auto"/>
              <w:rPr>
                <w:rFonts w:cs="Arial"/>
                <w:szCs w:val="16"/>
              </w:rPr>
            </w:pPr>
            <w:r>
              <w:rPr>
                <w:rFonts w:cs="Arial"/>
                <w:szCs w:val="16"/>
              </w:rPr>
              <w:t>(Shivas</w:t>
            </w:r>
            <w:r>
              <w:rPr>
                <w:rFonts w:cs="Arial"/>
                <w:i/>
                <w:szCs w:val="16"/>
              </w:rPr>
              <w:t xml:space="preserve"> et al.</w:t>
            </w:r>
            <w:r>
              <w:rPr>
                <w:rFonts w:cs="Arial"/>
                <w:szCs w:val="16"/>
              </w:rPr>
              <w:t xml:space="preserve"> 1996)</w:t>
            </w:r>
          </w:p>
        </w:tc>
        <w:tc>
          <w:tcPr>
            <w:tcW w:w="2670" w:type="dxa"/>
            <w:tcBorders>
              <w:left w:val="single" w:sz="2" w:space="0" w:color="999999"/>
              <w:bottom w:val="single" w:sz="2" w:space="0" w:color="auto"/>
              <w:right w:val="single" w:sz="2" w:space="0" w:color="999999"/>
            </w:tcBorders>
            <w:shd w:val="clear" w:color="auto" w:fill="FFFFFF"/>
          </w:tcPr>
          <w:p w14:paraId="3CDC8B39" w14:textId="77777777" w:rsidR="009D3DC8" w:rsidRDefault="009D3DC8">
            <w:pPr>
              <w:pStyle w:val="TableText"/>
              <w:spacing w:line="240" w:lineRule="auto"/>
              <w:rPr>
                <w:rFonts w:cs="Arial"/>
                <w:szCs w:val="16"/>
              </w:rPr>
            </w:pPr>
            <w:r>
              <w:rPr>
                <w:rFonts w:cs="Arial"/>
                <w:szCs w:val="16"/>
              </w:rPr>
              <w:t>Yes</w:t>
            </w:r>
          </w:p>
          <w:p w14:paraId="73D5D6BB" w14:textId="77777777" w:rsidR="009D3DC8" w:rsidRDefault="009D3DC8">
            <w:pPr>
              <w:pStyle w:val="TableText"/>
              <w:spacing w:line="240" w:lineRule="auto"/>
              <w:rPr>
                <w:rFonts w:cs="Arial"/>
                <w:szCs w:val="16"/>
              </w:rPr>
            </w:pPr>
            <w:r>
              <w:rPr>
                <w:rFonts w:cs="Arial"/>
                <w:szCs w:val="16"/>
              </w:rPr>
              <w:t>Affects flowers, fruits, leaves, stem and roots (Thaung 2008; Farr and Rossman 2011)</w:t>
            </w:r>
          </w:p>
        </w:tc>
        <w:tc>
          <w:tcPr>
            <w:tcW w:w="2007" w:type="dxa"/>
            <w:tcBorders>
              <w:left w:val="single" w:sz="2" w:space="0" w:color="999999"/>
              <w:bottom w:val="single" w:sz="2" w:space="0" w:color="auto"/>
              <w:right w:val="single" w:sz="2" w:space="0" w:color="999999"/>
            </w:tcBorders>
            <w:shd w:val="clear" w:color="auto" w:fill="FFFFFF"/>
          </w:tcPr>
          <w:p w14:paraId="6D9BB9A5" w14:textId="77777777" w:rsidR="009D3DC8" w:rsidRDefault="009D3DC8">
            <w:pPr>
              <w:pStyle w:val="TableText"/>
              <w:spacing w:line="240" w:lineRule="auto"/>
              <w:rPr>
                <w:rFonts w:cs="Arial"/>
                <w:szCs w:val="16"/>
              </w:rPr>
            </w:pPr>
            <w:r>
              <w:rPr>
                <w:rFonts w:cs="Arial"/>
                <w:szCs w:val="16"/>
              </w:rPr>
              <w:t>Yes</w:t>
            </w:r>
          </w:p>
          <w:p w14:paraId="0A2DD692" w14:textId="77777777" w:rsidR="009D3DC8" w:rsidRDefault="009D3DC8">
            <w:pPr>
              <w:pStyle w:val="TableText"/>
              <w:spacing w:line="240" w:lineRule="auto"/>
              <w:rPr>
                <w:rFonts w:cs="Arial"/>
                <w:szCs w:val="16"/>
              </w:rPr>
            </w:pPr>
            <w:r>
              <w:rPr>
                <w:rFonts w:cs="Arial"/>
                <w:szCs w:val="16"/>
              </w:rPr>
              <w:t>NSW, NT, Qld, Vic., WA (APPD 2011)</w:t>
            </w:r>
          </w:p>
        </w:tc>
        <w:tc>
          <w:tcPr>
            <w:tcW w:w="2537" w:type="dxa"/>
            <w:tcBorders>
              <w:left w:val="single" w:sz="2" w:space="0" w:color="999999"/>
              <w:bottom w:val="single" w:sz="2" w:space="0" w:color="auto"/>
              <w:right w:val="single" w:sz="2" w:space="0" w:color="999999"/>
            </w:tcBorders>
            <w:shd w:val="clear" w:color="auto" w:fill="FFFFFF"/>
          </w:tcPr>
          <w:p w14:paraId="1B8D5A9C"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18D9D5A9"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77E676B4" w14:textId="77777777" w:rsidR="009D3DC8" w:rsidRDefault="009D3DC8">
            <w:pPr>
              <w:pStyle w:val="TableText"/>
              <w:spacing w:line="240" w:lineRule="auto"/>
              <w:rPr>
                <w:rFonts w:cs="Arial"/>
                <w:szCs w:val="16"/>
              </w:rPr>
            </w:pPr>
            <w:r>
              <w:rPr>
                <w:rFonts w:cs="Arial"/>
                <w:szCs w:val="16"/>
              </w:rPr>
              <w:t>No</w:t>
            </w:r>
          </w:p>
        </w:tc>
      </w:tr>
      <w:tr w:rsidR="009D3DC8" w14:paraId="4CA6831A" w14:textId="77777777">
        <w:trPr>
          <w:cantSplit/>
          <w:trHeight w:val="75"/>
          <w:jc w:val="center"/>
        </w:trPr>
        <w:tc>
          <w:tcPr>
            <w:tcW w:w="15840" w:type="dxa"/>
            <w:gridSpan w:val="9"/>
            <w:tcBorders>
              <w:bottom w:val="single" w:sz="2" w:space="0" w:color="auto"/>
            </w:tcBorders>
            <w:shd w:val="clear" w:color="auto" w:fill="E0E0E0"/>
          </w:tcPr>
          <w:p w14:paraId="3942A451" w14:textId="77777777" w:rsidR="009D3DC8" w:rsidRDefault="009D3DC8">
            <w:pPr>
              <w:pStyle w:val="TableText1"/>
              <w:rPr>
                <w:rFonts w:ascii="Arial" w:hAnsi="Arial" w:cs="Arial"/>
                <w:color w:val="auto"/>
                <w:szCs w:val="16"/>
              </w:rPr>
            </w:pPr>
            <w:r>
              <w:rPr>
                <w:rFonts w:ascii="Arial" w:hAnsi="Arial" w:cs="Arial"/>
                <w:b/>
                <w:color w:val="auto"/>
                <w:szCs w:val="16"/>
              </w:rPr>
              <w:t>Class Eurotiomycetes</w:t>
            </w:r>
          </w:p>
        </w:tc>
      </w:tr>
      <w:tr w:rsidR="009D3DC8" w14:paraId="499BA1EE" w14:textId="77777777">
        <w:trPr>
          <w:cantSplit/>
          <w:trHeight w:val="75"/>
          <w:jc w:val="center"/>
        </w:trPr>
        <w:tc>
          <w:tcPr>
            <w:tcW w:w="15840" w:type="dxa"/>
            <w:gridSpan w:val="9"/>
            <w:tcBorders>
              <w:bottom w:val="single" w:sz="2" w:space="0" w:color="auto"/>
            </w:tcBorders>
            <w:shd w:val="clear" w:color="auto" w:fill="E6E6E6"/>
          </w:tcPr>
          <w:p w14:paraId="2B0067D2" w14:textId="77777777" w:rsidR="009D3DC8" w:rsidRDefault="009D3DC8">
            <w:pPr>
              <w:pStyle w:val="TableText1"/>
              <w:rPr>
                <w:rFonts w:ascii="Arial" w:hAnsi="Arial" w:cs="Arial"/>
                <w:color w:val="auto"/>
                <w:szCs w:val="16"/>
              </w:rPr>
            </w:pPr>
            <w:r>
              <w:rPr>
                <w:rFonts w:ascii="Arial" w:hAnsi="Arial" w:cs="Arial"/>
                <w:b/>
                <w:color w:val="auto"/>
                <w:szCs w:val="16"/>
              </w:rPr>
              <w:t>Order Eurotiales</w:t>
            </w:r>
          </w:p>
        </w:tc>
      </w:tr>
      <w:tr w:rsidR="009D3DC8" w14:paraId="3B7C576F" w14:textId="77777777">
        <w:trPr>
          <w:cantSplit/>
          <w:jc w:val="center"/>
        </w:trPr>
        <w:tc>
          <w:tcPr>
            <w:tcW w:w="3039" w:type="dxa"/>
            <w:tcBorders>
              <w:bottom w:val="single" w:sz="2" w:space="0" w:color="auto"/>
              <w:right w:val="single" w:sz="2" w:space="0" w:color="999999"/>
            </w:tcBorders>
            <w:shd w:val="clear" w:color="auto" w:fill="FFFFFF"/>
          </w:tcPr>
          <w:p w14:paraId="729FFB9A" w14:textId="77777777" w:rsidR="009D3DC8" w:rsidRDefault="009D3DC8">
            <w:pPr>
              <w:pStyle w:val="TableText"/>
              <w:spacing w:line="240" w:lineRule="auto"/>
              <w:rPr>
                <w:rFonts w:cs="Arial"/>
                <w:szCs w:val="16"/>
              </w:rPr>
            </w:pPr>
            <w:r>
              <w:rPr>
                <w:rFonts w:cs="Arial"/>
                <w:i/>
                <w:szCs w:val="16"/>
              </w:rPr>
              <w:t>Aspergillus niger</w:t>
            </w:r>
            <w:r>
              <w:rPr>
                <w:rFonts w:cs="Arial"/>
                <w:szCs w:val="16"/>
              </w:rPr>
              <w:t xml:space="preserve"> Tiegh.</w:t>
            </w:r>
          </w:p>
          <w:p w14:paraId="7E844278" w14:textId="77777777" w:rsidR="009D3DC8" w:rsidRDefault="009D3DC8">
            <w:pPr>
              <w:pStyle w:val="TableText"/>
              <w:spacing w:line="240" w:lineRule="auto"/>
              <w:rPr>
                <w:rFonts w:cs="Arial"/>
                <w:szCs w:val="16"/>
              </w:rPr>
            </w:pPr>
            <w:r>
              <w:rPr>
                <w:rFonts w:cs="Arial"/>
                <w:szCs w:val="16"/>
              </w:rPr>
              <w:t>[Eurotiales: Trichocomaceae]</w:t>
            </w:r>
          </w:p>
          <w:p w14:paraId="32F6FBCB" w14:textId="77777777" w:rsidR="009D3DC8" w:rsidRDefault="009D3DC8">
            <w:pPr>
              <w:pStyle w:val="TableText"/>
              <w:spacing w:line="240" w:lineRule="auto"/>
              <w:rPr>
                <w:rFonts w:cs="Arial"/>
                <w:i/>
                <w:szCs w:val="16"/>
              </w:rPr>
            </w:pPr>
            <w:r>
              <w:rPr>
                <w:rFonts w:cs="Arial"/>
                <w:szCs w:val="16"/>
              </w:rPr>
              <w:t xml:space="preserve">Fruit rot </w:t>
            </w:r>
          </w:p>
        </w:tc>
        <w:tc>
          <w:tcPr>
            <w:tcW w:w="2154" w:type="dxa"/>
            <w:gridSpan w:val="2"/>
            <w:tcBorders>
              <w:left w:val="single" w:sz="2" w:space="0" w:color="999999"/>
              <w:bottom w:val="single" w:sz="2" w:space="0" w:color="auto"/>
              <w:right w:val="single" w:sz="2" w:space="0" w:color="999999"/>
            </w:tcBorders>
            <w:shd w:val="clear" w:color="auto" w:fill="FFFFFF"/>
          </w:tcPr>
          <w:p w14:paraId="48265A83" w14:textId="77777777" w:rsidR="009D3DC8" w:rsidRDefault="009D3DC8">
            <w:pPr>
              <w:pStyle w:val="TableText"/>
              <w:spacing w:line="240" w:lineRule="auto"/>
              <w:rPr>
                <w:rFonts w:cs="Arial"/>
                <w:szCs w:val="16"/>
              </w:rPr>
            </w:pPr>
            <w:r>
              <w:rPr>
                <w:rFonts w:cs="Arial"/>
                <w:szCs w:val="16"/>
              </w:rPr>
              <w:t>Yes</w:t>
            </w:r>
          </w:p>
          <w:p w14:paraId="026B1D2C" w14:textId="77777777" w:rsidR="009D3DC8" w:rsidRDefault="009D3DC8">
            <w:pPr>
              <w:pStyle w:val="TableText"/>
              <w:spacing w:line="240" w:lineRule="auto"/>
              <w:rPr>
                <w:rFonts w:cs="Arial"/>
                <w:szCs w:val="16"/>
              </w:rPr>
            </w:pPr>
            <w:r>
              <w:rPr>
                <w:rFonts w:cs="Arial"/>
                <w:szCs w:val="16"/>
              </w:rPr>
              <w:t>(IAQA 2011)</w:t>
            </w:r>
          </w:p>
        </w:tc>
        <w:tc>
          <w:tcPr>
            <w:tcW w:w="2670" w:type="dxa"/>
            <w:tcBorders>
              <w:left w:val="single" w:sz="2" w:space="0" w:color="999999"/>
              <w:bottom w:val="single" w:sz="2" w:space="0" w:color="auto"/>
              <w:right w:val="single" w:sz="2" w:space="0" w:color="999999"/>
            </w:tcBorders>
            <w:shd w:val="clear" w:color="auto" w:fill="FFFFFF"/>
          </w:tcPr>
          <w:p w14:paraId="624AE2B2" w14:textId="77777777" w:rsidR="009D3DC8" w:rsidRDefault="009D3DC8">
            <w:pPr>
              <w:pStyle w:val="TableText"/>
              <w:spacing w:line="240" w:lineRule="auto"/>
              <w:rPr>
                <w:rFonts w:cs="Arial"/>
                <w:szCs w:val="16"/>
              </w:rPr>
            </w:pPr>
            <w:r>
              <w:rPr>
                <w:rFonts w:cs="Arial"/>
                <w:szCs w:val="16"/>
              </w:rPr>
              <w:t>Yes</w:t>
            </w:r>
          </w:p>
          <w:p w14:paraId="6DE7ABF8" w14:textId="77777777" w:rsidR="009D3DC8" w:rsidRDefault="009D3DC8">
            <w:pPr>
              <w:pStyle w:val="TableText"/>
              <w:spacing w:line="240" w:lineRule="auto"/>
              <w:rPr>
                <w:rFonts w:cs="Arial"/>
                <w:szCs w:val="16"/>
              </w:rPr>
            </w:pPr>
            <w:r>
              <w:rPr>
                <w:rFonts w:cs="Arial"/>
                <w:szCs w:val="16"/>
              </w:rPr>
              <w:t>Seed rot on mangosteen (Tamit 2002).</w:t>
            </w:r>
          </w:p>
        </w:tc>
        <w:tc>
          <w:tcPr>
            <w:tcW w:w="2007" w:type="dxa"/>
            <w:tcBorders>
              <w:left w:val="single" w:sz="2" w:space="0" w:color="999999"/>
              <w:bottom w:val="single" w:sz="2" w:space="0" w:color="auto"/>
              <w:right w:val="single" w:sz="2" w:space="0" w:color="999999"/>
            </w:tcBorders>
            <w:shd w:val="clear" w:color="auto" w:fill="FFFFFF"/>
          </w:tcPr>
          <w:p w14:paraId="6BBD29C0" w14:textId="77777777" w:rsidR="009D3DC8" w:rsidRDefault="009D3DC8">
            <w:pPr>
              <w:pStyle w:val="TableText"/>
              <w:spacing w:line="240" w:lineRule="auto"/>
              <w:rPr>
                <w:rFonts w:cs="Arial"/>
                <w:szCs w:val="16"/>
              </w:rPr>
            </w:pPr>
            <w:r>
              <w:rPr>
                <w:rFonts w:cs="Arial"/>
                <w:szCs w:val="16"/>
              </w:rPr>
              <w:t>Yes</w:t>
            </w:r>
          </w:p>
          <w:p w14:paraId="52F790E0" w14:textId="77777777" w:rsidR="009D3DC8" w:rsidRDefault="009D3DC8">
            <w:pPr>
              <w:pStyle w:val="TableText"/>
              <w:spacing w:line="240" w:lineRule="auto"/>
              <w:rPr>
                <w:rFonts w:cs="Arial"/>
                <w:szCs w:val="16"/>
              </w:rPr>
            </w:pPr>
            <w:r>
              <w:rPr>
                <w:rFonts w:cs="Arial"/>
                <w:szCs w:val="16"/>
              </w:rPr>
              <w:t>All states and territories (APPD 2011)</w:t>
            </w:r>
          </w:p>
        </w:tc>
        <w:tc>
          <w:tcPr>
            <w:tcW w:w="2537" w:type="dxa"/>
            <w:tcBorders>
              <w:left w:val="single" w:sz="2" w:space="0" w:color="999999"/>
              <w:bottom w:val="single" w:sz="2" w:space="0" w:color="auto"/>
              <w:right w:val="single" w:sz="2" w:space="0" w:color="999999"/>
            </w:tcBorders>
            <w:shd w:val="clear" w:color="auto" w:fill="FFFFFF"/>
          </w:tcPr>
          <w:p w14:paraId="7E7DD164"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3BD6D85F"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3C3795D8" w14:textId="77777777" w:rsidR="009D3DC8" w:rsidRDefault="009D3DC8">
            <w:pPr>
              <w:pStyle w:val="TableText"/>
              <w:spacing w:line="240" w:lineRule="auto"/>
              <w:rPr>
                <w:rFonts w:cs="Arial"/>
                <w:szCs w:val="16"/>
              </w:rPr>
            </w:pPr>
            <w:r>
              <w:rPr>
                <w:rFonts w:cs="Arial"/>
                <w:szCs w:val="16"/>
              </w:rPr>
              <w:t>No</w:t>
            </w:r>
          </w:p>
        </w:tc>
      </w:tr>
      <w:tr w:rsidR="009D3DC8" w14:paraId="4076A7A3" w14:textId="77777777">
        <w:trPr>
          <w:cantSplit/>
          <w:trHeight w:val="75"/>
          <w:jc w:val="center"/>
        </w:trPr>
        <w:tc>
          <w:tcPr>
            <w:tcW w:w="15840" w:type="dxa"/>
            <w:gridSpan w:val="9"/>
            <w:tcBorders>
              <w:bottom w:val="single" w:sz="2" w:space="0" w:color="auto"/>
            </w:tcBorders>
            <w:shd w:val="clear" w:color="auto" w:fill="E0E0E0"/>
          </w:tcPr>
          <w:p w14:paraId="2C33209B" w14:textId="77777777" w:rsidR="009D3DC8" w:rsidRDefault="009D3DC8">
            <w:pPr>
              <w:pStyle w:val="TableText1"/>
              <w:rPr>
                <w:rFonts w:ascii="Arial" w:hAnsi="Arial" w:cs="Arial"/>
                <w:color w:val="auto"/>
                <w:szCs w:val="16"/>
              </w:rPr>
            </w:pPr>
            <w:r>
              <w:rPr>
                <w:rFonts w:ascii="Arial" w:hAnsi="Arial" w:cs="Arial"/>
                <w:b/>
                <w:color w:val="auto"/>
                <w:szCs w:val="16"/>
              </w:rPr>
              <w:t>Class Leotiomycetes</w:t>
            </w:r>
          </w:p>
        </w:tc>
      </w:tr>
      <w:tr w:rsidR="009D3DC8" w14:paraId="4C72F8F8" w14:textId="77777777">
        <w:trPr>
          <w:cantSplit/>
          <w:trHeight w:val="75"/>
          <w:jc w:val="center"/>
        </w:trPr>
        <w:tc>
          <w:tcPr>
            <w:tcW w:w="15840" w:type="dxa"/>
            <w:gridSpan w:val="9"/>
            <w:tcBorders>
              <w:bottom w:val="single" w:sz="2" w:space="0" w:color="auto"/>
            </w:tcBorders>
            <w:shd w:val="clear" w:color="auto" w:fill="E6E6E6"/>
          </w:tcPr>
          <w:p w14:paraId="2309DD13" w14:textId="77777777" w:rsidR="009D3DC8" w:rsidRDefault="009D3DC8">
            <w:pPr>
              <w:pStyle w:val="TableText1"/>
              <w:rPr>
                <w:rFonts w:ascii="Arial" w:hAnsi="Arial" w:cs="Arial"/>
                <w:color w:val="auto"/>
                <w:szCs w:val="16"/>
              </w:rPr>
            </w:pPr>
            <w:r>
              <w:rPr>
                <w:rFonts w:ascii="Arial" w:hAnsi="Arial" w:cs="Arial"/>
                <w:b/>
                <w:color w:val="auto"/>
                <w:szCs w:val="16"/>
              </w:rPr>
              <w:t>Order Helotiales</w:t>
            </w:r>
          </w:p>
        </w:tc>
      </w:tr>
      <w:tr w:rsidR="009D3DC8" w14:paraId="092AB10F" w14:textId="77777777">
        <w:trPr>
          <w:cantSplit/>
          <w:jc w:val="center"/>
        </w:trPr>
        <w:tc>
          <w:tcPr>
            <w:tcW w:w="3039" w:type="dxa"/>
            <w:tcBorders>
              <w:bottom w:val="single" w:sz="2" w:space="0" w:color="auto"/>
              <w:right w:val="single" w:sz="2" w:space="0" w:color="999999"/>
            </w:tcBorders>
            <w:shd w:val="clear" w:color="auto" w:fill="FFFFFF"/>
          </w:tcPr>
          <w:p w14:paraId="71C61E7A" w14:textId="77777777" w:rsidR="009D3DC8" w:rsidRDefault="009D3DC8">
            <w:pPr>
              <w:pStyle w:val="TableText"/>
              <w:spacing w:line="240" w:lineRule="auto"/>
              <w:rPr>
                <w:rFonts w:cs="Arial"/>
                <w:szCs w:val="16"/>
              </w:rPr>
            </w:pPr>
            <w:r>
              <w:rPr>
                <w:rFonts w:cs="Arial"/>
                <w:i/>
                <w:szCs w:val="16"/>
              </w:rPr>
              <w:t>Gloeosporium garciniae</w:t>
            </w:r>
            <w:r>
              <w:rPr>
                <w:rFonts w:cs="Arial"/>
                <w:szCs w:val="16"/>
              </w:rPr>
              <w:t xml:space="preserve"> Krood </w:t>
            </w:r>
          </w:p>
          <w:p w14:paraId="588C2D19" w14:textId="77777777" w:rsidR="009D3DC8" w:rsidRDefault="009D3DC8">
            <w:pPr>
              <w:pStyle w:val="TableText"/>
              <w:spacing w:line="240" w:lineRule="auto"/>
              <w:rPr>
                <w:rFonts w:cs="Arial"/>
                <w:szCs w:val="16"/>
              </w:rPr>
            </w:pPr>
            <w:r>
              <w:rPr>
                <w:rFonts w:cs="Arial"/>
                <w:szCs w:val="16"/>
              </w:rPr>
              <w:t>[Helotiales: Dermataceae]</w:t>
            </w:r>
          </w:p>
          <w:p w14:paraId="14AAFED0" w14:textId="77777777" w:rsidR="009D3DC8" w:rsidRDefault="009D3DC8">
            <w:pPr>
              <w:pStyle w:val="TableText"/>
              <w:spacing w:line="240" w:lineRule="auto"/>
              <w:rPr>
                <w:rFonts w:cs="Arial"/>
                <w:i/>
                <w:szCs w:val="16"/>
              </w:rPr>
            </w:pPr>
            <w:r>
              <w:rPr>
                <w:rFonts w:cs="Arial"/>
                <w:szCs w:val="16"/>
              </w:rPr>
              <w:t>Leaf spot</w:t>
            </w:r>
          </w:p>
        </w:tc>
        <w:tc>
          <w:tcPr>
            <w:tcW w:w="2154" w:type="dxa"/>
            <w:gridSpan w:val="2"/>
            <w:tcBorders>
              <w:left w:val="single" w:sz="2" w:space="0" w:color="999999"/>
              <w:bottom w:val="single" w:sz="2" w:space="0" w:color="auto"/>
              <w:right w:val="single" w:sz="2" w:space="0" w:color="999999"/>
            </w:tcBorders>
            <w:shd w:val="clear" w:color="auto" w:fill="FFFFFF"/>
          </w:tcPr>
          <w:p w14:paraId="7EFE2629" w14:textId="77777777" w:rsidR="009D3DC8" w:rsidRDefault="009D3DC8">
            <w:pPr>
              <w:pStyle w:val="TableText"/>
              <w:spacing w:line="240" w:lineRule="auto"/>
              <w:rPr>
                <w:rFonts w:cs="Arial"/>
                <w:szCs w:val="16"/>
              </w:rPr>
            </w:pPr>
            <w:r>
              <w:rPr>
                <w:rFonts w:cs="Arial"/>
                <w:szCs w:val="16"/>
              </w:rPr>
              <w:t>Yes</w:t>
            </w:r>
          </w:p>
          <w:p w14:paraId="770AE05D" w14:textId="77777777" w:rsidR="009D3DC8" w:rsidRDefault="009D3DC8">
            <w:pPr>
              <w:pStyle w:val="TableText"/>
              <w:spacing w:line="240" w:lineRule="auto"/>
              <w:rPr>
                <w:rFonts w:cs="Arial"/>
                <w:szCs w:val="16"/>
              </w:rPr>
            </w:pPr>
            <w:r>
              <w:rPr>
                <w:rFonts w:cs="Arial"/>
                <w:szCs w:val="16"/>
              </w:rPr>
              <w:t>(Wibawa 2009)</w:t>
            </w:r>
          </w:p>
        </w:tc>
        <w:tc>
          <w:tcPr>
            <w:tcW w:w="2670" w:type="dxa"/>
            <w:tcBorders>
              <w:left w:val="single" w:sz="2" w:space="0" w:color="999999"/>
              <w:bottom w:val="single" w:sz="2" w:space="0" w:color="auto"/>
              <w:right w:val="single" w:sz="2" w:space="0" w:color="999999"/>
            </w:tcBorders>
            <w:shd w:val="clear" w:color="auto" w:fill="FFFFFF"/>
          </w:tcPr>
          <w:p w14:paraId="774E3828" w14:textId="77777777" w:rsidR="009D3DC8" w:rsidRDefault="009D3DC8">
            <w:pPr>
              <w:pStyle w:val="TableText"/>
              <w:spacing w:line="240" w:lineRule="auto"/>
              <w:rPr>
                <w:rFonts w:cs="Arial"/>
                <w:szCs w:val="16"/>
              </w:rPr>
            </w:pPr>
            <w:r>
              <w:rPr>
                <w:rFonts w:cs="Arial"/>
                <w:szCs w:val="16"/>
              </w:rPr>
              <w:t>No</w:t>
            </w:r>
          </w:p>
          <w:p w14:paraId="0ECD57C9" w14:textId="77777777" w:rsidR="009D3DC8" w:rsidRDefault="009D3DC8">
            <w:pPr>
              <w:pStyle w:val="TableText"/>
              <w:spacing w:line="240" w:lineRule="auto"/>
              <w:rPr>
                <w:rFonts w:cs="Arial"/>
                <w:szCs w:val="16"/>
              </w:rPr>
            </w:pPr>
            <w:r>
              <w:rPr>
                <w:rFonts w:cs="Arial"/>
                <w:szCs w:val="16"/>
              </w:rPr>
              <w:t>Associated with the leaves (Wibawa 2009).</w:t>
            </w:r>
          </w:p>
        </w:tc>
        <w:tc>
          <w:tcPr>
            <w:tcW w:w="2007" w:type="dxa"/>
            <w:tcBorders>
              <w:left w:val="single" w:sz="2" w:space="0" w:color="999999"/>
              <w:bottom w:val="single" w:sz="2" w:space="0" w:color="auto"/>
              <w:right w:val="single" w:sz="2" w:space="0" w:color="999999"/>
            </w:tcBorders>
            <w:shd w:val="clear" w:color="auto" w:fill="FFFFFF"/>
          </w:tcPr>
          <w:p w14:paraId="76AD7A3B" w14:textId="77777777" w:rsidR="009D3DC8" w:rsidRDefault="009D3DC8">
            <w:pPr>
              <w:pStyle w:val="TableText"/>
              <w:spacing w:line="240" w:lineRule="auto"/>
              <w:rPr>
                <w:rFonts w:cs="Arial"/>
                <w:szCs w:val="16"/>
              </w:rPr>
            </w:pPr>
            <w:r>
              <w:rPr>
                <w:rFonts w:cs="Arial"/>
                <w:szCs w:val="16"/>
              </w:rPr>
              <w:t xml:space="preserve">No records found </w:t>
            </w:r>
          </w:p>
        </w:tc>
        <w:tc>
          <w:tcPr>
            <w:tcW w:w="2537" w:type="dxa"/>
            <w:tcBorders>
              <w:left w:val="single" w:sz="2" w:space="0" w:color="999999"/>
              <w:bottom w:val="single" w:sz="2" w:space="0" w:color="auto"/>
              <w:right w:val="single" w:sz="2" w:space="0" w:color="999999"/>
            </w:tcBorders>
            <w:shd w:val="clear" w:color="auto" w:fill="FFFFFF"/>
          </w:tcPr>
          <w:p w14:paraId="78371CD2"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75599A00"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0975D9A1" w14:textId="77777777" w:rsidR="009D3DC8" w:rsidRDefault="009D3DC8">
            <w:pPr>
              <w:pStyle w:val="TableText"/>
              <w:spacing w:line="240" w:lineRule="auto"/>
              <w:rPr>
                <w:rFonts w:cs="Arial"/>
                <w:szCs w:val="16"/>
              </w:rPr>
            </w:pPr>
            <w:r>
              <w:rPr>
                <w:rFonts w:cs="Arial"/>
                <w:szCs w:val="16"/>
              </w:rPr>
              <w:t>No</w:t>
            </w:r>
          </w:p>
        </w:tc>
      </w:tr>
      <w:tr w:rsidR="009D3DC8" w14:paraId="700F3DFF" w14:textId="77777777">
        <w:trPr>
          <w:cantSplit/>
          <w:trHeight w:val="75"/>
          <w:jc w:val="center"/>
        </w:trPr>
        <w:tc>
          <w:tcPr>
            <w:tcW w:w="15840" w:type="dxa"/>
            <w:gridSpan w:val="9"/>
            <w:tcBorders>
              <w:bottom w:val="single" w:sz="2" w:space="0" w:color="auto"/>
            </w:tcBorders>
            <w:shd w:val="clear" w:color="auto" w:fill="E0E0E0"/>
          </w:tcPr>
          <w:p w14:paraId="45D74F6F" w14:textId="77777777" w:rsidR="009D3DC8" w:rsidRDefault="009D3DC8">
            <w:pPr>
              <w:pStyle w:val="TableText1"/>
              <w:rPr>
                <w:rFonts w:ascii="Arial" w:hAnsi="Arial" w:cs="Arial"/>
                <w:color w:val="auto"/>
                <w:szCs w:val="16"/>
              </w:rPr>
            </w:pPr>
            <w:r>
              <w:rPr>
                <w:rFonts w:ascii="Arial" w:hAnsi="Arial" w:cs="Arial"/>
                <w:b/>
                <w:color w:val="auto"/>
                <w:szCs w:val="16"/>
              </w:rPr>
              <w:t xml:space="preserve">Class </w:t>
            </w:r>
            <w:r>
              <w:rPr>
                <w:rFonts w:ascii="Arial" w:hAnsi="Arial" w:cs="Arial"/>
                <w:b/>
                <w:szCs w:val="16"/>
              </w:rPr>
              <w:t>Sordariomycetes</w:t>
            </w:r>
          </w:p>
        </w:tc>
      </w:tr>
      <w:tr w:rsidR="009D3DC8" w14:paraId="545E7D33" w14:textId="77777777">
        <w:trPr>
          <w:cantSplit/>
          <w:trHeight w:val="75"/>
          <w:jc w:val="center"/>
        </w:trPr>
        <w:tc>
          <w:tcPr>
            <w:tcW w:w="15840" w:type="dxa"/>
            <w:gridSpan w:val="9"/>
            <w:tcBorders>
              <w:bottom w:val="single" w:sz="2" w:space="0" w:color="auto"/>
            </w:tcBorders>
            <w:shd w:val="clear" w:color="auto" w:fill="E6E6E6"/>
          </w:tcPr>
          <w:p w14:paraId="13CA5653" w14:textId="77777777" w:rsidR="009D3DC8" w:rsidRDefault="009D3DC8">
            <w:pPr>
              <w:pStyle w:val="TableText1"/>
              <w:rPr>
                <w:rFonts w:ascii="Arial" w:hAnsi="Arial" w:cs="Arial"/>
                <w:color w:val="auto"/>
                <w:szCs w:val="16"/>
              </w:rPr>
            </w:pPr>
            <w:r>
              <w:rPr>
                <w:rFonts w:ascii="Arial" w:hAnsi="Arial" w:cs="Arial"/>
                <w:b/>
                <w:color w:val="auto"/>
                <w:szCs w:val="16"/>
              </w:rPr>
              <w:t>Order Diaporthales</w:t>
            </w:r>
          </w:p>
        </w:tc>
      </w:tr>
      <w:tr w:rsidR="009D3DC8" w14:paraId="11B56457" w14:textId="77777777">
        <w:trPr>
          <w:cantSplit/>
          <w:jc w:val="center"/>
        </w:trPr>
        <w:tc>
          <w:tcPr>
            <w:tcW w:w="3039" w:type="dxa"/>
            <w:tcBorders>
              <w:bottom w:val="single" w:sz="2" w:space="0" w:color="auto"/>
              <w:right w:val="single" w:sz="2" w:space="0" w:color="999999"/>
            </w:tcBorders>
            <w:shd w:val="clear" w:color="auto" w:fill="FFFFFF"/>
          </w:tcPr>
          <w:p w14:paraId="47F5FF91" w14:textId="77777777" w:rsidR="009D3DC8" w:rsidRDefault="009D3DC8">
            <w:pPr>
              <w:pStyle w:val="TableText"/>
              <w:spacing w:line="240" w:lineRule="auto"/>
              <w:rPr>
                <w:rFonts w:cs="Arial"/>
                <w:szCs w:val="16"/>
              </w:rPr>
            </w:pPr>
            <w:r>
              <w:rPr>
                <w:rFonts w:cs="Arial"/>
                <w:i/>
                <w:szCs w:val="16"/>
              </w:rPr>
              <w:t>Phomopsis</w:t>
            </w:r>
            <w:r>
              <w:rPr>
                <w:rFonts w:cs="Arial"/>
                <w:szCs w:val="16"/>
              </w:rPr>
              <w:t xml:space="preserve"> sp.</w:t>
            </w:r>
          </w:p>
          <w:p w14:paraId="435A490C" w14:textId="77777777" w:rsidR="009D3DC8" w:rsidRDefault="009D3DC8">
            <w:pPr>
              <w:pStyle w:val="TableText"/>
              <w:spacing w:line="240" w:lineRule="auto"/>
              <w:rPr>
                <w:rFonts w:cs="Arial"/>
                <w:szCs w:val="16"/>
              </w:rPr>
            </w:pPr>
            <w:r>
              <w:rPr>
                <w:rFonts w:cs="Arial"/>
                <w:szCs w:val="16"/>
              </w:rPr>
              <w:t>[Diaporthales: Diaporthaceae]</w:t>
            </w:r>
          </w:p>
          <w:p w14:paraId="79B1365C" w14:textId="77777777" w:rsidR="009D3DC8" w:rsidRDefault="009D3DC8">
            <w:pPr>
              <w:pStyle w:val="TableText"/>
              <w:spacing w:line="240" w:lineRule="auto"/>
              <w:rPr>
                <w:rFonts w:cs="Arial"/>
                <w:szCs w:val="16"/>
              </w:rPr>
            </w:pPr>
            <w:r>
              <w:rPr>
                <w:rFonts w:cs="Arial"/>
                <w:szCs w:val="16"/>
              </w:rPr>
              <w:t xml:space="preserve">Fruit rot </w:t>
            </w:r>
          </w:p>
        </w:tc>
        <w:tc>
          <w:tcPr>
            <w:tcW w:w="2154" w:type="dxa"/>
            <w:gridSpan w:val="2"/>
            <w:tcBorders>
              <w:left w:val="single" w:sz="2" w:space="0" w:color="999999"/>
              <w:bottom w:val="single" w:sz="2" w:space="0" w:color="auto"/>
              <w:right w:val="single" w:sz="2" w:space="0" w:color="999999"/>
            </w:tcBorders>
            <w:shd w:val="clear" w:color="auto" w:fill="FFFFFF"/>
          </w:tcPr>
          <w:p w14:paraId="1E7F61EF"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17DCC0B4" w14:textId="77777777" w:rsidR="009D3DC8" w:rsidRDefault="009D3DC8">
            <w:pPr>
              <w:pStyle w:val="TableText1"/>
              <w:keepNext w:val="0"/>
              <w:rPr>
                <w:rFonts w:ascii="Arial" w:hAnsi="Arial" w:cs="Arial"/>
                <w:color w:val="auto"/>
                <w:szCs w:val="16"/>
              </w:rPr>
            </w:pPr>
            <w:r>
              <w:rPr>
                <w:rFonts w:ascii="Arial" w:hAnsi="Arial" w:cs="Arial"/>
                <w:color w:val="auto"/>
                <w:szCs w:val="16"/>
              </w:rPr>
              <w:t>(Shivas</w:t>
            </w:r>
            <w:r>
              <w:rPr>
                <w:rFonts w:ascii="Arial" w:hAnsi="Arial" w:cs="Arial"/>
                <w:i/>
                <w:color w:val="auto"/>
                <w:szCs w:val="16"/>
              </w:rPr>
              <w:t xml:space="preserve"> et al.</w:t>
            </w:r>
            <w:r>
              <w:rPr>
                <w:rFonts w:ascii="Arial" w:hAnsi="Arial" w:cs="Arial"/>
                <w:color w:val="auto"/>
                <w:szCs w:val="16"/>
              </w:rPr>
              <w:t xml:space="preserve"> 1996)</w:t>
            </w:r>
          </w:p>
        </w:tc>
        <w:tc>
          <w:tcPr>
            <w:tcW w:w="2670" w:type="dxa"/>
            <w:tcBorders>
              <w:left w:val="single" w:sz="2" w:space="0" w:color="999999"/>
              <w:bottom w:val="single" w:sz="2" w:space="0" w:color="auto"/>
              <w:right w:val="single" w:sz="2" w:space="0" w:color="999999"/>
            </w:tcBorders>
            <w:shd w:val="clear" w:color="auto" w:fill="FFFFFF"/>
          </w:tcPr>
          <w:p w14:paraId="0AD979AF"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Yes </w:t>
            </w:r>
          </w:p>
          <w:p w14:paraId="541DDC34"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A post-harvest disease that causes hardening of the pericarp and decay of the aril (Yaacob and Tindall 1995). Has been isolated from the internal tissue of fruit and stem of </w:t>
            </w:r>
            <w:r>
              <w:rPr>
                <w:rFonts w:ascii="Arial" w:hAnsi="Arial" w:cs="Arial"/>
                <w:i/>
                <w:color w:val="auto"/>
                <w:szCs w:val="16"/>
              </w:rPr>
              <w:t>G parviflora</w:t>
            </w:r>
            <w:r>
              <w:rPr>
                <w:rFonts w:ascii="Arial" w:hAnsi="Arial" w:cs="Arial"/>
                <w:color w:val="auto"/>
                <w:szCs w:val="16"/>
              </w:rPr>
              <w:t xml:space="preserve"> (Sim</w:t>
            </w:r>
            <w:r>
              <w:rPr>
                <w:rFonts w:ascii="Arial" w:hAnsi="Arial" w:cs="Arial"/>
                <w:i/>
                <w:color w:val="auto"/>
                <w:szCs w:val="16"/>
              </w:rPr>
              <w:t xml:space="preserve"> et al.</w:t>
            </w:r>
            <w:r>
              <w:rPr>
                <w:rFonts w:ascii="Arial" w:hAnsi="Arial" w:cs="Arial"/>
                <w:color w:val="auto"/>
                <w:szCs w:val="16"/>
              </w:rPr>
              <w:t xml:space="preserve"> 2010).</w:t>
            </w:r>
          </w:p>
        </w:tc>
        <w:tc>
          <w:tcPr>
            <w:tcW w:w="2007" w:type="dxa"/>
            <w:tcBorders>
              <w:left w:val="single" w:sz="2" w:space="0" w:color="999999"/>
              <w:bottom w:val="single" w:sz="2" w:space="0" w:color="auto"/>
              <w:right w:val="single" w:sz="2" w:space="0" w:color="999999"/>
            </w:tcBorders>
            <w:shd w:val="clear" w:color="auto" w:fill="FFFFFF"/>
          </w:tcPr>
          <w:p w14:paraId="1895A87C" w14:textId="77777777" w:rsidR="009D3DC8" w:rsidRDefault="009D3DC8">
            <w:pPr>
              <w:pStyle w:val="TableText1"/>
              <w:keepNext w:val="0"/>
              <w:rPr>
                <w:rFonts w:ascii="Arial" w:hAnsi="Arial" w:cs="Arial"/>
                <w:color w:val="auto"/>
                <w:szCs w:val="16"/>
              </w:rPr>
            </w:pPr>
            <w:r>
              <w:rPr>
                <w:rFonts w:ascii="Arial" w:hAnsi="Arial" w:cs="Arial"/>
                <w:color w:val="auto"/>
                <w:szCs w:val="16"/>
              </w:rPr>
              <w:t xml:space="preserve">Various </w:t>
            </w:r>
            <w:r>
              <w:rPr>
                <w:rFonts w:ascii="Arial" w:hAnsi="Arial" w:cs="Arial"/>
                <w:i/>
                <w:color w:val="auto"/>
                <w:szCs w:val="16"/>
              </w:rPr>
              <w:t>Phomopsis</w:t>
            </w:r>
            <w:r>
              <w:rPr>
                <w:rFonts w:ascii="Arial" w:hAnsi="Arial" w:cs="Arial"/>
                <w:color w:val="auto"/>
                <w:szCs w:val="16"/>
              </w:rPr>
              <w:t xml:space="preserve"> spp. are present in Australia, including on mangosteen in Qld. and NT (APPD 2011).</w:t>
            </w:r>
          </w:p>
        </w:tc>
        <w:tc>
          <w:tcPr>
            <w:tcW w:w="2537" w:type="dxa"/>
            <w:tcBorders>
              <w:left w:val="single" w:sz="2" w:space="0" w:color="999999"/>
              <w:bottom w:val="single" w:sz="2" w:space="0" w:color="auto"/>
              <w:right w:val="single" w:sz="2" w:space="0" w:color="999999"/>
            </w:tcBorders>
            <w:shd w:val="clear" w:color="auto" w:fill="FFFFFF"/>
          </w:tcPr>
          <w:p w14:paraId="406D5E9C"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3ED35E0A"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4DCB7787"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35DF0B79" w14:textId="77777777">
        <w:trPr>
          <w:cantSplit/>
          <w:trHeight w:val="75"/>
          <w:jc w:val="center"/>
        </w:trPr>
        <w:tc>
          <w:tcPr>
            <w:tcW w:w="15840" w:type="dxa"/>
            <w:gridSpan w:val="9"/>
            <w:tcBorders>
              <w:bottom w:val="single" w:sz="2" w:space="0" w:color="auto"/>
            </w:tcBorders>
            <w:shd w:val="clear" w:color="auto" w:fill="E6E6E6"/>
          </w:tcPr>
          <w:p w14:paraId="76D71F77" w14:textId="77777777" w:rsidR="009D3DC8" w:rsidRDefault="009D3DC8">
            <w:pPr>
              <w:pStyle w:val="TableText1"/>
              <w:rPr>
                <w:rFonts w:ascii="Arial" w:hAnsi="Arial" w:cs="Arial"/>
                <w:color w:val="auto"/>
                <w:szCs w:val="16"/>
              </w:rPr>
            </w:pPr>
            <w:r>
              <w:rPr>
                <w:rFonts w:ascii="Arial" w:hAnsi="Arial" w:cs="Arial"/>
                <w:b/>
                <w:color w:val="auto"/>
                <w:szCs w:val="16"/>
              </w:rPr>
              <w:t>Order Hypocreales</w:t>
            </w:r>
          </w:p>
        </w:tc>
      </w:tr>
      <w:tr w:rsidR="009D3DC8" w14:paraId="0838BFFA" w14:textId="77777777">
        <w:trPr>
          <w:cantSplit/>
          <w:jc w:val="center"/>
        </w:trPr>
        <w:tc>
          <w:tcPr>
            <w:tcW w:w="3039" w:type="dxa"/>
            <w:tcBorders>
              <w:bottom w:val="single" w:sz="2" w:space="0" w:color="auto"/>
              <w:right w:val="single" w:sz="2" w:space="0" w:color="999999"/>
            </w:tcBorders>
            <w:shd w:val="clear" w:color="auto" w:fill="FFFFFF"/>
          </w:tcPr>
          <w:p w14:paraId="48C7E285" w14:textId="77777777" w:rsidR="009D3DC8" w:rsidRDefault="009D3DC8">
            <w:pPr>
              <w:pStyle w:val="TableText"/>
              <w:spacing w:line="240" w:lineRule="auto"/>
              <w:rPr>
                <w:rFonts w:cs="Arial"/>
                <w:szCs w:val="16"/>
              </w:rPr>
            </w:pPr>
            <w:r>
              <w:rPr>
                <w:rFonts w:cs="Arial"/>
                <w:i/>
                <w:szCs w:val="16"/>
              </w:rPr>
              <w:t>Fusarium oxysporum</w:t>
            </w:r>
            <w:r>
              <w:rPr>
                <w:rFonts w:cs="Arial"/>
                <w:szCs w:val="16"/>
              </w:rPr>
              <w:t xml:space="preserve"> Schltdl.</w:t>
            </w:r>
          </w:p>
          <w:p w14:paraId="3749DFAF" w14:textId="77777777" w:rsidR="009D3DC8" w:rsidRDefault="009D3DC8">
            <w:pPr>
              <w:pStyle w:val="TableText"/>
              <w:spacing w:line="240" w:lineRule="auto"/>
              <w:rPr>
                <w:rFonts w:cs="Arial"/>
                <w:szCs w:val="16"/>
              </w:rPr>
            </w:pPr>
            <w:r>
              <w:rPr>
                <w:rFonts w:cs="Arial"/>
                <w:szCs w:val="16"/>
              </w:rPr>
              <w:t>[Hypocreales: Nectriaceae]</w:t>
            </w:r>
          </w:p>
          <w:p w14:paraId="28170E79" w14:textId="77777777" w:rsidR="009D3DC8" w:rsidRDefault="009D3DC8">
            <w:pPr>
              <w:pStyle w:val="TableText"/>
              <w:spacing w:line="240" w:lineRule="auto"/>
              <w:rPr>
                <w:rFonts w:cs="Arial"/>
                <w:i/>
                <w:szCs w:val="16"/>
              </w:rPr>
            </w:pPr>
            <w:r>
              <w:rPr>
                <w:rFonts w:cs="Arial"/>
                <w:szCs w:val="16"/>
              </w:rPr>
              <w:t xml:space="preserve">Fusarium wilt </w:t>
            </w:r>
          </w:p>
        </w:tc>
        <w:tc>
          <w:tcPr>
            <w:tcW w:w="2154" w:type="dxa"/>
            <w:gridSpan w:val="2"/>
            <w:tcBorders>
              <w:left w:val="single" w:sz="2" w:space="0" w:color="999999"/>
              <w:bottom w:val="single" w:sz="2" w:space="0" w:color="auto"/>
              <w:right w:val="single" w:sz="2" w:space="0" w:color="999999"/>
            </w:tcBorders>
            <w:shd w:val="clear" w:color="auto" w:fill="FFFFFF"/>
          </w:tcPr>
          <w:p w14:paraId="1792FFE4" w14:textId="77777777" w:rsidR="009D3DC8" w:rsidRDefault="009D3DC8">
            <w:pPr>
              <w:pStyle w:val="TableText"/>
              <w:spacing w:line="240" w:lineRule="auto"/>
              <w:rPr>
                <w:rFonts w:cs="Arial"/>
                <w:szCs w:val="16"/>
              </w:rPr>
            </w:pPr>
            <w:r>
              <w:rPr>
                <w:rFonts w:cs="Arial"/>
                <w:szCs w:val="16"/>
              </w:rPr>
              <w:t>Yes</w:t>
            </w:r>
          </w:p>
          <w:p w14:paraId="7D6F8FB0" w14:textId="77777777" w:rsidR="009D3DC8" w:rsidRDefault="009D3DC8">
            <w:pPr>
              <w:pStyle w:val="TableText1"/>
              <w:keepNext w:val="0"/>
              <w:rPr>
                <w:rFonts w:ascii="Arial" w:hAnsi="Arial" w:cs="Arial"/>
                <w:color w:val="auto"/>
                <w:szCs w:val="16"/>
              </w:rPr>
            </w:pPr>
            <w:r>
              <w:rPr>
                <w:rFonts w:ascii="Arial" w:hAnsi="Arial" w:cs="Arial"/>
                <w:szCs w:val="16"/>
              </w:rPr>
              <w:t>(CABI 2011)</w:t>
            </w:r>
          </w:p>
        </w:tc>
        <w:tc>
          <w:tcPr>
            <w:tcW w:w="2670" w:type="dxa"/>
            <w:tcBorders>
              <w:left w:val="single" w:sz="2" w:space="0" w:color="999999"/>
              <w:bottom w:val="single" w:sz="2" w:space="0" w:color="auto"/>
              <w:right w:val="single" w:sz="2" w:space="0" w:color="999999"/>
            </w:tcBorders>
            <w:shd w:val="clear" w:color="auto" w:fill="FFFFFF"/>
          </w:tcPr>
          <w:p w14:paraId="3BE8462E" w14:textId="77777777" w:rsidR="009D3DC8" w:rsidRDefault="009D3DC8">
            <w:pPr>
              <w:pStyle w:val="TableText"/>
              <w:spacing w:line="240" w:lineRule="auto"/>
              <w:rPr>
                <w:rFonts w:cs="Arial"/>
                <w:szCs w:val="16"/>
              </w:rPr>
            </w:pPr>
            <w:r>
              <w:rPr>
                <w:rFonts w:cs="Arial"/>
                <w:szCs w:val="16"/>
              </w:rPr>
              <w:t>Yes</w:t>
            </w:r>
          </w:p>
          <w:p w14:paraId="58D91446" w14:textId="77777777" w:rsidR="009D3DC8" w:rsidRDefault="009D3DC8">
            <w:pPr>
              <w:pStyle w:val="TableText1"/>
              <w:keepNext w:val="0"/>
              <w:rPr>
                <w:rFonts w:ascii="Arial" w:hAnsi="Arial" w:cs="Arial"/>
                <w:color w:val="auto"/>
                <w:szCs w:val="16"/>
              </w:rPr>
            </w:pPr>
            <w:r>
              <w:rPr>
                <w:rFonts w:ascii="Arial" w:hAnsi="Arial" w:cs="Arial"/>
                <w:szCs w:val="16"/>
              </w:rPr>
              <w:t>Intercepted in Australia on fresh mangosteen fruit from Thailand.</w:t>
            </w:r>
          </w:p>
        </w:tc>
        <w:tc>
          <w:tcPr>
            <w:tcW w:w="2007" w:type="dxa"/>
            <w:tcBorders>
              <w:left w:val="single" w:sz="2" w:space="0" w:color="999999"/>
              <w:bottom w:val="single" w:sz="2" w:space="0" w:color="auto"/>
              <w:right w:val="single" w:sz="2" w:space="0" w:color="999999"/>
            </w:tcBorders>
            <w:shd w:val="clear" w:color="auto" w:fill="FFFFFF"/>
          </w:tcPr>
          <w:p w14:paraId="1AEB98CC" w14:textId="77777777" w:rsidR="009D3DC8" w:rsidRDefault="009D3DC8">
            <w:pPr>
              <w:pStyle w:val="TableText"/>
              <w:spacing w:line="240" w:lineRule="auto"/>
              <w:rPr>
                <w:rFonts w:cs="Arial"/>
                <w:szCs w:val="16"/>
              </w:rPr>
            </w:pPr>
            <w:r>
              <w:rPr>
                <w:rFonts w:cs="Arial"/>
                <w:szCs w:val="16"/>
              </w:rPr>
              <w:t>Yes</w:t>
            </w:r>
          </w:p>
          <w:p w14:paraId="5B519C01" w14:textId="77777777" w:rsidR="009D3DC8" w:rsidRDefault="009D3DC8">
            <w:pPr>
              <w:pStyle w:val="TableText"/>
              <w:spacing w:line="240" w:lineRule="auto"/>
              <w:rPr>
                <w:rFonts w:cs="Arial"/>
                <w:szCs w:val="16"/>
              </w:rPr>
            </w:pPr>
            <w:r>
              <w:rPr>
                <w:rFonts w:cs="Arial"/>
                <w:szCs w:val="16"/>
              </w:rPr>
              <w:t>All states and territories (APPD 2011)</w:t>
            </w:r>
          </w:p>
        </w:tc>
        <w:tc>
          <w:tcPr>
            <w:tcW w:w="2537" w:type="dxa"/>
            <w:tcBorders>
              <w:left w:val="single" w:sz="2" w:space="0" w:color="999999"/>
              <w:bottom w:val="single" w:sz="2" w:space="0" w:color="auto"/>
              <w:right w:val="single" w:sz="2" w:space="0" w:color="999999"/>
            </w:tcBorders>
            <w:shd w:val="clear" w:color="auto" w:fill="FFFFFF"/>
          </w:tcPr>
          <w:p w14:paraId="64DAC0A8"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371DD542"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1179" w:type="dxa"/>
            <w:gridSpan w:val="2"/>
            <w:tcBorders>
              <w:left w:val="single" w:sz="2" w:space="0" w:color="999999"/>
              <w:bottom w:val="single" w:sz="2" w:space="0" w:color="auto"/>
            </w:tcBorders>
            <w:shd w:val="clear" w:color="auto" w:fill="FFFFFF"/>
          </w:tcPr>
          <w:p w14:paraId="0E8B11DB" w14:textId="77777777" w:rsidR="009D3DC8" w:rsidRDefault="009D3DC8">
            <w:pPr>
              <w:pStyle w:val="TableText1"/>
              <w:keepNext w:val="0"/>
              <w:rPr>
                <w:rFonts w:ascii="Arial" w:hAnsi="Arial" w:cs="Arial"/>
                <w:color w:val="auto"/>
                <w:szCs w:val="16"/>
              </w:rPr>
            </w:pPr>
            <w:r>
              <w:rPr>
                <w:rFonts w:ascii="Arial" w:hAnsi="Arial" w:cs="Arial"/>
                <w:szCs w:val="16"/>
              </w:rPr>
              <w:t>No</w:t>
            </w:r>
          </w:p>
        </w:tc>
      </w:tr>
      <w:tr w:rsidR="009D3DC8" w14:paraId="74FAFC0A" w14:textId="77777777">
        <w:trPr>
          <w:cantSplit/>
          <w:jc w:val="center"/>
        </w:trPr>
        <w:tc>
          <w:tcPr>
            <w:tcW w:w="3039" w:type="dxa"/>
            <w:tcBorders>
              <w:bottom w:val="single" w:sz="2" w:space="0" w:color="auto"/>
              <w:right w:val="single" w:sz="2" w:space="0" w:color="999999"/>
            </w:tcBorders>
            <w:shd w:val="clear" w:color="auto" w:fill="FFFFFF"/>
          </w:tcPr>
          <w:p w14:paraId="04297CE4" w14:textId="77777777" w:rsidR="009D3DC8" w:rsidRDefault="009D3DC8">
            <w:pPr>
              <w:pStyle w:val="TableText"/>
              <w:spacing w:line="240" w:lineRule="auto"/>
              <w:rPr>
                <w:rFonts w:cs="Arial"/>
                <w:szCs w:val="16"/>
              </w:rPr>
            </w:pPr>
            <w:r>
              <w:rPr>
                <w:rFonts w:cs="Arial"/>
                <w:i/>
                <w:szCs w:val="16"/>
              </w:rPr>
              <w:lastRenderedPageBreak/>
              <w:t>Fusarium solani</w:t>
            </w:r>
            <w:r>
              <w:rPr>
                <w:rFonts w:cs="Arial"/>
                <w:szCs w:val="16"/>
              </w:rPr>
              <w:t xml:space="preserve"> (Mart.) Sacc.</w:t>
            </w:r>
          </w:p>
          <w:p w14:paraId="46A8EA9A" w14:textId="77777777" w:rsidR="009D3DC8" w:rsidRDefault="009D3DC8">
            <w:pPr>
              <w:pStyle w:val="TableText"/>
              <w:spacing w:line="240" w:lineRule="auto"/>
              <w:rPr>
                <w:rFonts w:cs="Arial"/>
                <w:szCs w:val="16"/>
              </w:rPr>
            </w:pPr>
            <w:r>
              <w:rPr>
                <w:rFonts w:cs="Arial"/>
                <w:szCs w:val="16"/>
              </w:rPr>
              <w:t xml:space="preserve">Teleomorph: </w:t>
            </w:r>
            <w:r>
              <w:rPr>
                <w:rFonts w:cs="Arial"/>
                <w:i/>
                <w:szCs w:val="16"/>
              </w:rPr>
              <w:t>Haematonectria haematococca</w:t>
            </w:r>
            <w:r>
              <w:rPr>
                <w:rFonts w:cs="Arial"/>
                <w:szCs w:val="16"/>
              </w:rPr>
              <w:t xml:space="preserve"> (Berk. &amp; Broome) Samuels &amp; Rossman </w:t>
            </w:r>
          </w:p>
          <w:p w14:paraId="593D037D" w14:textId="77777777" w:rsidR="009D3DC8" w:rsidRDefault="009D3DC8">
            <w:pPr>
              <w:pStyle w:val="TableText"/>
              <w:spacing w:line="240" w:lineRule="auto"/>
              <w:rPr>
                <w:rFonts w:cs="Arial"/>
                <w:i/>
                <w:szCs w:val="16"/>
              </w:rPr>
            </w:pPr>
            <w:r>
              <w:rPr>
                <w:rFonts w:cs="Arial"/>
                <w:szCs w:val="16"/>
              </w:rPr>
              <w:t>[Hypocreales: Nectriaceae]</w:t>
            </w:r>
          </w:p>
        </w:tc>
        <w:tc>
          <w:tcPr>
            <w:tcW w:w="2154" w:type="dxa"/>
            <w:gridSpan w:val="2"/>
            <w:tcBorders>
              <w:left w:val="single" w:sz="2" w:space="0" w:color="999999"/>
              <w:bottom w:val="single" w:sz="2" w:space="0" w:color="auto"/>
              <w:right w:val="single" w:sz="2" w:space="0" w:color="999999"/>
            </w:tcBorders>
            <w:shd w:val="clear" w:color="auto" w:fill="FFFFFF"/>
          </w:tcPr>
          <w:p w14:paraId="14BBC1AE" w14:textId="77777777" w:rsidR="009D3DC8" w:rsidRDefault="009D3DC8">
            <w:pPr>
              <w:pStyle w:val="TableText"/>
              <w:spacing w:line="240" w:lineRule="auto"/>
              <w:rPr>
                <w:rFonts w:cs="Arial"/>
                <w:szCs w:val="16"/>
              </w:rPr>
            </w:pPr>
            <w:r>
              <w:rPr>
                <w:rFonts w:cs="Arial"/>
                <w:szCs w:val="16"/>
              </w:rPr>
              <w:t>Yes</w:t>
            </w:r>
          </w:p>
          <w:p w14:paraId="0201FFF0" w14:textId="77777777" w:rsidR="009D3DC8" w:rsidRDefault="009D3DC8">
            <w:pPr>
              <w:pStyle w:val="TableText1"/>
              <w:keepNext w:val="0"/>
              <w:rPr>
                <w:rFonts w:ascii="Arial" w:hAnsi="Arial" w:cs="Arial"/>
                <w:color w:val="auto"/>
                <w:szCs w:val="16"/>
              </w:rPr>
            </w:pPr>
            <w:r>
              <w:rPr>
                <w:rFonts w:ascii="Arial" w:hAnsi="Arial" w:cs="Arial"/>
                <w:szCs w:val="16"/>
              </w:rPr>
              <w:t>(Farr and Rossman 2011)</w:t>
            </w:r>
          </w:p>
        </w:tc>
        <w:tc>
          <w:tcPr>
            <w:tcW w:w="2670" w:type="dxa"/>
            <w:tcBorders>
              <w:left w:val="single" w:sz="2" w:space="0" w:color="999999"/>
              <w:bottom w:val="single" w:sz="2" w:space="0" w:color="auto"/>
              <w:right w:val="single" w:sz="2" w:space="0" w:color="999999"/>
            </w:tcBorders>
            <w:shd w:val="clear" w:color="auto" w:fill="FFFFFF"/>
          </w:tcPr>
          <w:p w14:paraId="21C457DB" w14:textId="77777777" w:rsidR="009D3DC8" w:rsidRDefault="009D3DC8">
            <w:pPr>
              <w:pStyle w:val="TableText"/>
              <w:spacing w:line="240" w:lineRule="auto"/>
              <w:rPr>
                <w:rFonts w:cs="Arial"/>
                <w:szCs w:val="16"/>
              </w:rPr>
            </w:pPr>
            <w:r>
              <w:rPr>
                <w:rFonts w:cs="Arial"/>
                <w:szCs w:val="16"/>
              </w:rPr>
              <w:t>Yes</w:t>
            </w:r>
          </w:p>
          <w:p w14:paraId="046B32D9" w14:textId="77777777" w:rsidR="009D3DC8" w:rsidRDefault="009D3DC8">
            <w:pPr>
              <w:pStyle w:val="TableText1"/>
              <w:keepNext w:val="0"/>
              <w:rPr>
                <w:rFonts w:ascii="Arial" w:hAnsi="Arial" w:cs="Arial"/>
                <w:color w:val="auto"/>
                <w:szCs w:val="16"/>
              </w:rPr>
            </w:pPr>
            <w:r>
              <w:rPr>
                <w:rFonts w:ascii="Arial" w:hAnsi="Arial" w:cs="Arial"/>
                <w:szCs w:val="16"/>
              </w:rPr>
              <w:t>Affects bark, root and fruit (Farr and Rossman 2011).</w:t>
            </w:r>
          </w:p>
        </w:tc>
        <w:tc>
          <w:tcPr>
            <w:tcW w:w="2007" w:type="dxa"/>
            <w:tcBorders>
              <w:left w:val="single" w:sz="2" w:space="0" w:color="999999"/>
              <w:bottom w:val="single" w:sz="2" w:space="0" w:color="auto"/>
              <w:right w:val="single" w:sz="2" w:space="0" w:color="999999"/>
            </w:tcBorders>
            <w:shd w:val="clear" w:color="auto" w:fill="FFFFFF"/>
          </w:tcPr>
          <w:p w14:paraId="1F8A617C" w14:textId="77777777" w:rsidR="009D3DC8" w:rsidRDefault="009D3DC8">
            <w:pPr>
              <w:pStyle w:val="TableText"/>
              <w:spacing w:line="240" w:lineRule="auto"/>
              <w:rPr>
                <w:rFonts w:cs="Arial"/>
                <w:szCs w:val="16"/>
              </w:rPr>
            </w:pPr>
            <w:r>
              <w:rPr>
                <w:rFonts w:cs="Arial"/>
                <w:szCs w:val="16"/>
              </w:rPr>
              <w:t>Yes</w:t>
            </w:r>
          </w:p>
          <w:p w14:paraId="1ACAA3CC" w14:textId="77777777" w:rsidR="009D3DC8" w:rsidRDefault="009D3DC8">
            <w:pPr>
              <w:pStyle w:val="TableText"/>
              <w:spacing w:line="240" w:lineRule="auto"/>
              <w:rPr>
                <w:rFonts w:cs="Arial"/>
                <w:szCs w:val="16"/>
              </w:rPr>
            </w:pPr>
            <w:r>
              <w:rPr>
                <w:rFonts w:cs="Arial"/>
                <w:szCs w:val="16"/>
              </w:rPr>
              <w:t>All states and territories (APPD 2011)</w:t>
            </w:r>
          </w:p>
        </w:tc>
        <w:tc>
          <w:tcPr>
            <w:tcW w:w="2537" w:type="dxa"/>
            <w:tcBorders>
              <w:left w:val="single" w:sz="2" w:space="0" w:color="999999"/>
              <w:bottom w:val="single" w:sz="2" w:space="0" w:color="auto"/>
              <w:right w:val="single" w:sz="2" w:space="0" w:color="999999"/>
            </w:tcBorders>
            <w:shd w:val="clear" w:color="auto" w:fill="FFFFFF"/>
          </w:tcPr>
          <w:p w14:paraId="6AFA831A"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27846CEA" w14:textId="77777777" w:rsidR="009D3DC8" w:rsidRDefault="009D3DC8">
            <w:pPr>
              <w:pStyle w:val="TableText1"/>
              <w:keepNext w:val="0"/>
              <w:rPr>
                <w:rFonts w:ascii="Arial" w:hAnsi="Arial" w:cs="Arial"/>
                <w:color w:val="auto"/>
                <w:szCs w:val="16"/>
              </w:rPr>
            </w:pPr>
            <w:r>
              <w:rPr>
                <w:rFonts w:ascii="Arial" w:hAnsi="Arial" w:cs="Arial"/>
                <w:szCs w:val="16"/>
              </w:rPr>
              <w:t>Assessment not required</w:t>
            </w:r>
          </w:p>
        </w:tc>
        <w:tc>
          <w:tcPr>
            <w:tcW w:w="1179" w:type="dxa"/>
            <w:gridSpan w:val="2"/>
            <w:tcBorders>
              <w:left w:val="single" w:sz="2" w:space="0" w:color="999999"/>
              <w:bottom w:val="single" w:sz="2" w:space="0" w:color="auto"/>
            </w:tcBorders>
            <w:shd w:val="clear" w:color="auto" w:fill="FFFFFF"/>
          </w:tcPr>
          <w:p w14:paraId="1E531936" w14:textId="77777777" w:rsidR="009D3DC8" w:rsidRDefault="009D3DC8">
            <w:pPr>
              <w:pStyle w:val="TableText1"/>
              <w:keepNext w:val="0"/>
              <w:rPr>
                <w:rFonts w:ascii="Arial" w:hAnsi="Arial" w:cs="Arial"/>
                <w:color w:val="auto"/>
                <w:szCs w:val="16"/>
              </w:rPr>
            </w:pPr>
            <w:r>
              <w:rPr>
                <w:rFonts w:ascii="Arial" w:hAnsi="Arial" w:cs="Arial"/>
                <w:szCs w:val="16"/>
              </w:rPr>
              <w:t>No</w:t>
            </w:r>
          </w:p>
        </w:tc>
      </w:tr>
      <w:tr w:rsidR="009D3DC8" w14:paraId="3CC08103" w14:textId="77777777">
        <w:trPr>
          <w:cantSplit/>
          <w:trHeight w:val="75"/>
          <w:jc w:val="center"/>
        </w:trPr>
        <w:tc>
          <w:tcPr>
            <w:tcW w:w="15840" w:type="dxa"/>
            <w:gridSpan w:val="9"/>
            <w:tcBorders>
              <w:bottom w:val="single" w:sz="2" w:space="0" w:color="auto"/>
            </w:tcBorders>
            <w:shd w:val="clear" w:color="auto" w:fill="E6E6E6"/>
          </w:tcPr>
          <w:p w14:paraId="5BA3FA27" w14:textId="77777777" w:rsidR="009D3DC8" w:rsidRDefault="009D3DC8">
            <w:pPr>
              <w:pStyle w:val="TableText1"/>
              <w:rPr>
                <w:rFonts w:ascii="Arial" w:hAnsi="Arial" w:cs="Arial"/>
                <w:color w:val="auto"/>
                <w:szCs w:val="16"/>
              </w:rPr>
            </w:pPr>
            <w:r>
              <w:rPr>
                <w:rFonts w:ascii="Arial" w:hAnsi="Arial" w:cs="Arial"/>
                <w:b/>
                <w:color w:val="auto"/>
                <w:szCs w:val="16"/>
              </w:rPr>
              <w:t>Order Phyllachorales</w:t>
            </w:r>
          </w:p>
        </w:tc>
      </w:tr>
      <w:tr w:rsidR="009D3DC8" w14:paraId="7D57B17D" w14:textId="77777777">
        <w:trPr>
          <w:cantSplit/>
          <w:jc w:val="center"/>
        </w:trPr>
        <w:tc>
          <w:tcPr>
            <w:tcW w:w="3039" w:type="dxa"/>
            <w:tcBorders>
              <w:bottom w:val="single" w:sz="2" w:space="0" w:color="auto"/>
              <w:right w:val="single" w:sz="2" w:space="0" w:color="999999"/>
            </w:tcBorders>
            <w:shd w:val="clear" w:color="auto" w:fill="FFFFFF"/>
          </w:tcPr>
          <w:p w14:paraId="40221792" w14:textId="77777777" w:rsidR="009D3DC8" w:rsidRDefault="009D3DC8">
            <w:pPr>
              <w:pStyle w:val="TableText"/>
              <w:spacing w:line="240" w:lineRule="auto"/>
              <w:rPr>
                <w:rFonts w:cs="Arial"/>
                <w:szCs w:val="16"/>
              </w:rPr>
            </w:pPr>
            <w:r>
              <w:rPr>
                <w:rFonts w:cs="Arial"/>
                <w:i/>
                <w:szCs w:val="16"/>
              </w:rPr>
              <w:t>Colletotrichum gloeosporioides</w:t>
            </w:r>
            <w:r>
              <w:rPr>
                <w:rFonts w:cs="Arial"/>
                <w:szCs w:val="16"/>
              </w:rPr>
              <w:t xml:space="preserve"> (Penz.) Penz. &amp; Sacc.</w:t>
            </w:r>
          </w:p>
          <w:p w14:paraId="76EF20D1" w14:textId="77777777" w:rsidR="009D3DC8" w:rsidRDefault="009D3DC8">
            <w:pPr>
              <w:pStyle w:val="TableText"/>
              <w:spacing w:line="240" w:lineRule="auto"/>
              <w:rPr>
                <w:rFonts w:cs="Arial"/>
                <w:szCs w:val="16"/>
              </w:rPr>
            </w:pPr>
            <w:r>
              <w:rPr>
                <w:rFonts w:cs="Arial"/>
                <w:szCs w:val="16"/>
              </w:rPr>
              <w:t xml:space="preserve">Teleomorph: </w:t>
            </w:r>
            <w:r>
              <w:rPr>
                <w:rFonts w:cs="Arial"/>
                <w:i/>
                <w:szCs w:val="16"/>
              </w:rPr>
              <w:t>Glomerella cingulata</w:t>
            </w:r>
            <w:r>
              <w:rPr>
                <w:rFonts w:cs="Arial"/>
                <w:szCs w:val="16"/>
              </w:rPr>
              <w:t xml:space="preserve"> (Stoneman) Spauld. &amp; H. Schrenk </w:t>
            </w:r>
          </w:p>
          <w:p w14:paraId="4ECAD787" w14:textId="77777777" w:rsidR="009D3DC8" w:rsidRDefault="009D3DC8">
            <w:pPr>
              <w:pStyle w:val="TableText"/>
              <w:spacing w:line="240" w:lineRule="auto"/>
              <w:rPr>
                <w:rFonts w:cs="Arial"/>
                <w:szCs w:val="16"/>
              </w:rPr>
            </w:pPr>
            <w:r>
              <w:rPr>
                <w:rFonts w:cs="Arial"/>
                <w:szCs w:val="16"/>
              </w:rPr>
              <w:t>[Phyllachorales: Phyllachoraceae]</w:t>
            </w:r>
          </w:p>
          <w:p w14:paraId="56BB3B92" w14:textId="77777777" w:rsidR="009D3DC8" w:rsidRDefault="009D3DC8">
            <w:pPr>
              <w:pStyle w:val="TableText"/>
              <w:spacing w:line="240" w:lineRule="auto"/>
              <w:rPr>
                <w:rFonts w:cs="Arial"/>
                <w:i/>
                <w:szCs w:val="16"/>
              </w:rPr>
            </w:pPr>
            <w:r>
              <w:rPr>
                <w:rFonts w:cs="Arial"/>
                <w:szCs w:val="16"/>
              </w:rPr>
              <w:t>Anthracnose</w:t>
            </w:r>
          </w:p>
        </w:tc>
        <w:tc>
          <w:tcPr>
            <w:tcW w:w="2154" w:type="dxa"/>
            <w:gridSpan w:val="2"/>
            <w:tcBorders>
              <w:left w:val="single" w:sz="2" w:space="0" w:color="999999"/>
              <w:bottom w:val="single" w:sz="2" w:space="0" w:color="auto"/>
              <w:right w:val="single" w:sz="2" w:space="0" w:color="999999"/>
            </w:tcBorders>
            <w:shd w:val="clear" w:color="auto" w:fill="FFFFFF"/>
          </w:tcPr>
          <w:p w14:paraId="67E92E9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77AD8642" w14:textId="77777777" w:rsidR="009D3DC8" w:rsidRDefault="009D3DC8">
            <w:pPr>
              <w:pStyle w:val="TableText"/>
              <w:spacing w:line="240" w:lineRule="auto"/>
              <w:rPr>
                <w:rFonts w:cs="Arial"/>
                <w:szCs w:val="16"/>
              </w:rPr>
            </w:pPr>
            <w:r>
              <w:rPr>
                <w:rFonts w:cs="Arial"/>
                <w:szCs w:val="16"/>
              </w:rPr>
              <w:t>(Shivas</w:t>
            </w:r>
            <w:r>
              <w:rPr>
                <w:rFonts w:cs="Arial"/>
                <w:i/>
                <w:szCs w:val="16"/>
              </w:rPr>
              <w:t xml:space="preserve"> et al.</w:t>
            </w:r>
            <w:r>
              <w:rPr>
                <w:rFonts w:cs="Arial"/>
                <w:szCs w:val="16"/>
              </w:rPr>
              <w:t xml:space="preserve"> 1996)</w:t>
            </w:r>
          </w:p>
        </w:tc>
        <w:tc>
          <w:tcPr>
            <w:tcW w:w="2670" w:type="dxa"/>
            <w:tcBorders>
              <w:left w:val="single" w:sz="2" w:space="0" w:color="999999"/>
              <w:bottom w:val="single" w:sz="2" w:space="0" w:color="auto"/>
              <w:right w:val="single" w:sz="2" w:space="0" w:color="999999"/>
            </w:tcBorders>
            <w:shd w:val="clear" w:color="auto" w:fill="FFFFFF"/>
          </w:tcPr>
          <w:p w14:paraId="57049AA5" w14:textId="77777777" w:rsidR="009D3DC8" w:rsidRDefault="009D3DC8">
            <w:pPr>
              <w:spacing w:before="60" w:after="60" w:line="240" w:lineRule="auto"/>
              <w:rPr>
                <w:rFonts w:ascii="Arial" w:hAnsi="Arial" w:cs="Arial"/>
                <w:sz w:val="16"/>
                <w:szCs w:val="16"/>
              </w:rPr>
            </w:pPr>
            <w:r>
              <w:rPr>
                <w:rFonts w:ascii="Arial" w:hAnsi="Arial" w:cs="Arial"/>
                <w:sz w:val="16"/>
                <w:szCs w:val="16"/>
              </w:rPr>
              <w:t>Yes</w:t>
            </w:r>
          </w:p>
          <w:p w14:paraId="66AD91C4" w14:textId="77777777" w:rsidR="009D3DC8" w:rsidRDefault="009D3DC8">
            <w:pPr>
              <w:pStyle w:val="TableText"/>
              <w:spacing w:line="240" w:lineRule="auto"/>
              <w:rPr>
                <w:rFonts w:cs="Arial"/>
                <w:szCs w:val="16"/>
              </w:rPr>
            </w:pPr>
            <w:r>
              <w:rPr>
                <w:rFonts w:cs="Arial"/>
                <w:szCs w:val="16"/>
              </w:rPr>
              <w:t>Occurs on stem, fruits and leaves (Osman and Milan 2006).</w:t>
            </w:r>
          </w:p>
        </w:tc>
        <w:tc>
          <w:tcPr>
            <w:tcW w:w="2007" w:type="dxa"/>
            <w:tcBorders>
              <w:left w:val="single" w:sz="2" w:space="0" w:color="999999"/>
              <w:bottom w:val="single" w:sz="2" w:space="0" w:color="auto"/>
              <w:right w:val="single" w:sz="2" w:space="0" w:color="999999"/>
            </w:tcBorders>
            <w:shd w:val="clear" w:color="auto" w:fill="FFFFFF"/>
          </w:tcPr>
          <w:p w14:paraId="2BBE06A3" w14:textId="77777777" w:rsidR="009D3DC8" w:rsidRDefault="009D3DC8">
            <w:pPr>
              <w:pStyle w:val="PlainText"/>
              <w:spacing w:before="60" w:after="60"/>
              <w:rPr>
                <w:rFonts w:ascii="Arial" w:hAnsi="Arial" w:cs="Arial"/>
                <w:sz w:val="16"/>
                <w:szCs w:val="16"/>
              </w:rPr>
            </w:pPr>
            <w:r>
              <w:rPr>
                <w:rFonts w:ascii="Arial" w:hAnsi="Arial" w:cs="Arial"/>
                <w:sz w:val="16"/>
                <w:szCs w:val="16"/>
              </w:rPr>
              <w:t>Yes</w:t>
            </w:r>
          </w:p>
          <w:p w14:paraId="34116D6A" w14:textId="77777777" w:rsidR="009D3DC8" w:rsidRDefault="009D3DC8">
            <w:pPr>
              <w:pStyle w:val="PlainText"/>
              <w:spacing w:before="60" w:after="60"/>
              <w:rPr>
                <w:rFonts w:ascii="Arial" w:hAnsi="Arial" w:cs="Arial"/>
                <w:sz w:val="16"/>
                <w:szCs w:val="16"/>
              </w:rPr>
            </w:pPr>
            <w:r>
              <w:rPr>
                <w:rFonts w:ascii="Arial" w:hAnsi="Arial" w:cs="Arial"/>
                <w:sz w:val="16"/>
                <w:szCs w:val="16"/>
              </w:rPr>
              <w:t>All states and territories (APPD 2011)</w:t>
            </w:r>
          </w:p>
        </w:tc>
        <w:tc>
          <w:tcPr>
            <w:tcW w:w="2537" w:type="dxa"/>
            <w:tcBorders>
              <w:left w:val="single" w:sz="2" w:space="0" w:color="999999"/>
              <w:bottom w:val="single" w:sz="2" w:space="0" w:color="auto"/>
              <w:right w:val="single" w:sz="2" w:space="0" w:color="999999"/>
            </w:tcBorders>
            <w:shd w:val="clear" w:color="auto" w:fill="FFFFFF"/>
          </w:tcPr>
          <w:p w14:paraId="1B9F38F4" w14:textId="77777777" w:rsidR="009D3DC8" w:rsidRDefault="009D3DC8">
            <w:pPr>
              <w:pStyle w:val="TableText1"/>
              <w:keepNext w:val="0"/>
              <w:rPr>
                <w:rFonts w:ascii="Arial" w:hAnsi="Arial" w:cs="Arial"/>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46589A05" w14:textId="77777777" w:rsidR="009D3DC8" w:rsidRDefault="009D3DC8">
            <w:pPr>
              <w:pStyle w:val="TableText1"/>
              <w:keepNext w:val="0"/>
              <w:rPr>
                <w:rFonts w:ascii="Arial" w:hAnsi="Arial" w:cs="Arial"/>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50198031" w14:textId="77777777" w:rsidR="009D3DC8" w:rsidRDefault="009D3DC8">
            <w:pPr>
              <w:pStyle w:val="TableText1"/>
              <w:keepNext w:val="0"/>
              <w:rPr>
                <w:rFonts w:ascii="Arial" w:hAnsi="Arial" w:cs="Arial"/>
                <w:szCs w:val="16"/>
              </w:rPr>
            </w:pPr>
            <w:r>
              <w:rPr>
                <w:rFonts w:ascii="Arial" w:hAnsi="Arial" w:cs="Arial"/>
                <w:color w:val="auto"/>
                <w:szCs w:val="16"/>
              </w:rPr>
              <w:t>No</w:t>
            </w:r>
          </w:p>
        </w:tc>
      </w:tr>
      <w:tr w:rsidR="009D3DC8" w14:paraId="5EA446DB" w14:textId="77777777">
        <w:trPr>
          <w:cantSplit/>
          <w:trHeight w:val="75"/>
          <w:jc w:val="center"/>
        </w:trPr>
        <w:tc>
          <w:tcPr>
            <w:tcW w:w="15840" w:type="dxa"/>
            <w:gridSpan w:val="9"/>
            <w:tcBorders>
              <w:bottom w:val="single" w:sz="2" w:space="0" w:color="auto"/>
            </w:tcBorders>
            <w:shd w:val="clear" w:color="auto" w:fill="E6E6E6"/>
          </w:tcPr>
          <w:p w14:paraId="2840F283" w14:textId="77777777" w:rsidR="009D3DC8" w:rsidRDefault="009D3DC8">
            <w:pPr>
              <w:pStyle w:val="TableText1"/>
              <w:rPr>
                <w:rFonts w:ascii="Arial" w:hAnsi="Arial" w:cs="Arial"/>
                <w:color w:val="auto"/>
                <w:szCs w:val="16"/>
              </w:rPr>
            </w:pPr>
            <w:r>
              <w:rPr>
                <w:rFonts w:ascii="Arial" w:hAnsi="Arial" w:cs="Arial"/>
                <w:b/>
                <w:color w:val="auto"/>
                <w:szCs w:val="16"/>
              </w:rPr>
              <w:t>Order Xylariales</w:t>
            </w:r>
          </w:p>
        </w:tc>
      </w:tr>
      <w:tr w:rsidR="009D3DC8" w14:paraId="75FEB4B2" w14:textId="77777777">
        <w:trPr>
          <w:cantSplit/>
          <w:jc w:val="center"/>
        </w:trPr>
        <w:tc>
          <w:tcPr>
            <w:tcW w:w="3039" w:type="dxa"/>
            <w:tcBorders>
              <w:bottom w:val="single" w:sz="2" w:space="0" w:color="auto"/>
              <w:right w:val="single" w:sz="2" w:space="0" w:color="999999"/>
            </w:tcBorders>
            <w:shd w:val="clear" w:color="auto" w:fill="FFFFFF"/>
          </w:tcPr>
          <w:p w14:paraId="5F3F3365" w14:textId="77777777" w:rsidR="009D3DC8" w:rsidRDefault="009D3DC8">
            <w:pPr>
              <w:pStyle w:val="TableText"/>
              <w:spacing w:line="240" w:lineRule="auto"/>
              <w:rPr>
                <w:rFonts w:cs="Arial"/>
                <w:szCs w:val="16"/>
              </w:rPr>
            </w:pPr>
            <w:r>
              <w:rPr>
                <w:rFonts w:cs="Arial"/>
                <w:i/>
                <w:szCs w:val="16"/>
              </w:rPr>
              <w:t>Pestalotia flagisetula</w:t>
            </w:r>
            <w:r>
              <w:rPr>
                <w:rFonts w:cs="Arial"/>
                <w:szCs w:val="16"/>
              </w:rPr>
              <w:t xml:space="preserve"> Guba</w:t>
            </w:r>
          </w:p>
          <w:p w14:paraId="16A3A2DA" w14:textId="77777777" w:rsidR="009D3DC8" w:rsidRDefault="009D3DC8">
            <w:pPr>
              <w:pStyle w:val="TableText"/>
              <w:spacing w:line="240" w:lineRule="auto"/>
              <w:rPr>
                <w:rFonts w:cs="Arial"/>
                <w:szCs w:val="16"/>
              </w:rPr>
            </w:pPr>
            <w:r>
              <w:rPr>
                <w:rFonts w:cs="Arial"/>
                <w:szCs w:val="16"/>
              </w:rPr>
              <w:t>[Xylariales: Amphisphaeriaceae]</w:t>
            </w:r>
          </w:p>
          <w:p w14:paraId="1EAB5406" w14:textId="77777777" w:rsidR="009D3DC8" w:rsidRDefault="009D3DC8">
            <w:pPr>
              <w:pStyle w:val="TableText"/>
              <w:spacing w:line="240" w:lineRule="auto"/>
              <w:rPr>
                <w:rFonts w:cs="Arial"/>
                <w:szCs w:val="16"/>
              </w:rPr>
            </w:pPr>
            <w:r>
              <w:rPr>
                <w:rFonts w:cs="Arial"/>
                <w:szCs w:val="16"/>
              </w:rPr>
              <w:t>Leaf spot</w:t>
            </w:r>
          </w:p>
        </w:tc>
        <w:tc>
          <w:tcPr>
            <w:tcW w:w="2154" w:type="dxa"/>
            <w:gridSpan w:val="2"/>
            <w:tcBorders>
              <w:left w:val="single" w:sz="2" w:space="0" w:color="999999"/>
              <w:bottom w:val="single" w:sz="2" w:space="0" w:color="auto"/>
              <w:right w:val="single" w:sz="2" w:space="0" w:color="999999"/>
            </w:tcBorders>
            <w:shd w:val="clear" w:color="auto" w:fill="FFFFFF"/>
          </w:tcPr>
          <w:p w14:paraId="2DC320F4"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31D40204" w14:textId="77777777" w:rsidR="009D3DC8" w:rsidRDefault="009D3DC8">
            <w:pPr>
              <w:pStyle w:val="TableText1"/>
              <w:keepNext w:val="0"/>
              <w:rPr>
                <w:rFonts w:ascii="Arial" w:hAnsi="Arial" w:cs="Arial"/>
                <w:color w:val="auto"/>
                <w:szCs w:val="16"/>
              </w:rPr>
            </w:pPr>
            <w:r>
              <w:rPr>
                <w:rFonts w:ascii="Arial" w:hAnsi="Arial" w:cs="Arial"/>
                <w:color w:val="auto"/>
                <w:szCs w:val="16"/>
              </w:rPr>
              <w:t>(Rahayu and Sari 2011)</w:t>
            </w:r>
          </w:p>
        </w:tc>
        <w:tc>
          <w:tcPr>
            <w:tcW w:w="2670" w:type="dxa"/>
            <w:tcBorders>
              <w:left w:val="single" w:sz="2" w:space="0" w:color="999999"/>
              <w:bottom w:val="single" w:sz="2" w:space="0" w:color="auto"/>
              <w:right w:val="single" w:sz="2" w:space="0" w:color="999999"/>
            </w:tcBorders>
            <w:shd w:val="clear" w:color="auto" w:fill="FFFFFF"/>
          </w:tcPr>
          <w:p w14:paraId="2D5E10F9"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CBDD8CE" w14:textId="77777777" w:rsidR="009D3DC8" w:rsidRDefault="009D3DC8">
            <w:pPr>
              <w:pStyle w:val="TableText1"/>
              <w:keepNext w:val="0"/>
              <w:rPr>
                <w:rFonts w:ascii="Arial" w:hAnsi="Arial" w:cs="Arial"/>
                <w:color w:val="auto"/>
                <w:szCs w:val="16"/>
              </w:rPr>
            </w:pPr>
            <w:r>
              <w:rPr>
                <w:rFonts w:ascii="Arial" w:hAnsi="Arial" w:cs="Arial"/>
                <w:color w:val="auto"/>
                <w:szCs w:val="16"/>
              </w:rPr>
              <w:t>Infects fruit and leaves. A weak pathogen or secondary invader that causes post-harvest rot in fruits that were bruised or damaged during harvest (Osman and Milan 2006).</w:t>
            </w:r>
          </w:p>
        </w:tc>
        <w:tc>
          <w:tcPr>
            <w:tcW w:w="2007" w:type="dxa"/>
            <w:tcBorders>
              <w:left w:val="single" w:sz="2" w:space="0" w:color="999999"/>
              <w:bottom w:val="single" w:sz="2" w:space="0" w:color="auto"/>
              <w:right w:val="single" w:sz="2" w:space="0" w:color="999999"/>
            </w:tcBorders>
            <w:shd w:val="clear" w:color="auto" w:fill="FFFFFF"/>
          </w:tcPr>
          <w:p w14:paraId="6A332116"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689496B" w14:textId="77777777" w:rsidR="009D3DC8" w:rsidRDefault="009D3DC8">
            <w:pPr>
              <w:pStyle w:val="TableText1"/>
              <w:keepNext w:val="0"/>
              <w:rPr>
                <w:rFonts w:ascii="Arial" w:hAnsi="Arial" w:cs="Arial"/>
                <w:color w:val="auto"/>
                <w:szCs w:val="16"/>
              </w:rPr>
            </w:pPr>
            <w:r>
              <w:rPr>
                <w:rFonts w:ascii="Arial" w:hAnsi="Arial" w:cs="Arial"/>
                <w:color w:val="auto"/>
                <w:szCs w:val="16"/>
              </w:rPr>
              <w:t>(Lim and Sangchote 2003)</w:t>
            </w:r>
          </w:p>
        </w:tc>
        <w:tc>
          <w:tcPr>
            <w:tcW w:w="2537" w:type="dxa"/>
            <w:tcBorders>
              <w:left w:val="single" w:sz="2" w:space="0" w:color="999999"/>
              <w:bottom w:val="single" w:sz="2" w:space="0" w:color="auto"/>
              <w:right w:val="single" w:sz="2" w:space="0" w:color="999999"/>
            </w:tcBorders>
            <w:shd w:val="clear" w:color="auto" w:fill="FFFFFF"/>
          </w:tcPr>
          <w:p w14:paraId="1BD27473"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73CA2CCD"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2E25AA30"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23816A0E" w14:textId="77777777">
        <w:trPr>
          <w:cantSplit/>
          <w:jc w:val="center"/>
        </w:trPr>
        <w:tc>
          <w:tcPr>
            <w:tcW w:w="3039" w:type="dxa"/>
            <w:tcBorders>
              <w:bottom w:val="single" w:sz="2" w:space="0" w:color="auto"/>
              <w:right w:val="single" w:sz="2" w:space="0" w:color="999999"/>
            </w:tcBorders>
            <w:shd w:val="clear" w:color="auto" w:fill="FFFFFF"/>
          </w:tcPr>
          <w:p w14:paraId="476718E2" w14:textId="77777777" w:rsidR="009D3DC8" w:rsidRDefault="009D3DC8">
            <w:pPr>
              <w:pStyle w:val="TableText"/>
              <w:spacing w:line="240" w:lineRule="auto"/>
              <w:rPr>
                <w:rFonts w:cs="Arial"/>
                <w:szCs w:val="16"/>
              </w:rPr>
            </w:pPr>
            <w:r>
              <w:rPr>
                <w:rFonts w:cs="Arial"/>
                <w:i/>
                <w:szCs w:val="16"/>
              </w:rPr>
              <w:t xml:space="preserve">Pestalotiopsis </w:t>
            </w:r>
            <w:r>
              <w:rPr>
                <w:rFonts w:cs="Arial"/>
                <w:szCs w:val="16"/>
              </w:rPr>
              <w:t>sp.</w:t>
            </w:r>
          </w:p>
          <w:p w14:paraId="593278A2" w14:textId="77777777" w:rsidR="009D3DC8" w:rsidRDefault="009D3DC8">
            <w:pPr>
              <w:pStyle w:val="TableText"/>
              <w:spacing w:line="240" w:lineRule="auto"/>
              <w:rPr>
                <w:rFonts w:cs="Arial"/>
                <w:szCs w:val="16"/>
              </w:rPr>
            </w:pPr>
            <w:r>
              <w:rPr>
                <w:rFonts w:cs="Arial"/>
                <w:szCs w:val="16"/>
              </w:rPr>
              <w:t>[Xylariales: Amphisphaeriaceae]</w:t>
            </w:r>
          </w:p>
        </w:tc>
        <w:tc>
          <w:tcPr>
            <w:tcW w:w="2154" w:type="dxa"/>
            <w:gridSpan w:val="2"/>
            <w:tcBorders>
              <w:left w:val="single" w:sz="2" w:space="0" w:color="999999"/>
              <w:bottom w:val="single" w:sz="2" w:space="0" w:color="auto"/>
              <w:right w:val="single" w:sz="2" w:space="0" w:color="999999"/>
            </w:tcBorders>
            <w:shd w:val="clear" w:color="auto" w:fill="FFFFFF"/>
          </w:tcPr>
          <w:p w14:paraId="004AB33A"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4CCA596A" w14:textId="77777777" w:rsidR="009D3DC8" w:rsidRDefault="009D3DC8">
            <w:pPr>
              <w:pStyle w:val="TableText1"/>
              <w:keepNext w:val="0"/>
              <w:rPr>
                <w:rFonts w:ascii="Arial" w:hAnsi="Arial" w:cs="Arial"/>
                <w:color w:val="auto"/>
                <w:szCs w:val="16"/>
              </w:rPr>
            </w:pPr>
            <w:r>
              <w:rPr>
                <w:rFonts w:ascii="Arial" w:hAnsi="Arial" w:cs="Arial"/>
                <w:color w:val="auto"/>
                <w:szCs w:val="16"/>
              </w:rPr>
              <w:t>(Wibawa 2009)</w:t>
            </w:r>
          </w:p>
        </w:tc>
        <w:tc>
          <w:tcPr>
            <w:tcW w:w="2670" w:type="dxa"/>
            <w:tcBorders>
              <w:left w:val="single" w:sz="2" w:space="0" w:color="999999"/>
              <w:bottom w:val="single" w:sz="2" w:space="0" w:color="auto"/>
              <w:right w:val="single" w:sz="2" w:space="0" w:color="999999"/>
            </w:tcBorders>
            <w:shd w:val="clear" w:color="auto" w:fill="FFFFFF"/>
          </w:tcPr>
          <w:p w14:paraId="09D50AD5"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p w14:paraId="4D0D4EA4" w14:textId="77777777" w:rsidR="009D3DC8" w:rsidRDefault="009D3DC8">
            <w:pPr>
              <w:pStyle w:val="TableText1"/>
              <w:keepNext w:val="0"/>
              <w:rPr>
                <w:rFonts w:ascii="Arial" w:hAnsi="Arial" w:cs="Arial"/>
                <w:color w:val="auto"/>
                <w:szCs w:val="16"/>
              </w:rPr>
            </w:pPr>
            <w:r>
              <w:rPr>
                <w:rFonts w:ascii="Arial" w:hAnsi="Arial" w:cs="Arial"/>
                <w:color w:val="auto"/>
                <w:szCs w:val="16"/>
              </w:rPr>
              <w:t>Causes leaf spot (Wibawa 2009).</w:t>
            </w:r>
          </w:p>
        </w:tc>
        <w:tc>
          <w:tcPr>
            <w:tcW w:w="2007" w:type="dxa"/>
            <w:tcBorders>
              <w:left w:val="single" w:sz="2" w:space="0" w:color="999999"/>
              <w:bottom w:val="single" w:sz="2" w:space="0" w:color="auto"/>
              <w:right w:val="single" w:sz="2" w:space="0" w:color="999999"/>
            </w:tcBorders>
            <w:shd w:val="clear" w:color="auto" w:fill="FFFFFF"/>
          </w:tcPr>
          <w:p w14:paraId="128ECB70" w14:textId="77777777" w:rsidR="009D3DC8" w:rsidRDefault="009D3DC8">
            <w:pPr>
              <w:pStyle w:val="TableText1"/>
              <w:keepNext w:val="0"/>
              <w:rPr>
                <w:rFonts w:ascii="Arial" w:hAnsi="Arial" w:cs="Arial"/>
                <w:color w:val="auto"/>
                <w:szCs w:val="16"/>
              </w:rPr>
            </w:pPr>
            <w:r>
              <w:rPr>
                <w:rFonts w:ascii="Arial" w:hAnsi="Arial" w:cs="Arial"/>
                <w:color w:val="auto"/>
                <w:szCs w:val="16"/>
              </w:rPr>
              <w:t>Yes</w:t>
            </w:r>
          </w:p>
          <w:p w14:paraId="0B1F43B5" w14:textId="77777777" w:rsidR="009D3DC8" w:rsidRDefault="009D3DC8">
            <w:pPr>
              <w:pStyle w:val="TableText1"/>
              <w:keepNext w:val="0"/>
              <w:rPr>
                <w:rFonts w:ascii="Arial" w:hAnsi="Arial" w:cs="Arial"/>
                <w:color w:val="auto"/>
                <w:szCs w:val="16"/>
              </w:rPr>
            </w:pPr>
            <w:r>
              <w:rPr>
                <w:rFonts w:ascii="Arial" w:hAnsi="Arial" w:cs="Arial"/>
                <w:color w:val="auto"/>
                <w:szCs w:val="16"/>
              </w:rPr>
              <w:t>Various species are present in Australia (APPD 2011)</w:t>
            </w:r>
          </w:p>
        </w:tc>
        <w:tc>
          <w:tcPr>
            <w:tcW w:w="2537" w:type="dxa"/>
            <w:tcBorders>
              <w:left w:val="single" w:sz="2" w:space="0" w:color="999999"/>
              <w:bottom w:val="single" w:sz="2" w:space="0" w:color="auto"/>
              <w:right w:val="single" w:sz="2" w:space="0" w:color="999999"/>
            </w:tcBorders>
            <w:shd w:val="clear" w:color="auto" w:fill="FFFFFF"/>
          </w:tcPr>
          <w:p w14:paraId="49753D30"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31B92A63" w14:textId="77777777" w:rsidR="009D3DC8" w:rsidRDefault="009D3DC8">
            <w:pPr>
              <w:pStyle w:val="TableText1"/>
              <w:keepNext w:val="0"/>
              <w:rPr>
                <w:rFonts w:ascii="Arial" w:hAnsi="Arial" w:cs="Arial"/>
                <w:color w:val="auto"/>
                <w:szCs w:val="16"/>
              </w:rPr>
            </w:pPr>
            <w:r>
              <w:rPr>
                <w:rFonts w:ascii="Arial" w:hAnsi="Arial" w:cs="Arial"/>
                <w:color w:val="auto"/>
                <w:szCs w:val="16"/>
              </w:rPr>
              <w:t>Assessment not required</w:t>
            </w:r>
          </w:p>
        </w:tc>
        <w:tc>
          <w:tcPr>
            <w:tcW w:w="1179" w:type="dxa"/>
            <w:gridSpan w:val="2"/>
            <w:tcBorders>
              <w:left w:val="single" w:sz="2" w:space="0" w:color="999999"/>
              <w:bottom w:val="single" w:sz="2" w:space="0" w:color="auto"/>
            </w:tcBorders>
            <w:shd w:val="clear" w:color="auto" w:fill="FFFFFF"/>
          </w:tcPr>
          <w:p w14:paraId="279BEA8A" w14:textId="77777777" w:rsidR="009D3DC8" w:rsidRDefault="009D3DC8">
            <w:pPr>
              <w:pStyle w:val="TableText1"/>
              <w:keepNext w:val="0"/>
              <w:rPr>
                <w:rFonts w:ascii="Arial" w:hAnsi="Arial" w:cs="Arial"/>
                <w:color w:val="auto"/>
                <w:szCs w:val="16"/>
              </w:rPr>
            </w:pPr>
            <w:r>
              <w:rPr>
                <w:rFonts w:ascii="Arial" w:hAnsi="Arial" w:cs="Arial"/>
                <w:color w:val="auto"/>
                <w:szCs w:val="16"/>
              </w:rPr>
              <w:t>No</w:t>
            </w:r>
          </w:p>
        </w:tc>
      </w:tr>
      <w:tr w:rsidR="009D3DC8" w14:paraId="260180F5" w14:textId="77777777">
        <w:trPr>
          <w:cantSplit/>
          <w:trHeight w:val="75"/>
          <w:jc w:val="center"/>
        </w:trPr>
        <w:tc>
          <w:tcPr>
            <w:tcW w:w="15840" w:type="dxa"/>
            <w:gridSpan w:val="9"/>
            <w:tcBorders>
              <w:bottom w:val="single" w:sz="2" w:space="0" w:color="auto"/>
            </w:tcBorders>
            <w:shd w:val="clear" w:color="auto" w:fill="E6E6E6"/>
          </w:tcPr>
          <w:p w14:paraId="36CE5E39" w14:textId="77777777" w:rsidR="009D3DC8" w:rsidRDefault="009D3DC8">
            <w:pPr>
              <w:pStyle w:val="TableText1"/>
              <w:rPr>
                <w:rFonts w:ascii="Arial" w:hAnsi="Arial" w:cs="Arial"/>
                <w:color w:val="auto"/>
                <w:szCs w:val="16"/>
              </w:rPr>
            </w:pPr>
            <w:r>
              <w:rPr>
                <w:rFonts w:ascii="Arial" w:hAnsi="Arial" w:cs="Arial"/>
                <w:b/>
                <w:color w:val="auto"/>
                <w:szCs w:val="16"/>
              </w:rPr>
              <w:t>Order Unassigned</w:t>
            </w:r>
          </w:p>
        </w:tc>
      </w:tr>
      <w:tr w:rsidR="009D3DC8" w14:paraId="30E2D4FA" w14:textId="77777777">
        <w:trPr>
          <w:cantSplit/>
          <w:jc w:val="center"/>
        </w:trPr>
        <w:tc>
          <w:tcPr>
            <w:tcW w:w="3039" w:type="dxa"/>
            <w:tcBorders>
              <w:bottom w:val="single" w:sz="2" w:space="0" w:color="auto"/>
              <w:right w:val="single" w:sz="2" w:space="0" w:color="999999"/>
            </w:tcBorders>
            <w:shd w:val="clear" w:color="auto" w:fill="FFFFFF"/>
          </w:tcPr>
          <w:p w14:paraId="22BCFF16" w14:textId="77777777" w:rsidR="009D3DC8" w:rsidRDefault="009D3DC8">
            <w:pPr>
              <w:pStyle w:val="TableText"/>
              <w:spacing w:line="240" w:lineRule="auto"/>
              <w:rPr>
                <w:rFonts w:cs="Arial"/>
                <w:szCs w:val="16"/>
              </w:rPr>
            </w:pPr>
            <w:r>
              <w:rPr>
                <w:rFonts w:cs="Arial"/>
                <w:i/>
                <w:szCs w:val="16"/>
              </w:rPr>
              <w:t>Solicorynespora garciniae</w:t>
            </w:r>
            <w:r>
              <w:rPr>
                <w:rFonts w:cs="Arial"/>
                <w:szCs w:val="16"/>
              </w:rPr>
              <w:t xml:space="preserve"> (Petch) G. Delgado &amp; J. Mena</w:t>
            </w:r>
          </w:p>
          <w:p w14:paraId="4792BECA" w14:textId="77777777" w:rsidR="009D3DC8" w:rsidRDefault="009D3DC8">
            <w:pPr>
              <w:pStyle w:val="TableText"/>
              <w:spacing w:line="240" w:lineRule="auto"/>
              <w:rPr>
                <w:rFonts w:cs="Arial"/>
                <w:i/>
                <w:szCs w:val="16"/>
              </w:rPr>
            </w:pPr>
            <w:r>
              <w:rPr>
                <w:rFonts w:cs="Arial"/>
                <w:szCs w:val="16"/>
              </w:rPr>
              <w:t xml:space="preserve">[Incertae sedis: Incertae sedis] </w:t>
            </w:r>
          </w:p>
        </w:tc>
        <w:tc>
          <w:tcPr>
            <w:tcW w:w="2154" w:type="dxa"/>
            <w:gridSpan w:val="2"/>
            <w:tcBorders>
              <w:left w:val="single" w:sz="2" w:space="0" w:color="999999"/>
              <w:bottom w:val="single" w:sz="2" w:space="0" w:color="auto"/>
              <w:right w:val="single" w:sz="2" w:space="0" w:color="999999"/>
            </w:tcBorders>
            <w:shd w:val="clear" w:color="auto" w:fill="FFFFFF"/>
          </w:tcPr>
          <w:p w14:paraId="63AE3661" w14:textId="77777777" w:rsidR="009D3DC8" w:rsidRDefault="009D3DC8">
            <w:pPr>
              <w:pStyle w:val="TableText"/>
              <w:spacing w:line="240" w:lineRule="auto"/>
              <w:rPr>
                <w:rFonts w:cs="Arial"/>
                <w:szCs w:val="16"/>
              </w:rPr>
            </w:pPr>
            <w:r>
              <w:rPr>
                <w:rFonts w:cs="Arial"/>
                <w:szCs w:val="16"/>
              </w:rPr>
              <w:t>Yes</w:t>
            </w:r>
          </w:p>
          <w:p w14:paraId="2D690FC4" w14:textId="77777777" w:rsidR="009D3DC8" w:rsidRDefault="009D3DC8">
            <w:pPr>
              <w:pStyle w:val="TableText"/>
              <w:spacing w:line="240" w:lineRule="auto"/>
              <w:rPr>
                <w:rFonts w:cs="Arial"/>
                <w:szCs w:val="16"/>
              </w:rPr>
            </w:pPr>
            <w:r>
              <w:rPr>
                <w:rFonts w:cs="Arial"/>
                <w:szCs w:val="16"/>
              </w:rPr>
              <w:t>(Wibawa 2009)</w:t>
            </w:r>
          </w:p>
        </w:tc>
        <w:tc>
          <w:tcPr>
            <w:tcW w:w="2670" w:type="dxa"/>
            <w:tcBorders>
              <w:left w:val="single" w:sz="2" w:space="0" w:color="999999"/>
              <w:bottom w:val="single" w:sz="2" w:space="0" w:color="auto"/>
              <w:right w:val="single" w:sz="2" w:space="0" w:color="999999"/>
            </w:tcBorders>
            <w:shd w:val="clear" w:color="auto" w:fill="FFFFFF"/>
          </w:tcPr>
          <w:p w14:paraId="328E9497" w14:textId="77777777" w:rsidR="009D3DC8" w:rsidRDefault="009D3DC8">
            <w:pPr>
              <w:pStyle w:val="TableText"/>
              <w:spacing w:line="240" w:lineRule="auto"/>
              <w:rPr>
                <w:rFonts w:cs="Arial"/>
                <w:szCs w:val="16"/>
              </w:rPr>
            </w:pPr>
            <w:r>
              <w:rPr>
                <w:rFonts w:cs="Arial"/>
                <w:szCs w:val="16"/>
              </w:rPr>
              <w:t>No</w:t>
            </w:r>
          </w:p>
          <w:p w14:paraId="22E73C26" w14:textId="77777777" w:rsidR="009D3DC8" w:rsidRDefault="009D3DC8">
            <w:pPr>
              <w:pStyle w:val="TableText"/>
              <w:spacing w:line="240" w:lineRule="auto"/>
              <w:rPr>
                <w:rFonts w:cs="Arial"/>
                <w:szCs w:val="16"/>
              </w:rPr>
            </w:pPr>
            <w:r>
              <w:rPr>
                <w:rFonts w:cs="Arial"/>
                <w:szCs w:val="16"/>
              </w:rPr>
              <w:t>Affects the leaves (Wibawa 2009).</w:t>
            </w:r>
          </w:p>
        </w:tc>
        <w:tc>
          <w:tcPr>
            <w:tcW w:w="2007" w:type="dxa"/>
            <w:tcBorders>
              <w:left w:val="single" w:sz="2" w:space="0" w:color="999999"/>
              <w:bottom w:val="single" w:sz="2" w:space="0" w:color="auto"/>
              <w:right w:val="single" w:sz="2" w:space="0" w:color="999999"/>
            </w:tcBorders>
            <w:shd w:val="clear" w:color="auto" w:fill="FFFFFF"/>
          </w:tcPr>
          <w:p w14:paraId="1BFB48BC" w14:textId="77777777" w:rsidR="009D3DC8" w:rsidRDefault="009D3DC8">
            <w:pPr>
              <w:pStyle w:val="TableText"/>
              <w:spacing w:line="240" w:lineRule="auto"/>
              <w:rPr>
                <w:rFonts w:cs="Arial"/>
                <w:szCs w:val="16"/>
              </w:rPr>
            </w:pPr>
            <w:r>
              <w:rPr>
                <w:rFonts w:cs="Arial"/>
                <w:szCs w:val="16"/>
              </w:rPr>
              <w:t xml:space="preserve">No records found </w:t>
            </w:r>
          </w:p>
        </w:tc>
        <w:tc>
          <w:tcPr>
            <w:tcW w:w="2537" w:type="dxa"/>
            <w:tcBorders>
              <w:left w:val="single" w:sz="2" w:space="0" w:color="999999"/>
              <w:bottom w:val="single" w:sz="2" w:space="0" w:color="auto"/>
              <w:right w:val="single" w:sz="2" w:space="0" w:color="999999"/>
            </w:tcBorders>
            <w:shd w:val="clear" w:color="auto" w:fill="FFFFFF"/>
          </w:tcPr>
          <w:p w14:paraId="1222205A"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423FDE2F"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273B8179" w14:textId="77777777" w:rsidR="009D3DC8" w:rsidRDefault="009D3DC8">
            <w:pPr>
              <w:pStyle w:val="TableText"/>
              <w:spacing w:line="240" w:lineRule="auto"/>
              <w:rPr>
                <w:rFonts w:cs="Arial"/>
                <w:szCs w:val="16"/>
              </w:rPr>
            </w:pPr>
            <w:r>
              <w:rPr>
                <w:rFonts w:cs="Arial"/>
                <w:szCs w:val="16"/>
              </w:rPr>
              <w:t>No</w:t>
            </w:r>
          </w:p>
        </w:tc>
      </w:tr>
      <w:tr w:rsidR="009D3DC8" w14:paraId="762C489E" w14:textId="77777777">
        <w:trPr>
          <w:cantSplit/>
          <w:trHeight w:val="75"/>
          <w:jc w:val="center"/>
        </w:trPr>
        <w:tc>
          <w:tcPr>
            <w:tcW w:w="15840" w:type="dxa"/>
            <w:gridSpan w:val="9"/>
            <w:tcBorders>
              <w:bottom w:val="single" w:sz="2" w:space="0" w:color="auto"/>
            </w:tcBorders>
            <w:shd w:val="clear" w:color="auto" w:fill="E0E0E0"/>
          </w:tcPr>
          <w:p w14:paraId="09114261" w14:textId="77777777" w:rsidR="009D3DC8" w:rsidRDefault="009D3DC8">
            <w:pPr>
              <w:pStyle w:val="TableText1"/>
              <w:rPr>
                <w:rFonts w:ascii="Arial" w:hAnsi="Arial" w:cs="Arial"/>
                <w:color w:val="auto"/>
                <w:szCs w:val="16"/>
              </w:rPr>
            </w:pPr>
            <w:r>
              <w:rPr>
                <w:rFonts w:ascii="Arial" w:hAnsi="Arial" w:cs="Arial"/>
                <w:b/>
                <w:color w:val="auto"/>
                <w:szCs w:val="16"/>
              </w:rPr>
              <w:lastRenderedPageBreak/>
              <w:t>Class Zygomycetes</w:t>
            </w:r>
          </w:p>
        </w:tc>
      </w:tr>
      <w:tr w:rsidR="009D3DC8" w14:paraId="1C367981" w14:textId="77777777">
        <w:trPr>
          <w:cantSplit/>
          <w:trHeight w:val="75"/>
          <w:jc w:val="center"/>
        </w:trPr>
        <w:tc>
          <w:tcPr>
            <w:tcW w:w="15840" w:type="dxa"/>
            <w:gridSpan w:val="9"/>
            <w:tcBorders>
              <w:bottom w:val="single" w:sz="2" w:space="0" w:color="auto"/>
            </w:tcBorders>
            <w:shd w:val="clear" w:color="auto" w:fill="E6E6E6"/>
          </w:tcPr>
          <w:p w14:paraId="1BEADD3F" w14:textId="77777777" w:rsidR="009D3DC8" w:rsidRDefault="009D3DC8">
            <w:pPr>
              <w:pStyle w:val="TableText1"/>
              <w:rPr>
                <w:rFonts w:ascii="Arial" w:hAnsi="Arial" w:cs="Arial"/>
                <w:color w:val="auto"/>
                <w:szCs w:val="16"/>
              </w:rPr>
            </w:pPr>
            <w:r>
              <w:rPr>
                <w:rFonts w:ascii="Arial" w:hAnsi="Arial" w:cs="Arial"/>
                <w:b/>
                <w:color w:val="auto"/>
                <w:szCs w:val="16"/>
              </w:rPr>
              <w:t>Order Mucorales</w:t>
            </w:r>
          </w:p>
        </w:tc>
      </w:tr>
      <w:tr w:rsidR="009D3DC8" w14:paraId="377C6E6D" w14:textId="77777777">
        <w:trPr>
          <w:cantSplit/>
          <w:jc w:val="center"/>
        </w:trPr>
        <w:tc>
          <w:tcPr>
            <w:tcW w:w="3039" w:type="dxa"/>
            <w:tcBorders>
              <w:bottom w:val="single" w:sz="2" w:space="0" w:color="auto"/>
              <w:right w:val="single" w:sz="2" w:space="0" w:color="999999"/>
            </w:tcBorders>
            <w:shd w:val="clear" w:color="auto" w:fill="FFFFFF"/>
          </w:tcPr>
          <w:p w14:paraId="70E00581" w14:textId="77777777" w:rsidR="009D3DC8" w:rsidRDefault="009D3DC8">
            <w:pPr>
              <w:pStyle w:val="TableText"/>
              <w:spacing w:line="240" w:lineRule="auto"/>
              <w:rPr>
                <w:rFonts w:cs="Arial"/>
                <w:szCs w:val="16"/>
              </w:rPr>
            </w:pPr>
            <w:r>
              <w:rPr>
                <w:rFonts w:cs="Arial"/>
                <w:i/>
                <w:szCs w:val="16"/>
              </w:rPr>
              <w:t>Rhizopus stolonifer</w:t>
            </w:r>
            <w:r>
              <w:rPr>
                <w:rFonts w:cs="Arial"/>
                <w:szCs w:val="16"/>
              </w:rPr>
              <w:t xml:space="preserve"> (Ehrenb.) Vuill.</w:t>
            </w:r>
          </w:p>
          <w:p w14:paraId="5D40162E" w14:textId="77777777" w:rsidR="009D3DC8" w:rsidRDefault="009D3DC8">
            <w:pPr>
              <w:pStyle w:val="TableText"/>
              <w:spacing w:line="240" w:lineRule="auto"/>
              <w:rPr>
                <w:rFonts w:cs="Arial"/>
                <w:szCs w:val="16"/>
              </w:rPr>
            </w:pPr>
            <w:r>
              <w:rPr>
                <w:rFonts w:cs="Arial"/>
                <w:szCs w:val="16"/>
              </w:rPr>
              <w:t>[Mucorales: Mucoraceae]</w:t>
            </w:r>
          </w:p>
          <w:p w14:paraId="7E9FC756" w14:textId="77777777" w:rsidR="009D3DC8" w:rsidRDefault="009D3DC8">
            <w:pPr>
              <w:pStyle w:val="TableText"/>
              <w:spacing w:line="240" w:lineRule="auto"/>
              <w:rPr>
                <w:rFonts w:cs="Arial"/>
                <w:i/>
                <w:szCs w:val="16"/>
              </w:rPr>
            </w:pPr>
            <w:r>
              <w:rPr>
                <w:rFonts w:cs="Arial"/>
                <w:szCs w:val="16"/>
              </w:rPr>
              <w:t xml:space="preserve">Fruit rot </w:t>
            </w:r>
          </w:p>
        </w:tc>
        <w:tc>
          <w:tcPr>
            <w:tcW w:w="2154" w:type="dxa"/>
            <w:gridSpan w:val="2"/>
            <w:tcBorders>
              <w:left w:val="single" w:sz="2" w:space="0" w:color="999999"/>
              <w:bottom w:val="single" w:sz="2" w:space="0" w:color="auto"/>
              <w:right w:val="single" w:sz="2" w:space="0" w:color="999999"/>
            </w:tcBorders>
            <w:shd w:val="clear" w:color="auto" w:fill="FFFFFF"/>
          </w:tcPr>
          <w:p w14:paraId="52AF2C45" w14:textId="77777777" w:rsidR="009D3DC8" w:rsidRDefault="009D3DC8">
            <w:pPr>
              <w:pStyle w:val="TableText"/>
              <w:spacing w:line="240" w:lineRule="auto"/>
              <w:rPr>
                <w:rFonts w:cs="Arial"/>
                <w:szCs w:val="16"/>
              </w:rPr>
            </w:pPr>
            <w:r>
              <w:rPr>
                <w:rFonts w:cs="Arial"/>
                <w:szCs w:val="16"/>
              </w:rPr>
              <w:t>Yes</w:t>
            </w:r>
          </w:p>
          <w:p w14:paraId="254240FD" w14:textId="77777777" w:rsidR="009D3DC8" w:rsidRDefault="009D3DC8">
            <w:pPr>
              <w:pStyle w:val="TableText"/>
              <w:spacing w:line="240" w:lineRule="auto"/>
              <w:rPr>
                <w:rFonts w:cs="Arial"/>
                <w:szCs w:val="16"/>
              </w:rPr>
            </w:pPr>
            <w:r>
              <w:rPr>
                <w:rFonts w:cs="Arial"/>
                <w:szCs w:val="16"/>
              </w:rPr>
              <w:t>(Astuti</w:t>
            </w:r>
            <w:r>
              <w:rPr>
                <w:rFonts w:cs="Arial"/>
                <w:i/>
                <w:szCs w:val="16"/>
              </w:rPr>
              <w:t xml:space="preserve"> et al.</w:t>
            </w:r>
            <w:r>
              <w:rPr>
                <w:rFonts w:cs="Arial"/>
                <w:szCs w:val="16"/>
              </w:rPr>
              <w:t xml:space="preserve"> 2000)</w:t>
            </w:r>
          </w:p>
        </w:tc>
        <w:tc>
          <w:tcPr>
            <w:tcW w:w="2670" w:type="dxa"/>
            <w:tcBorders>
              <w:left w:val="single" w:sz="2" w:space="0" w:color="999999"/>
              <w:bottom w:val="single" w:sz="2" w:space="0" w:color="auto"/>
              <w:right w:val="single" w:sz="2" w:space="0" w:color="999999"/>
            </w:tcBorders>
            <w:shd w:val="clear" w:color="auto" w:fill="FFFFFF"/>
          </w:tcPr>
          <w:p w14:paraId="79C3EF4A" w14:textId="77777777" w:rsidR="009D3DC8" w:rsidRDefault="009D3DC8">
            <w:pPr>
              <w:pStyle w:val="TableText"/>
              <w:spacing w:line="240" w:lineRule="auto"/>
              <w:rPr>
                <w:rFonts w:cs="Arial"/>
                <w:szCs w:val="16"/>
              </w:rPr>
            </w:pPr>
            <w:r>
              <w:rPr>
                <w:rFonts w:cs="Arial"/>
                <w:szCs w:val="16"/>
              </w:rPr>
              <w:t>Yes</w:t>
            </w:r>
          </w:p>
          <w:p w14:paraId="6CBFF1BA" w14:textId="77777777" w:rsidR="009D3DC8" w:rsidRDefault="009D3DC8">
            <w:pPr>
              <w:pStyle w:val="TableText"/>
              <w:spacing w:line="240" w:lineRule="auto"/>
              <w:rPr>
                <w:rFonts w:cs="Arial"/>
                <w:szCs w:val="16"/>
              </w:rPr>
            </w:pPr>
            <w:r>
              <w:rPr>
                <w:rFonts w:cs="Arial"/>
                <w:szCs w:val="16"/>
              </w:rPr>
              <w:t>Causes fruit rot (Farr and Rossman 2011). A post-harvest disease that causes hardening of the pericarp and decay of the aril (Yaacob and Tindall 1995).</w:t>
            </w:r>
          </w:p>
        </w:tc>
        <w:tc>
          <w:tcPr>
            <w:tcW w:w="2007" w:type="dxa"/>
            <w:tcBorders>
              <w:left w:val="single" w:sz="2" w:space="0" w:color="999999"/>
              <w:bottom w:val="single" w:sz="2" w:space="0" w:color="auto"/>
              <w:right w:val="single" w:sz="2" w:space="0" w:color="999999"/>
            </w:tcBorders>
            <w:shd w:val="clear" w:color="auto" w:fill="FFFFFF"/>
          </w:tcPr>
          <w:p w14:paraId="1AA9528D" w14:textId="77777777" w:rsidR="009D3DC8" w:rsidRDefault="009D3DC8">
            <w:pPr>
              <w:pStyle w:val="TableText"/>
              <w:spacing w:line="240" w:lineRule="auto"/>
              <w:rPr>
                <w:rFonts w:cs="Arial"/>
                <w:szCs w:val="16"/>
              </w:rPr>
            </w:pPr>
            <w:r>
              <w:rPr>
                <w:rFonts w:cs="Arial"/>
                <w:szCs w:val="16"/>
              </w:rPr>
              <w:t>Yes</w:t>
            </w:r>
          </w:p>
          <w:p w14:paraId="6CD0A6F0" w14:textId="77777777" w:rsidR="009D3DC8" w:rsidRDefault="009D3DC8">
            <w:pPr>
              <w:pStyle w:val="TableText"/>
              <w:spacing w:line="240" w:lineRule="auto"/>
              <w:rPr>
                <w:rFonts w:cs="Arial"/>
                <w:szCs w:val="16"/>
              </w:rPr>
            </w:pPr>
            <w:r>
              <w:rPr>
                <w:rFonts w:cs="Arial"/>
                <w:szCs w:val="16"/>
              </w:rPr>
              <w:t>All states and territories (APPD 2011)</w:t>
            </w:r>
          </w:p>
        </w:tc>
        <w:tc>
          <w:tcPr>
            <w:tcW w:w="2537" w:type="dxa"/>
            <w:tcBorders>
              <w:left w:val="single" w:sz="2" w:space="0" w:color="999999"/>
              <w:bottom w:val="single" w:sz="2" w:space="0" w:color="auto"/>
              <w:right w:val="single" w:sz="2" w:space="0" w:color="999999"/>
            </w:tcBorders>
            <w:shd w:val="clear" w:color="auto" w:fill="FFFFFF"/>
          </w:tcPr>
          <w:p w14:paraId="1BA13C7A"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1399CE65"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0E8FA367" w14:textId="77777777" w:rsidR="009D3DC8" w:rsidRDefault="009D3DC8">
            <w:pPr>
              <w:pStyle w:val="TableText"/>
              <w:spacing w:line="240" w:lineRule="auto"/>
              <w:rPr>
                <w:rFonts w:cs="Arial"/>
                <w:szCs w:val="16"/>
              </w:rPr>
            </w:pPr>
            <w:r>
              <w:rPr>
                <w:rFonts w:cs="Arial"/>
                <w:szCs w:val="16"/>
              </w:rPr>
              <w:t>No</w:t>
            </w:r>
          </w:p>
        </w:tc>
      </w:tr>
      <w:tr w:rsidR="009D3DC8" w14:paraId="470D88B7" w14:textId="77777777">
        <w:trPr>
          <w:cantSplit/>
          <w:jc w:val="center"/>
        </w:trPr>
        <w:tc>
          <w:tcPr>
            <w:tcW w:w="15840" w:type="dxa"/>
            <w:gridSpan w:val="9"/>
            <w:tcBorders>
              <w:bottom w:val="single" w:sz="2" w:space="0" w:color="auto"/>
            </w:tcBorders>
            <w:shd w:val="clear" w:color="auto" w:fill="E0E0E0"/>
          </w:tcPr>
          <w:p w14:paraId="3BA5146E" w14:textId="77777777" w:rsidR="009D3DC8" w:rsidRDefault="009D3DC8">
            <w:pPr>
              <w:pStyle w:val="TableText1"/>
              <w:rPr>
                <w:rFonts w:ascii="Arial" w:hAnsi="Arial" w:cs="Arial"/>
                <w:b/>
                <w:color w:val="auto"/>
                <w:szCs w:val="16"/>
              </w:rPr>
            </w:pPr>
            <w:r>
              <w:rPr>
                <w:rFonts w:ascii="Arial" w:hAnsi="Arial" w:cs="Arial"/>
                <w:b/>
                <w:szCs w:val="16"/>
              </w:rPr>
              <w:t>HETEROKONTOPHYTA: Ooymcetes</w:t>
            </w:r>
          </w:p>
        </w:tc>
      </w:tr>
      <w:tr w:rsidR="009D3DC8" w14:paraId="344B58C3" w14:textId="77777777">
        <w:trPr>
          <w:cantSplit/>
          <w:jc w:val="center"/>
        </w:trPr>
        <w:tc>
          <w:tcPr>
            <w:tcW w:w="15840" w:type="dxa"/>
            <w:gridSpan w:val="9"/>
            <w:tcBorders>
              <w:bottom w:val="single" w:sz="2" w:space="0" w:color="auto"/>
            </w:tcBorders>
            <w:shd w:val="clear" w:color="auto" w:fill="E6E6E6"/>
          </w:tcPr>
          <w:p w14:paraId="6D42BCA1" w14:textId="77777777" w:rsidR="009D3DC8" w:rsidRDefault="009D3DC8">
            <w:pPr>
              <w:pStyle w:val="TableText1"/>
              <w:rPr>
                <w:rFonts w:ascii="Arial" w:hAnsi="Arial" w:cs="Arial"/>
                <w:b/>
                <w:szCs w:val="16"/>
              </w:rPr>
            </w:pPr>
            <w:r>
              <w:rPr>
                <w:rFonts w:ascii="Arial" w:hAnsi="Arial" w:cs="Arial"/>
                <w:b/>
                <w:color w:val="auto"/>
                <w:szCs w:val="16"/>
              </w:rPr>
              <w:t>Order Peronosporales</w:t>
            </w:r>
          </w:p>
        </w:tc>
      </w:tr>
      <w:tr w:rsidR="009D3DC8" w14:paraId="43A9DC14" w14:textId="77777777">
        <w:trPr>
          <w:cantSplit/>
          <w:jc w:val="center"/>
        </w:trPr>
        <w:tc>
          <w:tcPr>
            <w:tcW w:w="3039" w:type="dxa"/>
            <w:tcBorders>
              <w:bottom w:val="single" w:sz="2" w:space="0" w:color="auto"/>
              <w:right w:val="single" w:sz="2" w:space="0" w:color="999999"/>
            </w:tcBorders>
            <w:shd w:val="clear" w:color="auto" w:fill="FFFFFF"/>
          </w:tcPr>
          <w:p w14:paraId="4998F673" w14:textId="77777777" w:rsidR="009D3DC8" w:rsidRDefault="009D3DC8">
            <w:pPr>
              <w:pStyle w:val="TableText"/>
              <w:spacing w:line="240" w:lineRule="auto"/>
              <w:rPr>
                <w:rFonts w:cs="Arial"/>
                <w:szCs w:val="16"/>
              </w:rPr>
            </w:pPr>
            <w:r>
              <w:rPr>
                <w:rFonts w:cs="Arial"/>
                <w:i/>
                <w:szCs w:val="16"/>
              </w:rPr>
              <w:t>Phytophthora palmivora</w:t>
            </w:r>
            <w:r>
              <w:rPr>
                <w:rFonts w:cs="Arial"/>
                <w:szCs w:val="16"/>
              </w:rPr>
              <w:t xml:space="preserve"> (E.J. Butler) E.J. Butler </w:t>
            </w:r>
          </w:p>
          <w:p w14:paraId="0C3369CE" w14:textId="77777777" w:rsidR="009D3DC8" w:rsidRDefault="009D3DC8">
            <w:pPr>
              <w:pStyle w:val="TableText"/>
              <w:spacing w:line="240" w:lineRule="auto"/>
              <w:rPr>
                <w:rFonts w:cs="Arial"/>
                <w:szCs w:val="16"/>
              </w:rPr>
            </w:pPr>
            <w:r>
              <w:rPr>
                <w:rFonts w:cs="Arial"/>
                <w:szCs w:val="16"/>
              </w:rPr>
              <w:t>[Peronosporales: Pythiaceae]</w:t>
            </w:r>
          </w:p>
        </w:tc>
        <w:tc>
          <w:tcPr>
            <w:tcW w:w="2154" w:type="dxa"/>
            <w:gridSpan w:val="2"/>
            <w:tcBorders>
              <w:left w:val="single" w:sz="2" w:space="0" w:color="999999"/>
              <w:bottom w:val="single" w:sz="2" w:space="0" w:color="auto"/>
              <w:right w:val="single" w:sz="2" w:space="0" w:color="999999"/>
            </w:tcBorders>
            <w:shd w:val="clear" w:color="auto" w:fill="FFFFFF"/>
          </w:tcPr>
          <w:p w14:paraId="2B6EB703" w14:textId="77777777" w:rsidR="009D3DC8" w:rsidRDefault="009D3DC8">
            <w:pPr>
              <w:pStyle w:val="TableText"/>
              <w:spacing w:line="240" w:lineRule="auto"/>
              <w:rPr>
                <w:rFonts w:cs="Arial"/>
                <w:szCs w:val="16"/>
              </w:rPr>
            </w:pPr>
            <w:r>
              <w:rPr>
                <w:rFonts w:cs="Arial"/>
                <w:szCs w:val="16"/>
              </w:rPr>
              <w:t>Yes</w:t>
            </w:r>
          </w:p>
          <w:p w14:paraId="516FCA40" w14:textId="77777777" w:rsidR="009D3DC8" w:rsidRDefault="009D3DC8">
            <w:pPr>
              <w:pStyle w:val="TableText"/>
              <w:spacing w:line="240" w:lineRule="auto"/>
              <w:rPr>
                <w:rFonts w:cs="Arial"/>
                <w:szCs w:val="16"/>
              </w:rPr>
            </w:pPr>
            <w:r>
              <w:rPr>
                <w:rFonts w:cs="Arial"/>
                <w:szCs w:val="16"/>
              </w:rPr>
              <w:t>(McMahon and Purwantara 2004)</w:t>
            </w:r>
          </w:p>
        </w:tc>
        <w:tc>
          <w:tcPr>
            <w:tcW w:w="2670" w:type="dxa"/>
            <w:tcBorders>
              <w:left w:val="single" w:sz="2" w:space="0" w:color="999999"/>
              <w:bottom w:val="single" w:sz="2" w:space="0" w:color="auto"/>
              <w:right w:val="single" w:sz="2" w:space="0" w:color="999999"/>
            </w:tcBorders>
            <w:shd w:val="clear" w:color="auto" w:fill="FFFFFF"/>
          </w:tcPr>
          <w:p w14:paraId="48AEE320" w14:textId="77777777" w:rsidR="009D3DC8" w:rsidRDefault="009D3DC8">
            <w:pPr>
              <w:pStyle w:val="TableText"/>
              <w:spacing w:line="240" w:lineRule="auto"/>
              <w:rPr>
                <w:rFonts w:cs="Arial"/>
                <w:szCs w:val="16"/>
              </w:rPr>
            </w:pPr>
            <w:r>
              <w:rPr>
                <w:rFonts w:cs="Arial"/>
                <w:szCs w:val="16"/>
              </w:rPr>
              <w:t>No</w:t>
            </w:r>
          </w:p>
          <w:p w14:paraId="784C0F59" w14:textId="77777777" w:rsidR="009D3DC8" w:rsidRDefault="009D3DC8">
            <w:pPr>
              <w:pStyle w:val="TableText"/>
              <w:spacing w:line="240" w:lineRule="auto"/>
              <w:rPr>
                <w:rFonts w:cs="Arial"/>
                <w:szCs w:val="16"/>
              </w:rPr>
            </w:pPr>
            <w:r>
              <w:rPr>
                <w:rFonts w:cs="Arial"/>
                <w:szCs w:val="16"/>
              </w:rPr>
              <w:t>Causes crown and root rot of mangosteen (Tsao</w:t>
            </w:r>
            <w:r>
              <w:rPr>
                <w:rFonts w:cs="Arial"/>
                <w:i/>
                <w:szCs w:val="16"/>
              </w:rPr>
              <w:t xml:space="preserve"> et al.</w:t>
            </w:r>
            <w:r>
              <w:rPr>
                <w:rFonts w:cs="Arial"/>
                <w:szCs w:val="16"/>
              </w:rPr>
              <w:t xml:space="preserve"> 1994; Portales 2011). However, known to cause bud, crown, fruit, heart and root rots of fruits and crops (Ploetz 2004). No records of association with the mangosteen fruit.</w:t>
            </w:r>
          </w:p>
        </w:tc>
        <w:tc>
          <w:tcPr>
            <w:tcW w:w="2007" w:type="dxa"/>
            <w:tcBorders>
              <w:left w:val="single" w:sz="2" w:space="0" w:color="999999"/>
              <w:bottom w:val="single" w:sz="2" w:space="0" w:color="auto"/>
              <w:right w:val="single" w:sz="2" w:space="0" w:color="999999"/>
            </w:tcBorders>
            <w:shd w:val="clear" w:color="auto" w:fill="FFFFFF"/>
          </w:tcPr>
          <w:p w14:paraId="18F5C989" w14:textId="77777777" w:rsidR="009D3DC8" w:rsidRDefault="009D3DC8">
            <w:pPr>
              <w:pStyle w:val="TableText"/>
              <w:spacing w:line="240" w:lineRule="auto"/>
              <w:rPr>
                <w:rFonts w:cs="Arial"/>
                <w:szCs w:val="16"/>
              </w:rPr>
            </w:pPr>
            <w:r>
              <w:rPr>
                <w:rFonts w:cs="Arial"/>
                <w:szCs w:val="16"/>
              </w:rPr>
              <w:t>Yes</w:t>
            </w:r>
          </w:p>
          <w:p w14:paraId="28415E85" w14:textId="77777777" w:rsidR="009D3DC8" w:rsidRDefault="009D3DC8">
            <w:pPr>
              <w:pStyle w:val="TableText"/>
              <w:spacing w:line="240" w:lineRule="auto"/>
              <w:rPr>
                <w:rFonts w:cs="Arial"/>
                <w:szCs w:val="16"/>
              </w:rPr>
            </w:pPr>
            <w:r>
              <w:rPr>
                <w:rFonts w:cs="Arial"/>
                <w:szCs w:val="16"/>
              </w:rPr>
              <w:t>NSW, NT, Qld, Vic., (APPD 2011)</w:t>
            </w:r>
          </w:p>
        </w:tc>
        <w:tc>
          <w:tcPr>
            <w:tcW w:w="2537" w:type="dxa"/>
            <w:tcBorders>
              <w:left w:val="single" w:sz="2" w:space="0" w:color="999999"/>
              <w:bottom w:val="single" w:sz="2" w:space="0" w:color="auto"/>
              <w:right w:val="single" w:sz="2" w:space="0" w:color="999999"/>
            </w:tcBorders>
            <w:shd w:val="clear" w:color="auto" w:fill="FFFFFF"/>
          </w:tcPr>
          <w:p w14:paraId="6ED3CE4F"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4E9E9D2B"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360046D3" w14:textId="77777777" w:rsidR="009D3DC8" w:rsidRDefault="009D3DC8">
            <w:pPr>
              <w:pStyle w:val="TableText"/>
              <w:spacing w:line="240" w:lineRule="auto"/>
              <w:rPr>
                <w:rFonts w:cs="Arial"/>
                <w:szCs w:val="16"/>
              </w:rPr>
            </w:pPr>
            <w:r>
              <w:rPr>
                <w:rFonts w:cs="Arial"/>
                <w:szCs w:val="16"/>
              </w:rPr>
              <w:t>No</w:t>
            </w:r>
          </w:p>
        </w:tc>
      </w:tr>
      <w:tr w:rsidR="009D3DC8" w14:paraId="732C0D00" w14:textId="77777777">
        <w:trPr>
          <w:cantSplit/>
          <w:jc w:val="center"/>
        </w:trPr>
        <w:tc>
          <w:tcPr>
            <w:tcW w:w="15840" w:type="dxa"/>
            <w:gridSpan w:val="9"/>
            <w:tcBorders>
              <w:bottom w:val="single" w:sz="2" w:space="0" w:color="auto"/>
            </w:tcBorders>
            <w:shd w:val="clear" w:color="auto" w:fill="E0E0E0"/>
          </w:tcPr>
          <w:p w14:paraId="666CB36B" w14:textId="77777777" w:rsidR="009D3DC8" w:rsidRDefault="009D3DC8">
            <w:pPr>
              <w:pStyle w:val="TableText1"/>
              <w:rPr>
                <w:rFonts w:ascii="Arial" w:hAnsi="Arial" w:cs="Arial"/>
                <w:b/>
                <w:color w:val="auto"/>
                <w:szCs w:val="16"/>
              </w:rPr>
            </w:pPr>
            <w:r>
              <w:rPr>
                <w:rFonts w:ascii="Arial" w:hAnsi="Arial" w:cs="Arial"/>
                <w:b/>
                <w:szCs w:val="16"/>
              </w:rPr>
              <w:t>PLANTAE: Ulvophyceae</w:t>
            </w:r>
          </w:p>
        </w:tc>
      </w:tr>
      <w:tr w:rsidR="009D3DC8" w14:paraId="7F313D59" w14:textId="77777777">
        <w:trPr>
          <w:cantSplit/>
          <w:jc w:val="center"/>
        </w:trPr>
        <w:tc>
          <w:tcPr>
            <w:tcW w:w="15840" w:type="dxa"/>
            <w:gridSpan w:val="9"/>
            <w:tcBorders>
              <w:bottom w:val="single" w:sz="2" w:space="0" w:color="auto"/>
            </w:tcBorders>
            <w:shd w:val="clear" w:color="auto" w:fill="E6E6E6"/>
          </w:tcPr>
          <w:p w14:paraId="7BFB9FE0" w14:textId="77777777" w:rsidR="009D3DC8" w:rsidRDefault="009D3DC8">
            <w:pPr>
              <w:pStyle w:val="TableText1"/>
              <w:rPr>
                <w:rFonts w:ascii="Arial" w:hAnsi="Arial" w:cs="Arial"/>
                <w:color w:val="auto"/>
                <w:szCs w:val="16"/>
              </w:rPr>
            </w:pPr>
            <w:r>
              <w:rPr>
                <w:rFonts w:ascii="Arial" w:hAnsi="Arial" w:cs="Arial"/>
                <w:b/>
                <w:color w:val="auto"/>
                <w:szCs w:val="16"/>
              </w:rPr>
              <w:t>Order Trentepohiales</w:t>
            </w:r>
          </w:p>
        </w:tc>
      </w:tr>
      <w:tr w:rsidR="009D3DC8" w14:paraId="13DD78A5" w14:textId="77777777">
        <w:trPr>
          <w:cantSplit/>
          <w:jc w:val="center"/>
        </w:trPr>
        <w:tc>
          <w:tcPr>
            <w:tcW w:w="3039" w:type="dxa"/>
            <w:tcBorders>
              <w:bottom w:val="single" w:sz="2" w:space="0" w:color="auto"/>
              <w:right w:val="single" w:sz="2" w:space="0" w:color="999999"/>
            </w:tcBorders>
            <w:shd w:val="clear" w:color="auto" w:fill="FFFFFF"/>
          </w:tcPr>
          <w:p w14:paraId="1F0B6B9B" w14:textId="77777777" w:rsidR="009D3DC8" w:rsidRDefault="009D3DC8">
            <w:pPr>
              <w:pStyle w:val="TableText"/>
              <w:spacing w:line="240" w:lineRule="auto"/>
              <w:rPr>
                <w:rFonts w:cs="Arial"/>
                <w:szCs w:val="16"/>
              </w:rPr>
            </w:pPr>
            <w:r>
              <w:rPr>
                <w:rFonts w:cs="Arial"/>
                <w:i/>
                <w:szCs w:val="16"/>
              </w:rPr>
              <w:t>Cephaleuros virescens</w:t>
            </w:r>
            <w:r>
              <w:rPr>
                <w:rFonts w:cs="Arial"/>
                <w:szCs w:val="16"/>
              </w:rPr>
              <w:t xml:space="preserve"> Künze</w:t>
            </w:r>
          </w:p>
          <w:p w14:paraId="142BDEEC" w14:textId="77777777" w:rsidR="009D3DC8" w:rsidRDefault="009D3DC8">
            <w:pPr>
              <w:pStyle w:val="TableText"/>
              <w:spacing w:line="240" w:lineRule="auto"/>
              <w:rPr>
                <w:rFonts w:cs="Arial"/>
                <w:szCs w:val="16"/>
              </w:rPr>
            </w:pPr>
            <w:r>
              <w:rPr>
                <w:rFonts w:cs="Arial"/>
                <w:szCs w:val="16"/>
              </w:rPr>
              <w:t>[Trentepohliales: Trentepohliaceae]</w:t>
            </w:r>
          </w:p>
          <w:p w14:paraId="7213AD64" w14:textId="77777777" w:rsidR="009D3DC8" w:rsidRDefault="009D3DC8">
            <w:pPr>
              <w:pStyle w:val="TableText"/>
              <w:spacing w:line="240" w:lineRule="auto"/>
              <w:rPr>
                <w:rFonts w:cs="Arial"/>
                <w:szCs w:val="16"/>
              </w:rPr>
            </w:pPr>
            <w:r>
              <w:rPr>
                <w:rFonts w:cs="Arial"/>
                <w:szCs w:val="16"/>
              </w:rPr>
              <w:t xml:space="preserve">Algal leaf spot </w:t>
            </w:r>
          </w:p>
        </w:tc>
        <w:tc>
          <w:tcPr>
            <w:tcW w:w="2154" w:type="dxa"/>
            <w:gridSpan w:val="2"/>
            <w:tcBorders>
              <w:left w:val="single" w:sz="2" w:space="0" w:color="999999"/>
              <w:bottom w:val="single" w:sz="2" w:space="0" w:color="auto"/>
              <w:right w:val="single" w:sz="2" w:space="0" w:color="999999"/>
            </w:tcBorders>
            <w:shd w:val="clear" w:color="auto" w:fill="FFFFFF"/>
          </w:tcPr>
          <w:p w14:paraId="77EFD53A" w14:textId="77777777" w:rsidR="009D3DC8" w:rsidRDefault="009D3DC8">
            <w:pPr>
              <w:pStyle w:val="TableText"/>
              <w:spacing w:line="240" w:lineRule="auto"/>
              <w:rPr>
                <w:rFonts w:cs="Arial"/>
                <w:szCs w:val="16"/>
              </w:rPr>
            </w:pPr>
            <w:r>
              <w:rPr>
                <w:rFonts w:cs="Arial"/>
                <w:szCs w:val="16"/>
              </w:rPr>
              <w:t>Yes</w:t>
            </w:r>
          </w:p>
          <w:p w14:paraId="46D414AC" w14:textId="77777777" w:rsidR="009D3DC8" w:rsidRDefault="009D3DC8">
            <w:pPr>
              <w:pStyle w:val="TableText"/>
              <w:spacing w:line="240" w:lineRule="auto"/>
              <w:rPr>
                <w:rFonts w:cs="Arial"/>
                <w:szCs w:val="16"/>
              </w:rPr>
            </w:pPr>
            <w:r>
              <w:rPr>
                <w:rFonts w:cs="Arial"/>
                <w:szCs w:val="16"/>
              </w:rPr>
              <w:t>(Semangun 2000)</w:t>
            </w:r>
          </w:p>
        </w:tc>
        <w:tc>
          <w:tcPr>
            <w:tcW w:w="2670" w:type="dxa"/>
            <w:tcBorders>
              <w:left w:val="single" w:sz="2" w:space="0" w:color="999999"/>
              <w:bottom w:val="single" w:sz="2" w:space="0" w:color="auto"/>
              <w:right w:val="single" w:sz="2" w:space="0" w:color="999999"/>
            </w:tcBorders>
            <w:shd w:val="clear" w:color="auto" w:fill="FFFFFF"/>
          </w:tcPr>
          <w:p w14:paraId="5129D50A" w14:textId="77777777" w:rsidR="009D3DC8" w:rsidRDefault="009D3DC8">
            <w:pPr>
              <w:pStyle w:val="TableText"/>
              <w:spacing w:line="240" w:lineRule="auto"/>
              <w:rPr>
                <w:rFonts w:cs="Arial"/>
                <w:szCs w:val="16"/>
              </w:rPr>
            </w:pPr>
            <w:r>
              <w:rPr>
                <w:rFonts w:cs="Arial"/>
                <w:szCs w:val="16"/>
              </w:rPr>
              <w:t>No</w:t>
            </w:r>
          </w:p>
          <w:p w14:paraId="4CDEB035" w14:textId="77777777" w:rsidR="009D3DC8" w:rsidRDefault="009D3DC8">
            <w:pPr>
              <w:pStyle w:val="TableText"/>
              <w:spacing w:line="240" w:lineRule="auto"/>
              <w:rPr>
                <w:rFonts w:cs="Arial"/>
                <w:szCs w:val="16"/>
              </w:rPr>
            </w:pPr>
            <w:r>
              <w:rPr>
                <w:rFonts w:cs="Arial"/>
                <w:szCs w:val="16"/>
              </w:rPr>
              <w:t xml:space="preserve">Affects leaves by forming prominent spots of varying diameter that causes degeneration and discoloration of the host cells (Lim and Sangchote 2003). </w:t>
            </w:r>
          </w:p>
        </w:tc>
        <w:tc>
          <w:tcPr>
            <w:tcW w:w="2007" w:type="dxa"/>
            <w:tcBorders>
              <w:left w:val="single" w:sz="2" w:space="0" w:color="999999"/>
              <w:bottom w:val="single" w:sz="2" w:space="0" w:color="auto"/>
              <w:right w:val="single" w:sz="2" w:space="0" w:color="999999"/>
            </w:tcBorders>
            <w:shd w:val="clear" w:color="auto" w:fill="FFFFFF"/>
          </w:tcPr>
          <w:p w14:paraId="161AB759" w14:textId="77777777" w:rsidR="009D3DC8" w:rsidRDefault="009D3DC8">
            <w:pPr>
              <w:pStyle w:val="TableText"/>
              <w:spacing w:line="240" w:lineRule="auto"/>
              <w:rPr>
                <w:rFonts w:cs="Arial"/>
                <w:szCs w:val="16"/>
              </w:rPr>
            </w:pPr>
            <w:r>
              <w:rPr>
                <w:rFonts w:cs="Arial"/>
                <w:szCs w:val="16"/>
              </w:rPr>
              <w:t>Yes</w:t>
            </w:r>
          </w:p>
          <w:p w14:paraId="19F89FDC" w14:textId="77777777" w:rsidR="009D3DC8" w:rsidRDefault="009D3DC8">
            <w:pPr>
              <w:pStyle w:val="TableText"/>
              <w:spacing w:line="240" w:lineRule="auto"/>
              <w:rPr>
                <w:rFonts w:cs="Arial"/>
                <w:szCs w:val="16"/>
              </w:rPr>
            </w:pPr>
            <w:r>
              <w:rPr>
                <w:rFonts w:cs="Arial"/>
                <w:szCs w:val="16"/>
              </w:rPr>
              <w:t>NSW, NT, Qld, Vic., WA (APPD 2011)</w:t>
            </w:r>
          </w:p>
        </w:tc>
        <w:tc>
          <w:tcPr>
            <w:tcW w:w="2537" w:type="dxa"/>
            <w:tcBorders>
              <w:left w:val="single" w:sz="2" w:space="0" w:color="999999"/>
              <w:bottom w:val="single" w:sz="2" w:space="0" w:color="auto"/>
              <w:right w:val="single" w:sz="2" w:space="0" w:color="999999"/>
            </w:tcBorders>
            <w:shd w:val="clear" w:color="auto" w:fill="FFFFFF"/>
          </w:tcPr>
          <w:p w14:paraId="72197C2F" w14:textId="77777777" w:rsidR="009D3DC8" w:rsidRDefault="009D3DC8">
            <w:pPr>
              <w:pStyle w:val="TableText"/>
              <w:spacing w:line="240" w:lineRule="auto"/>
              <w:rPr>
                <w:rFonts w:cs="Arial"/>
                <w:szCs w:val="16"/>
              </w:rPr>
            </w:pPr>
            <w:r>
              <w:rPr>
                <w:rFonts w:cs="Arial"/>
                <w:szCs w:val="16"/>
              </w:rPr>
              <w:t>Assessment not required</w:t>
            </w:r>
          </w:p>
        </w:tc>
        <w:tc>
          <w:tcPr>
            <w:tcW w:w="2254" w:type="dxa"/>
            <w:tcBorders>
              <w:left w:val="single" w:sz="2" w:space="0" w:color="999999"/>
              <w:bottom w:val="single" w:sz="2" w:space="0" w:color="auto"/>
              <w:right w:val="single" w:sz="2" w:space="0" w:color="999999"/>
            </w:tcBorders>
            <w:shd w:val="clear" w:color="auto" w:fill="FFFFFF"/>
          </w:tcPr>
          <w:p w14:paraId="56BDF8EE" w14:textId="77777777" w:rsidR="009D3DC8" w:rsidRDefault="009D3DC8">
            <w:pPr>
              <w:pStyle w:val="TableText"/>
              <w:spacing w:line="240" w:lineRule="auto"/>
              <w:rPr>
                <w:rFonts w:cs="Arial"/>
                <w:szCs w:val="16"/>
              </w:rPr>
            </w:pPr>
            <w:r>
              <w:rPr>
                <w:rFonts w:cs="Arial"/>
                <w:szCs w:val="16"/>
              </w:rPr>
              <w:t>Assessment not required</w:t>
            </w:r>
          </w:p>
        </w:tc>
        <w:tc>
          <w:tcPr>
            <w:tcW w:w="1179" w:type="dxa"/>
            <w:gridSpan w:val="2"/>
            <w:tcBorders>
              <w:left w:val="single" w:sz="2" w:space="0" w:color="999999"/>
              <w:bottom w:val="single" w:sz="2" w:space="0" w:color="auto"/>
            </w:tcBorders>
            <w:shd w:val="clear" w:color="auto" w:fill="FFFFFF"/>
          </w:tcPr>
          <w:p w14:paraId="5103A4FE" w14:textId="77777777" w:rsidR="009D3DC8" w:rsidRDefault="009D3DC8">
            <w:pPr>
              <w:pStyle w:val="TableText"/>
              <w:spacing w:line="240" w:lineRule="auto"/>
              <w:rPr>
                <w:rFonts w:cs="Arial"/>
                <w:szCs w:val="16"/>
              </w:rPr>
            </w:pPr>
            <w:r>
              <w:rPr>
                <w:rFonts w:cs="Arial"/>
                <w:szCs w:val="16"/>
              </w:rPr>
              <w:t>No</w:t>
            </w:r>
          </w:p>
        </w:tc>
      </w:tr>
    </w:tbl>
    <w:p w14:paraId="326A19A6" w14:textId="77777777" w:rsidR="009D3DC8" w:rsidRDefault="009D3DC8">
      <w:pPr>
        <w:pStyle w:val="TableName"/>
        <w:ind w:left="630" w:hanging="1481"/>
      </w:pPr>
    </w:p>
    <w:p w14:paraId="2B66C8A0" w14:textId="77777777" w:rsidR="009D3DC8" w:rsidRDefault="009D3DC8">
      <w:pPr>
        <w:pStyle w:val="Heading1"/>
        <w:numPr>
          <w:ilvl w:val="0"/>
          <w:numId w:val="8"/>
        </w:numPr>
        <w:spacing w:line="240" w:lineRule="auto"/>
        <w:sectPr w:rsidR="009D3DC8">
          <w:headerReference w:type="default" r:id="rId53"/>
          <w:type w:val="oddPage"/>
          <w:pgSz w:w="16838" w:h="11906" w:orient="landscape"/>
          <w:pgMar w:top="1440" w:right="1440" w:bottom="1440" w:left="1440" w:header="708" w:footer="708" w:gutter="0"/>
          <w:cols w:space="708"/>
          <w:docGrid w:linePitch="360"/>
        </w:sectPr>
      </w:pPr>
    </w:p>
    <w:p w14:paraId="212B7B5E" w14:textId="77777777" w:rsidR="009D3DC8" w:rsidRDefault="009D3DC8">
      <w:pPr>
        <w:pStyle w:val="Heading1"/>
        <w:numPr>
          <w:ilvl w:val="0"/>
          <w:numId w:val="0"/>
        </w:numPr>
        <w:spacing w:before="120"/>
      </w:pPr>
      <w:bookmarkStart w:id="107" w:name="_Toc325618456"/>
      <w:r>
        <w:lastRenderedPageBreak/>
        <w:t>Appendix B</w:t>
      </w:r>
      <w:r>
        <w:tab/>
        <w:t>Additional quarantine pest data</w:t>
      </w:r>
      <w:bookmarkEnd w:id="107"/>
    </w:p>
    <w:tbl>
      <w:tblPr>
        <w:tblW w:w="9288" w:type="dxa"/>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Look w:val="01E0" w:firstRow="1" w:lastRow="1" w:firstColumn="1" w:lastColumn="1" w:noHBand="0" w:noVBand="0"/>
      </w:tblPr>
      <w:tblGrid>
        <w:gridCol w:w="2089"/>
        <w:gridCol w:w="7199"/>
      </w:tblGrid>
      <w:tr w:rsidR="009D3DC8" w14:paraId="1B121DCE"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1C288570"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5993EDAE" w14:textId="77777777" w:rsidR="009D3DC8" w:rsidRDefault="009D3DC8">
            <w:pPr>
              <w:pStyle w:val="TableText"/>
              <w:rPr>
                <w:rFonts w:cs="Arial"/>
                <w:b/>
                <w:szCs w:val="16"/>
              </w:rPr>
            </w:pPr>
            <w:r>
              <w:rPr>
                <w:rFonts w:cs="Arial"/>
                <w:b/>
                <w:i/>
                <w:szCs w:val="16"/>
              </w:rPr>
              <w:t xml:space="preserve">Tetranychus </w:t>
            </w:r>
            <w:r>
              <w:rPr>
                <w:rFonts w:cs="Arial"/>
                <w:b/>
                <w:szCs w:val="16"/>
              </w:rPr>
              <w:t xml:space="preserve">sp. Dufour </w:t>
            </w:r>
            <w:r>
              <w:rPr>
                <w:rFonts w:cs="Arial"/>
                <w:b/>
                <w:szCs w:val="16"/>
                <w:vertAlign w:val="superscript"/>
              </w:rPr>
              <w:t>EP</w:t>
            </w:r>
          </w:p>
        </w:tc>
      </w:tr>
      <w:tr w:rsidR="009D3DC8" w14:paraId="2077D222"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10E2967"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3757056C" w14:textId="77777777" w:rsidR="009D3DC8" w:rsidRDefault="009D3DC8">
            <w:pPr>
              <w:pStyle w:val="TableText"/>
              <w:rPr>
                <w:rFonts w:cs="Arial"/>
                <w:szCs w:val="16"/>
              </w:rPr>
            </w:pPr>
            <w:r>
              <w:rPr>
                <w:rFonts w:cs="Arial"/>
                <w:szCs w:val="16"/>
              </w:rPr>
              <w:t>None</w:t>
            </w:r>
          </w:p>
        </w:tc>
      </w:tr>
      <w:tr w:rsidR="009D3DC8" w14:paraId="5EF3207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FC52A49"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39F3F462" w14:textId="77777777" w:rsidR="009D3DC8" w:rsidRDefault="009D3DC8">
            <w:pPr>
              <w:pStyle w:val="TableText"/>
              <w:rPr>
                <w:rFonts w:cs="Arial"/>
                <w:szCs w:val="16"/>
              </w:rPr>
            </w:pPr>
            <w:r>
              <w:rPr>
                <w:rFonts w:cs="Arial"/>
                <w:szCs w:val="16"/>
              </w:rPr>
              <w:t>Spider mites</w:t>
            </w:r>
          </w:p>
        </w:tc>
      </w:tr>
      <w:tr w:rsidR="009D3DC8" w14:paraId="31FE33BB"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031D019"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2091884" w14:textId="77777777" w:rsidR="009D3DC8" w:rsidRDefault="009D3DC8">
            <w:pPr>
              <w:pStyle w:val="TableText"/>
              <w:rPr>
                <w:rFonts w:cs="Arial"/>
                <w:szCs w:val="16"/>
              </w:rPr>
            </w:pPr>
            <w:r>
              <w:rPr>
                <w:rFonts w:cs="Arial"/>
                <w:szCs w:val="16"/>
              </w:rPr>
              <w:t xml:space="preserve">Most </w:t>
            </w:r>
            <w:r>
              <w:rPr>
                <w:rFonts w:cs="Arial"/>
                <w:i/>
                <w:szCs w:val="16"/>
              </w:rPr>
              <w:t xml:space="preserve">Tetranychus </w:t>
            </w:r>
            <w:r>
              <w:rPr>
                <w:rFonts w:cs="Arial"/>
                <w:szCs w:val="16"/>
              </w:rPr>
              <w:t xml:space="preserve">spp. are polyphagous while others are host specific (Migeon and Dorkeld 2010; Walter 2006). For a comprehensive list of </w:t>
            </w:r>
            <w:r>
              <w:rPr>
                <w:rFonts w:cs="Arial"/>
                <w:i/>
                <w:szCs w:val="16"/>
              </w:rPr>
              <w:t xml:space="preserve">Tetranychus </w:t>
            </w:r>
            <w:r>
              <w:rPr>
                <w:rFonts w:cs="Arial"/>
                <w:szCs w:val="16"/>
              </w:rPr>
              <w:t xml:space="preserve">spp. host plants, see Bolland </w:t>
            </w:r>
            <w:r>
              <w:rPr>
                <w:rFonts w:cs="Arial"/>
                <w:i/>
                <w:szCs w:val="16"/>
              </w:rPr>
              <w:t xml:space="preserve">et al. </w:t>
            </w:r>
            <w:r>
              <w:rPr>
                <w:rFonts w:cs="Arial"/>
                <w:szCs w:val="16"/>
              </w:rPr>
              <w:t>(1998).</w:t>
            </w:r>
          </w:p>
        </w:tc>
      </w:tr>
      <w:tr w:rsidR="009D3DC8" w14:paraId="4E636E65"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0013541F"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008EE2D0" w14:textId="77777777" w:rsidR="009D3DC8" w:rsidRDefault="009D3DC8">
            <w:pPr>
              <w:pStyle w:val="TableText"/>
              <w:rPr>
                <w:rFonts w:cs="Arial"/>
                <w:szCs w:val="16"/>
              </w:rPr>
            </w:pPr>
            <w:r>
              <w:rPr>
                <w:rFonts w:cs="Arial"/>
                <w:szCs w:val="16"/>
              </w:rPr>
              <w:t xml:space="preserve">Presence in Australia: 11 species of the genus </w:t>
            </w:r>
            <w:r>
              <w:rPr>
                <w:rFonts w:cs="Arial"/>
                <w:i/>
                <w:szCs w:val="16"/>
              </w:rPr>
              <w:t>Tetranychus</w:t>
            </w:r>
            <w:r>
              <w:rPr>
                <w:rFonts w:cs="Arial"/>
                <w:szCs w:val="16"/>
              </w:rPr>
              <w:t xml:space="preserve"> are present in Australia (Bolland</w:t>
            </w:r>
            <w:r>
              <w:rPr>
                <w:rFonts w:cs="Arial"/>
                <w:i/>
                <w:szCs w:val="16"/>
              </w:rPr>
              <w:t xml:space="preserve"> et al.</w:t>
            </w:r>
            <w:r>
              <w:rPr>
                <w:rFonts w:cs="Arial"/>
                <w:szCs w:val="16"/>
              </w:rPr>
              <w:t xml:space="preserve"> 1998).</w:t>
            </w:r>
          </w:p>
          <w:p w14:paraId="049FE5DD" w14:textId="77777777" w:rsidR="009D3DC8" w:rsidRDefault="009D3DC8">
            <w:pPr>
              <w:pStyle w:val="TableText"/>
              <w:rPr>
                <w:rFonts w:cs="Arial"/>
                <w:szCs w:val="16"/>
              </w:rPr>
            </w:pPr>
            <w:r>
              <w:rPr>
                <w:rFonts w:cs="Arial"/>
                <w:szCs w:val="16"/>
              </w:rPr>
              <w:t>Presence in Indonesia: Genus present (Nasuton 2006)</w:t>
            </w:r>
          </w:p>
          <w:p w14:paraId="0541F512" w14:textId="77777777" w:rsidR="009D3DC8" w:rsidRDefault="009D3DC8">
            <w:pPr>
              <w:pStyle w:val="TableText"/>
              <w:rPr>
                <w:rFonts w:cs="Arial"/>
                <w:szCs w:val="16"/>
              </w:rPr>
            </w:pPr>
            <w:r>
              <w:rPr>
                <w:rFonts w:cs="Arial"/>
                <w:szCs w:val="16"/>
              </w:rPr>
              <w:t>Presence elsewhere: The genus is present worldwide (APPD 2011)</w:t>
            </w:r>
          </w:p>
        </w:tc>
      </w:tr>
      <w:tr w:rsidR="009D3DC8" w14:paraId="23C3AA97"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578EF963"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23022149" w14:textId="77777777" w:rsidR="009D3DC8" w:rsidRDefault="009D3DC8">
            <w:pPr>
              <w:pStyle w:val="TableText"/>
              <w:rPr>
                <w:rFonts w:cs="Arial"/>
                <w:b/>
                <w:szCs w:val="16"/>
              </w:rPr>
            </w:pPr>
            <w:r>
              <w:rPr>
                <w:rFonts w:cs="Arial"/>
                <w:b/>
                <w:i/>
                <w:szCs w:val="16"/>
              </w:rPr>
              <w:t>Curculio</w:t>
            </w:r>
            <w:r>
              <w:rPr>
                <w:rFonts w:cs="Arial"/>
                <w:b/>
                <w:szCs w:val="16"/>
              </w:rPr>
              <w:t xml:space="preserve"> sp.</w:t>
            </w:r>
          </w:p>
        </w:tc>
      </w:tr>
      <w:tr w:rsidR="009D3DC8" w14:paraId="2B1BB28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47417C2"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4C02A19" w14:textId="77777777" w:rsidR="009D3DC8" w:rsidRDefault="009D3DC8">
            <w:pPr>
              <w:pStyle w:val="TableText"/>
              <w:rPr>
                <w:rFonts w:cs="Arial"/>
                <w:szCs w:val="16"/>
              </w:rPr>
            </w:pPr>
            <w:r>
              <w:rPr>
                <w:rFonts w:cs="Arial"/>
                <w:szCs w:val="16"/>
              </w:rPr>
              <w:t xml:space="preserve">None </w:t>
            </w:r>
          </w:p>
        </w:tc>
      </w:tr>
      <w:tr w:rsidR="009D3DC8" w14:paraId="7F9804E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09D071C"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0326B91B" w14:textId="77777777" w:rsidR="009D3DC8" w:rsidRDefault="009D3DC8">
            <w:pPr>
              <w:pStyle w:val="TableText"/>
              <w:rPr>
                <w:rFonts w:cs="Arial"/>
                <w:szCs w:val="16"/>
              </w:rPr>
            </w:pPr>
          </w:p>
        </w:tc>
      </w:tr>
      <w:tr w:rsidR="009D3DC8" w14:paraId="2ECBEE3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601897D"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4042A00" w14:textId="77777777" w:rsidR="009D3DC8" w:rsidRDefault="009D3DC8">
            <w:pPr>
              <w:pStyle w:val="TableText"/>
              <w:rPr>
                <w:rFonts w:cs="Arial"/>
                <w:szCs w:val="16"/>
              </w:rPr>
            </w:pPr>
            <w:r>
              <w:rPr>
                <w:rFonts w:cs="Arial"/>
                <w:i/>
                <w:szCs w:val="16"/>
              </w:rPr>
              <w:t>Curculio</w:t>
            </w:r>
            <w:r>
              <w:rPr>
                <w:rFonts w:cs="Arial"/>
                <w:szCs w:val="16"/>
              </w:rPr>
              <w:t xml:space="preserve"> sp. infests </w:t>
            </w:r>
            <w:r>
              <w:rPr>
                <w:rFonts w:cs="Arial"/>
                <w:i/>
                <w:szCs w:val="16"/>
              </w:rPr>
              <w:t>Garcinia mangostana</w:t>
            </w:r>
            <w:r>
              <w:rPr>
                <w:rFonts w:cs="Arial"/>
                <w:szCs w:val="16"/>
              </w:rPr>
              <w:t xml:space="preserve"> (Kalshoven 1981; Nasuton 2006).</w:t>
            </w:r>
          </w:p>
        </w:tc>
      </w:tr>
      <w:tr w:rsidR="009D3DC8" w14:paraId="5CA07506"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607E4789"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678B3C44" w14:textId="77777777" w:rsidR="009D3DC8" w:rsidRDefault="009D3DC8">
            <w:pPr>
              <w:pStyle w:val="TableText"/>
              <w:rPr>
                <w:rFonts w:cs="Arial"/>
                <w:szCs w:val="16"/>
              </w:rPr>
            </w:pPr>
            <w:r>
              <w:rPr>
                <w:rFonts w:cs="Arial"/>
                <w:szCs w:val="16"/>
              </w:rPr>
              <w:t xml:space="preserve">Presence in Australia: 3 species of the genus </w:t>
            </w:r>
            <w:r>
              <w:rPr>
                <w:rFonts w:cs="Arial"/>
                <w:i/>
                <w:szCs w:val="16"/>
              </w:rPr>
              <w:t xml:space="preserve">Curculio </w:t>
            </w:r>
            <w:r>
              <w:rPr>
                <w:rFonts w:cs="Arial"/>
                <w:szCs w:val="16"/>
              </w:rPr>
              <w:t>are present in Australia, none is recorded to feed on mangosteens (Hughes and Vogler 2004; APPD 2011).</w:t>
            </w:r>
          </w:p>
          <w:p w14:paraId="6393F350" w14:textId="77777777" w:rsidR="009D3DC8" w:rsidRDefault="009D3DC8">
            <w:pPr>
              <w:pStyle w:val="TableText"/>
              <w:rPr>
                <w:rFonts w:cs="Arial"/>
                <w:szCs w:val="16"/>
              </w:rPr>
            </w:pPr>
            <w:r>
              <w:rPr>
                <w:rFonts w:cs="Arial"/>
                <w:szCs w:val="16"/>
              </w:rPr>
              <w:t>Presence in Indonesia: Genus present (Kalshoven 1981; Nasuton 2006)</w:t>
            </w:r>
          </w:p>
          <w:p w14:paraId="3DEA3282" w14:textId="77777777" w:rsidR="009D3DC8" w:rsidRDefault="009D3DC8">
            <w:pPr>
              <w:pStyle w:val="TableText"/>
              <w:rPr>
                <w:rFonts w:cs="Arial"/>
                <w:szCs w:val="16"/>
              </w:rPr>
            </w:pPr>
            <w:r>
              <w:rPr>
                <w:rFonts w:cs="Arial"/>
                <w:szCs w:val="16"/>
              </w:rPr>
              <w:t xml:space="preserve">Presence elsewhere: The genus </w:t>
            </w:r>
            <w:r>
              <w:rPr>
                <w:rFonts w:cs="Arial"/>
                <w:i/>
                <w:szCs w:val="16"/>
              </w:rPr>
              <w:t>Curculio</w:t>
            </w:r>
            <w:r>
              <w:rPr>
                <w:rFonts w:cs="Arial"/>
                <w:szCs w:val="16"/>
              </w:rPr>
              <w:t xml:space="preserve"> is distributed across Asia, Europe, Africa and North America (Hughes and Vogler 2004).</w:t>
            </w:r>
          </w:p>
        </w:tc>
      </w:tr>
      <w:tr w:rsidR="009D3DC8" w14:paraId="55A603C3"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12B6522E"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777B70DF" w14:textId="77777777" w:rsidR="009D3DC8" w:rsidRDefault="009D3DC8">
            <w:pPr>
              <w:pStyle w:val="TableText"/>
              <w:rPr>
                <w:rFonts w:cs="Arial"/>
                <w:b/>
                <w:szCs w:val="16"/>
                <w:vertAlign w:val="superscript"/>
              </w:rPr>
            </w:pPr>
            <w:r>
              <w:rPr>
                <w:rFonts w:cs="Arial"/>
                <w:b/>
                <w:i/>
                <w:szCs w:val="16"/>
              </w:rPr>
              <w:t>Bactrocera carambolae</w:t>
            </w:r>
            <w:r>
              <w:rPr>
                <w:rFonts w:cs="Arial"/>
                <w:b/>
                <w:szCs w:val="16"/>
              </w:rPr>
              <w:t xml:space="preserve"> Drew &amp; Hancock, 1994 </w:t>
            </w:r>
            <w:r>
              <w:rPr>
                <w:rFonts w:cs="Arial"/>
                <w:b/>
                <w:szCs w:val="16"/>
                <w:vertAlign w:val="superscript"/>
              </w:rPr>
              <w:t>EP</w:t>
            </w:r>
          </w:p>
        </w:tc>
      </w:tr>
      <w:tr w:rsidR="009D3DC8" w14:paraId="1E427FF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CEB2748"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444ECE05" w14:textId="77777777" w:rsidR="009D3DC8" w:rsidRDefault="009D3DC8">
            <w:pPr>
              <w:pStyle w:val="TableText"/>
              <w:rPr>
                <w:rFonts w:cs="Arial"/>
                <w:szCs w:val="16"/>
              </w:rPr>
            </w:pPr>
            <w:r>
              <w:rPr>
                <w:rFonts w:cs="Arial"/>
                <w:szCs w:val="16"/>
              </w:rPr>
              <w:t xml:space="preserve">None </w:t>
            </w:r>
          </w:p>
        </w:tc>
      </w:tr>
      <w:tr w:rsidR="009D3DC8" w14:paraId="0B28F62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834F582"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22BB6BF2" w14:textId="77777777" w:rsidR="009D3DC8" w:rsidRDefault="009D3DC8">
            <w:pPr>
              <w:pStyle w:val="TableText"/>
              <w:rPr>
                <w:rFonts w:cs="Arial"/>
                <w:szCs w:val="16"/>
              </w:rPr>
            </w:pPr>
            <w:r>
              <w:rPr>
                <w:rFonts w:cs="Arial"/>
                <w:szCs w:val="16"/>
              </w:rPr>
              <w:t>Carambola fruit fly</w:t>
            </w:r>
          </w:p>
        </w:tc>
      </w:tr>
      <w:tr w:rsidR="009D3DC8" w14:paraId="5048618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D78552B"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4C681708" w14:textId="77777777" w:rsidR="009D3DC8" w:rsidRDefault="009D3DC8">
            <w:pPr>
              <w:pStyle w:val="TableText"/>
              <w:rPr>
                <w:rFonts w:cs="Arial"/>
                <w:szCs w:val="16"/>
              </w:rPr>
            </w:pPr>
            <w:r>
              <w:rPr>
                <w:rFonts w:cs="Arial"/>
                <w:szCs w:val="16"/>
              </w:rPr>
              <w:t xml:space="preserve">Recorded from 75 host plant species in 48 genera and 26 families. For a comprehensive list, see CABI (2011) and Allwood </w:t>
            </w:r>
            <w:r>
              <w:rPr>
                <w:rFonts w:cs="Arial"/>
                <w:i/>
                <w:szCs w:val="16"/>
              </w:rPr>
              <w:t>et al.</w:t>
            </w:r>
            <w:r>
              <w:rPr>
                <w:rFonts w:cs="Arial"/>
                <w:szCs w:val="16"/>
              </w:rPr>
              <w:t xml:space="preserve"> (1999).</w:t>
            </w:r>
          </w:p>
        </w:tc>
      </w:tr>
      <w:tr w:rsidR="009D3DC8" w14:paraId="663E9398"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03D246CC"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34F2AFEA" w14:textId="77777777" w:rsidR="009D3DC8" w:rsidRDefault="009D3DC8">
            <w:pPr>
              <w:pStyle w:val="TableText"/>
              <w:rPr>
                <w:rFonts w:cs="Arial"/>
                <w:szCs w:val="16"/>
              </w:rPr>
            </w:pPr>
            <w:r>
              <w:rPr>
                <w:rFonts w:cs="Arial"/>
                <w:szCs w:val="16"/>
              </w:rPr>
              <w:t>Presence in Australia: No records found</w:t>
            </w:r>
          </w:p>
          <w:p w14:paraId="5D537980" w14:textId="77777777" w:rsidR="009D3DC8" w:rsidRDefault="009D3DC8">
            <w:pPr>
              <w:pStyle w:val="TableText"/>
              <w:rPr>
                <w:rFonts w:cs="Arial"/>
                <w:szCs w:val="16"/>
              </w:rPr>
            </w:pPr>
            <w:r>
              <w:rPr>
                <w:rFonts w:cs="Arial"/>
                <w:szCs w:val="16"/>
              </w:rPr>
              <w:t>Presence in Indonesia: Yes (Allwood</w:t>
            </w:r>
            <w:r>
              <w:rPr>
                <w:rFonts w:cs="Arial"/>
                <w:i/>
                <w:szCs w:val="16"/>
              </w:rPr>
              <w:t xml:space="preserve"> et al.</w:t>
            </w:r>
            <w:r>
              <w:rPr>
                <w:rFonts w:cs="Arial"/>
                <w:szCs w:val="16"/>
              </w:rPr>
              <w:t xml:space="preserve"> 1999).</w:t>
            </w:r>
          </w:p>
          <w:p w14:paraId="66690701" w14:textId="77777777" w:rsidR="009D3DC8" w:rsidRDefault="009D3DC8">
            <w:pPr>
              <w:pStyle w:val="TableText"/>
              <w:rPr>
                <w:rFonts w:cs="Arial"/>
                <w:szCs w:val="16"/>
              </w:rPr>
            </w:pPr>
            <w:r>
              <w:rPr>
                <w:rFonts w:cs="Arial"/>
                <w:szCs w:val="16"/>
              </w:rPr>
              <w:t>Presence elsewhere: South America, South and Southeast Asia (Cantrell</w:t>
            </w:r>
            <w:r>
              <w:rPr>
                <w:rFonts w:cs="Arial"/>
                <w:i/>
                <w:szCs w:val="16"/>
              </w:rPr>
              <w:t xml:space="preserve"> et al.</w:t>
            </w:r>
            <w:r>
              <w:rPr>
                <w:rFonts w:cs="Arial"/>
                <w:szCs w:val="16"/>
              </w:rPr>
              <w:t xml:space="preserve"> 2002; CABI 2011).</w:t>
            </w:r>
          </w:p>
        </w:tc>
      </w:tr>
      <w:tr w:rsidR="009D3DC8" w14:paraId="4F65AA53"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09B10D15"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684F9074" w14:textId="77777777" w:rsidR="009D3DC8" w:rsidRDefault="009D3DC8">
            <w:pPr>
              <w:pStyle w:val="TableText"/>
              <w:rPr>
                <w:rFonts w:cs="Arial"/>
                <w:b/>
                <w:szCs w:val="16"/>
                <w:vertAlign w:val="superscript"/>
              </w:rPr>
            </w:pPr>
            <w:r>
              <w:rPr>
                <w:rFonts w:cs="Arial"/>
                <w:b/>
                <w:i/>
                <w:szCs w:val="16"/>
              </w:rPr>
              <w:t xml:space="preserve">Bactrocera papayae </w:t>
            </w:r>
            <w:r>
              <w:rPr>
                <w:rFonts w:cs="Arial"/>
                <w:b/>
                <w:szCs w:val="16"/>
              </w:rPr>
              <w:t xml:space="preserve">Drew &amp; Hancock, 1994 </w:t>
            </w:r>
            <w:r>
              <w:rPr>
                <w:rFonts w:cs="Arial"/>
                <w:b/>
                <w:szCs w:val="16"/>
                <w:vertAlign w:val="superscript"/>
              </w:rPr>
              <w:t>EP</w:t>
            </w:r>
          </w:p>
        </w:tc>
      </w:tr>
      <w:tr w:rsidR="009D3DC8" w14:paraId="1420F1A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A44197B"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719249AA" w14:textId="77777777" w:rsidR="009D3DC8" w:rsidRDefault="009D3DC8">
            <w:pPr>
              <w:pStyle w:val="TableText"/>
              <w:rPr>
                <w:rFonts w:cs="Arial"/>
                <w:szCs w:val="16"/>
              </w:rPr>
            </w:pPr>
            <w:r>
              <w:rPr>
                <w:rFonts w:cs="Arial"/>
                <w:szCs w:val="16"/>
              </w:rPr>
              <w:t xml:space="preserve">None </w:t>
            </w:r>
          </w:p>
        </w:tc>
      </w:tr>
      <w:tr w:rsidR="009D3DC8" w14:paraId="51FB0C3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EE24C22"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5A8F995B" w14:textId="77777777" w:rsidR="009D3DC8" w:rsidRDefault="009D3DC8">
            <w:pPr>
              <w:pStyle w:val="TableText"/>
              <w:rPr>
                <w:rFonts w:cs="Arial"/>
                <w:szCs w:val="16"/>
              </w:rPr>
            </w:pPr>
            <w:r>
              <w:rPr>
                <w:rFonts w:cs="Arial"/>
                <w:szCs w:val="16"/>
              </w:rPr>
              <w:t xml:space="preserve">Papaya fruit fly </w:t>
            </w:r>
          </w:p>
        </w:tc>
      </w:tr>
      <w:tr w:rsidR="009D3DC8" w14:paraId="23FA75AF"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710000F"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2BDEF8C5" w14:textId="77777777" w:rsidR="009D3DC8" w:rsidRDefault="009D3DC8">
            <w:pPr>
              <w:pStyle w:val="TableText"/>
              <w:rPr>
                <w:rFonts w:cs="Arial"/>
                <w:szCs w:val="16"/>
              </w:rPr>
            </w:pPr>
            <w:r>
              <w:rPr>
                <w:rFonts w:cs="Arial"/>
                <w:szCs w:val="16"/>
              </w:rPr>
              <w:t xml:space="preserve">Recorded from 193 host plant species in 114 genera and 50 families. For a comprehensive list, see Allwood </w:t>
            </w:r>
            <w:r>
              <w:rPr>
                <w:rFonts w:cs="Arial"/>
                <w:i/>
                <w:szCs w:val="16"/>
              </w:rPr>
              <w:t>et al.</w:t>
            </w:r>
            <w:r>
              <w:rPr>
                <w:rFonts w:cs="Arial"/>
                <w:szCs w:val="16"/>
              </w:rPr>
              <w:t xml:space="preserve"> (1999).</w:t>
            </w:r>
          </w:p>
        </w:tc>
      </w:tr>
      <w:tr w:rsidR="009D3DC8" w14:paraId="2B6CDD70"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5A81856D"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35E8920C" w14:textId="77777777" w:rsidR="009D3DC8" w:rsidRDefault="009D3DC8">
            <w:pPr>
              <w:pStyle w:val="TableText"/>
              <w:rPr>
                <w:rFonts w:cs="Arial"/>
                <w:szCs w:val="16"/>
              </w:rPr>
            </w:pPr>
            <w:r>
              <w:rPr>
                <w:rFonts w:cs="Arial"/>
                <w:szCs w:val="16"/>
              </w:rPr>
              <w:t>Presence in Australia: Detected in Queensland in 1995 and was declared eradiated in 1999 (Cantrell</w:t>
            </w:r>
            <w:r>
              <w:rPr>
                <w:rFonts w:cs="Arial"/>
                <w:i/>
                <w:szCs w:val="16"/>
              </w:rPr>
              <w:t xml:space="preserve"> et al.</w:t>
            </w:r>
            <w:r>
              <w:rPr>
                <w:rFonts w:cs="Arial"/>
                <w:szCs w:val="16"/>
              </w:rPr>
              <w:t xml:space="preserve"> 2002; CABI 2011).</w:t>
            </w:r>
          </w:p>
          <w:p w14:paraId="36379BF8" w14:textId="77777777" w:rsidR="009D3DC8" w:rsidRDefault="009D3DC8">
            <w:pPr>
              <w:pStyle w:val="TableText"/>
              <w:rPr>
                <w:rFonts w:cs="Arial"/>
                <w:szCs w:val="16"/>
              </w:rPr>
            </w:pPr>
            <w:r>
              <w:rPr>
                <w:rFonts w:cs="Arial"/>
                <w:szCs w:val="16"/>
              </w:rPr>
              <w:t>Presence in Indonesia: Yes (Drew and Hancock 1994; CABI 2011).</w:t>
            </w:r>
          </w:p>
          <w:p w14:paraId="0E67491F" w14:textId="77777777" w:rsidR="009D3DC8" w:rsidRDefault="009D3DC8">
            <w:pPr>
              <w:pStyle w:val="TableText"/>
              <w:rPr>
                <w:rFonts w:cs="Arial"/>
                <w:szCs w:val="16"/>
              </w:rPr>
            </w:pPr>
            <w:r>
              <w:rPr>
                <w:rFonts w:cs="Arial"/>
                <w:szCs w:val="16"/>
              </w:rPr>
              <w:t>Presence elsewhere: Southeast Asia and Papua New Guinea (CABI 2011).</w:t>
            </w:r>
          </w:p>
        </w:tc>
      </w:tr>
      <w:tr w:rsidR="009D3DC8" w14:paraId="4E1EF77B"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0A77EDDA"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35EC87B5" w14:textId="77777777" w:rsidR="009D3DC8" w:rsidRDefault="009D3DC8">
            <w:pPr>
              <w:pStyle w:val="TableText"/>
              <w:rPr>
                <w:rFonts w:cs="Arial"/>
                <w:b/>
                <w:szCs w:val="16"/>
              </w:rPr>
            </w:pPr>
            <w:r>
              <w:rPr>
                <w:rFonts w:cs="Arial"/>
                <w:b/>
                <w:i/>
                <w:szCs w:val="16"/>
              </w:rPr>
              <w:t xml:space="preserve">Drepanococcus chiton </w:t>
            </w:r>
            <w:r>
              <w:rPr>
                <w:rFonts w:cs="Arial"/>
                <w:b/>
                <w:szCs w:val="16"/>
              </w:rPr>
              <w:t xml:space="preserve">(Green, 1909) </w:t>
            </w:r>
            <w:r>
              <w:rPr>
                <w:rFonts w:cs="Arial"/>
                <w:b/>
                <w:szCs w:val="16"/>
                <w:vertAlign w:val="superscript"/>
              </w:rPr>
              <w:t>EP</w:t>
            </w:r>
          </w:p>
        </w:tc>
      </w:tr>
      <w:tr w:rsidR="009D3DC8" w14:paraId="407C3F1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5090387"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5D8FD5B" w14:textId="77777777" w:rsidR="009D3DC8" w:rsidRDefault="009D3DC8">
            <w:pPr>
              <w:pStyle w:val="TableText"/>
              <w:rPr>
                <w:rFonts w:cs="Arial"/>
                <w:i/>
                <w:szCs w:val="16"/>
              </w:rPr>
            </w:pPr>
            <w:r>
              <w:rPr>
                <w:rFonts w:cs="Arial"/>
                <w:i/>
                <w:szCs w:val="16"/>
              </w:rPr>
              <w:t xml:space="preserve">Ceroplastodes chiton </w:t>
            </w:r>
            <w:r>
              <w:rPr>
                <w:rFonts w:cs="Arial"/>
                <w:szCs w:val="16"/>
              </w:rPr>
              <w:t>Green, 1909</w:t>
            </w:r>
          </w:p>
        </w:tc>
      </w:tr>
      <w:tr w:rsidR="009D3DC8" w14:paraId="605EA022"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98CFD37"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30DB1919" w14:textId="77777777" w:rsidR="009D3DC8" w:rsidRDefault="009D3DC8">
            <w:pPr>
              <w:pStyle w:val="TableText"/>
              <w:rPr>
                <w:rFonts w:cs="Arial"/>
                <w:szCs w:val="16"/>
              </w:rPr>
            </w:pPr>
            <w:r>
              <w:rPr>
                <w:rFonts w:cs="Arial"/>
                <w:szCs w:val="16"/>
              </w:rPr>
              <w:t>Soft scale</w:t>
            </w:r>
          </w:p>
        </w:tc>
      </w:tr>
      <w:tr w:rsidR="009D3DC8" w14:paraId="3A915BE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9322034"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30A3B4B" w14:textId="77777777" w:rsidR="009D3DC8" w:rsidRDefault="009D3DC8">
            <w:pPr>
              <w:pStyle w:val="TableText"/>
              <w:rPr>
                <w:rFonts w:cs="Arial"/>
                <w:szCs w:val="16"/>
              </w:rPr>
            </w:pPr>
            <w:r>
              <w:rPr>
                <w:rFonts w:cs="Arial"/>
                <w:szCs w:val="16"/>
              </w:rPr>
              <w:t xml:space="preserve">Sub-tropical fruit trees and shrubs across 15 families including: </w:t>
            </w:r>
            <w:r>
              <w:rPr>
                <w:rFonts w:cs="Arial"/>
                <w:i/>
                <w:szCs w:val="16"/>
              </w:rPr>
              <w:t>Averrhoa carambola</w:t>
            </w:r>
            <w:r>
              <w:rPr>
                <w:rFonts w:cs="Arial"/>
                <w:szCs w:val="16"/>
              </w:rPr>
              <w:t xml:space="preserve"> (carombola), </w:t>
            </w:r>
            <w:r>
              <w:rPr>
                <w:rFonts w:cs="Arial"/>
                <w:i/>
                <w:szCs w:val="16"/>
              </w:rPr>
              <w:t xml:space="preserve">Carica papaya </w:t>
            </w:r>
            <w:r>
              <w:rPr>
                <w:rFonts w:cs="Arial"/>
                <w:szCs w:val="16"/>
              </w:rPr>
              <w:t xml:space="preserve">(papaya), </w:t>
            </w:r>
            <w:r>
              <w:rPr>
                <w:rFonts w:cs="Arial"/>
                <w:i/>
                <w:szCs w:val="16"/>
              </w:rPr>
              <w:t xml:space="preserve">Citrus aurantifolia </w:t>
            </w:r>
            <w:r>
              <w:rPr>
                <w:rFonts w:cs="Arial"/>
                <w:szCs w:val="16"/>
              </w:rPr>
              <w:t xml:space="preserve">(lime), </w:t>
            </w:r>
            <w:r>
              <w:rPr>
                <w:rFonts w:cs="Arial"/>
                <w:i/>
                <w:szCs w:val="16"/>
              </w:rPr>
              <w:t xml:space="preserve">Solanum melongena </w:t>
            </w:r>
            <w:r>
              <w:rPr>
                <w:rFonts w:cs="Arial"/>
                <w:szCs w:val="16"/>
              </w:rPr>
              <w:t xml:space="preserve">(eggplant), </w:t>
            </w:r>
            <w:r>
              <w:rPr>
                <w:rFonts w:cs="Arial"/>
                <w:i/>
                <w:szCs w:val="16"/>
              </w:rPr>
              <w:t xml:space="preserve">Theobroma cacao </w:t>
            </w:r>
            <w:r>
              <w:rPr>
                <w:rFonts w:cs="Arial"/>
                <w:szCs w:val="16"/>
              </w:rPr>
              <w:t xml:space="preserve">(cocoa) and </w:t>
            </w:r>
            <w:r>
              <w:rPr>
                <w:rFonts w:cs="Arial"/>
                <w:i/>
                <w:szCs w:val="16"/>
              </w:rPr>
              <w:t xml:space="preserve">Camellia sinensis </w:t>
            </w:r>
            <w:r>
              <w:rPr>
                <w:rFonts w:cs="Arial"/>
                <w:szCs w:val="16"/>
              </w:rPr>
              <w:t>(tea). For a comprehensive list, see Ben-Dov (2011b).</w:t>
            </w:r>
          </w:p>
        </w:tc>
      </w:tr>
      <w:tr w:rsidR="009D3DC8" w14:paraId="5766B32F"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757F7479"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35A448B5" w14:textId="77777777" w:rsidR="009D3DC8" w:rsidRDefault="009D3DC8">
            <w:pPr>
              <w:pStyle w:val="TableText"/>
              <w:rPr>
                <w:rFonts w:cs="Arial"/>
                <w:szCs w:val="16"/>
              </w:rPr>
            </w:pPr>
            <w:r>
              <w:rPr>
                <w:rFonts w:cs="Arial"/>
                <w:szCs w:val="16"/>
              </w:rPr>
              <w:t>Presence in Australia: No records found</w:t>
            </w:r>
          </w:p>
          <w:p w14:paraId="7A86203E" w14:textId="77777777" w:rsidR="009D3DC8" w:rsidRDefault="009D3DC8">
            <w:pPr>
              <w:pStyle w:val="TableText"/>
              <w:rPr>
                <w:rFonts w:cs="Arial"/>
                <w:szCs w:val="16"/>
              </w:rPr>
            </w:pPr>
            <w:r>
              <w:rPr>
                <w:rFonts w:cs="Arial"/>
                <w:szCs w:val="16"/>
              </w:rPr>
              <w:t>Presence in Indonesia: Yes (Ben-Dov 2011b)</w:t>
            </w:r>
          </w:p>
          <w:p w14:paraId="068FD839" w14:textId="77777777" w:rsidR="009D3DC8" w:rsidRDefault="009D3DC8">
            <w:pPr>
              <w:pStyle w:val="TableText"/>
              <w:rPr>
                <w:rFonts w:cs="Arial"/>
                <w:szCs w:val="16"/>
              </w:rPr>
            </w:pPr>
            <w:r>
              <w:rPr>
                <w:rFonts w:cs="Arial"/>
                <w:szCs w:val="16"/>
              </w:rPr>
              <w:t>Presence elsewhere: Papa New Guinea, Solomon Islands and Southeast Asia (CSIRO 2005).</w:t>
            </w:r>
          </w:p>
        </w:tc>
      </w:tr>
    </w:tbl>
    <w:p w14:paraId="19F4FFEC" w14:textId="77777777" w:rsidR="009D3DC8" w:rsidRDefault="009D3DC8">
      <w:r>
        <w:br w:type="page"/>
      </w:r>
    </w:p>
    <w:tbl>
      <w:tblPr>
        <w:tblW w:w="9288" w:type="dxa"/>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Look w:val="01E0" w:firstRow="1" w:lastRow="1" w:firstColumn="1" w:lastColumn="1" w:noHBand="0" w:noVBand="0"/>
      </w:tblPr>
      <w:tblGrid>
        <w:gridCol w:w="2089"/>
        <w:gridCol w:w="7199"/>
      </w:tblGrid>
      <w:tr w:rsidR="009D3DC8" w14:paraId="0ABA4D50"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670ABF26"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2253FA69" w14:textId="77777777" w:rsidR="009D3DC8" w:rsidRDefault="009D3DC8">
            <w:pPr>
              <w:pStyle w:val="TableText"/>
              <w:rPr>
                <w:rFonts w:cs="Arial"/>
                <w:b/>
                <w:szCs w:val="16"/>
              </w:rPr>
            </w:pPr>
            <w:r>
              <w:rPr>
                <w:rFonts w:cs="Arial"/>
                <w:b/>
                <w:i/>
                <w:szCs w:val="16"/>
              </w:rPr>
              <w:t xml:space="preserve">Diaspis boisduvalii </w:t>
            </w:r>
            <w:r>
              <w:rPr>
                <w:rFonts w:cs="Arial"/>
                <w:b/>
                <w:szCs w:val="16"/>
              </w:rPr>
              <w:t>Signoret, 1869</w:t>
            </w:r>
            <w:r>
              <w:rPr>
                <w:rFonts w:cs="Arial"/>
                <w:b/>
                <w:szCs w:val="16"/>
                <w:vertAlign w:val="superscript"/>
              </w:rPr>
              <w:t xml:space="preserve"> WA</w:t>
            </w:r>
          </w:p>
        </w:tc>
      </w:tr>
      <w:tr w:rsidR="009D3DC8" w14:paraId="4C0C617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834AE43"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080DFCA9" w14:textId="77777777" w:rsidR="009D3DC8" w:rsidRDefault="009D3DC8">
            <w:pPr>
              <w:pStyle w:val="TableText"/>
              <w:rPr>
                <w:rFonts w:cs="Arial"/>
                <w:i/>
                <w:szCs w:val="16"/>
              </w:rPr>
            </w:pPr>
            <w:r>
              <w:rPr>
                <w:rFonts w:cs="Arial"/>
                <w:i/>
                <w:szCs w:val="16"/>
              </w:rPr>
              <w:t xml:space="preserve">Diaspis boisduvalii </w:t>
            </w:r>
            <w:r>
              <w:rPr>
                <w:rFonts w:cs="Arial"/>
                <w:szCs w:val="16"/>
              </w:rPr>
              <w:t>Signoret, 1869</w:t>
            </w:r>
          </w:p>
          <w:p w14:paraId="1BA29B57" w14:textId="77777777" w:rsidR="009D3DC8" w:rsidRDefault="009D3DC8">
            <w:pPr>
              <w:pStyle w:val="TableText"/>
              <w:rPr>
                <w:rFonts w:cs="Arial"/>
                <w:i/>
                <w:szCs w:val="16"/>
              </w:rPr>
            </w:pPr>
            <w:r>
              <w:rPr>
                <w:rFonts w:cs="Arial"/>
                <w:i/>
                <w:szCs w:val="16"/>
              </w:rPr>
              <w:t xml:space="preserve">Aulacaspis boisduvalii </w:t>
            </w:r>
            <w:r>
              <w:rPr>
                <w:rFonts w:cs="Arial"/>
                <w:szCs w:val="16"/>
              </w:rPr>
              <w:t>(Cockerell, 1893)</w:t>
            </w:r>
          </w:p>
          <w:p w14:paraId="482E1812" w14:textId="77777777" w:rsidR="009D3DC8" w:rsidRDefault="009D3DC8">
            <w:pPr>
              <w:pStyle w:val="TableText"/>
              <w:rPr>
                <w:rFonts w:cs="Arial"/>
                <w:i/>
                <w:szCs w:val="16"/>
              </w:rPr>
            </w:pPr>
            <w:r>
              <w:rPr>
                <w:rFonts w:cs="Arial"/>
                <w:i/>
                <w:szCs w:val="16"/>
              </w:rPr>
              <w:t xml:space="preserve">Aulacaspis cattleyae </w:t>
            </w:r>
            <w:r>
              <w:rPr>
                <w:rFonts w:cs="Arial"/>
                <w:szCs w:val="16"/>
              </w:rPr>
              <w:t>Cockerell, 1899</w:t>
            </w:r>
          </w:p>
          <w:p w14:paraId="2B5E3E9C" w14:textId="77777777" w:rsidR="009D3DC8" w:rsidRDefault="009D3DC8">
            <w:pPr>
              <w:pStyle w:val="TableText"/>
              <w:rPr>
                <w:rFonts w:cs="Arial"/>
                <w:i/>
                <w:szCs w:val="16"/>
              </w:rPr>
            </w:pPr>
            <w:r>
              <w:rPr>
                <w:rFonts w:cs="Arial"/>
                <w:i/>
                <w:szCs w:val="16"/>
              </w:rPr>
              <w:t xml:space="preserve">Diaspis cattleyae </w:t>
            </w:r>
            <w:r>
              <w:rPr>
                <w:rFonts w:cs="Arial"/>
                <w:szCs w:val="16"/>
              </w:rPr>
              <w:t>(Cockerell, 1902)</w:t>
            </w:r>
          </w:p>
          <w:p w14:paraId="5994B8DE" w14:textId="77777777" w:rsidR="009D3DC8" w:rsidRDefault="009D3DC8">
            <w:pPr>
              <w:pStyle w:val="TableText"/>
              <w:rPr>
                <w:rFonts w:cs="Arial"/>
                <w:i/>
                <w:szCs w:val="16"/>
              </w:rPr>
            </w:pPr>
            <w:r>
              <w:rPr>
                <w:rFonts w:cs="Arial"/>
                <w:i/>
                <w:szCs w:val="16"/>
              </w:rPr>
              <w:t xml:space="preserve">Diaspis cymbidii </w:t>
            </w:r>
            <w:r>
              <w:rPr>
                <w:rFonts w:cs="Arial"/>
                <w:szCs w:val="16"/>
              </w:rPr>
              <w:t>McIntire, 1889</w:t>
            </w:r>
          </w:p>
          <w:p w14:paraId="39850074" w14:textId="77777777" w:rsidR="009D3DC8" w:rsidRDefault="009D3DC8">
            <w:pPr>
              <w:pStyle w:val="TableText"/>
              <w:rPr>
                <w:rFonts w:cs="Arial"/>
                <w:i/>
                <w:szCs w:val="16"/>
              </w:rPr>
            </w:pPr>
            <w:r>
              <w:rPr>
                <w:rFonts w:cs="Arial"/>
                <w:i/>
                <w:szCs w:val="16"/>
              </w:rPr>
              <w:t xml:space="preserve">Aulacaspis cymbidii </w:t>
            </w:r>
            <w:r>
              <w:rPr>
                <w:rFonts w:cs="Arial"/>
                <w:szCs w:val="16"/>
              </w:rPr>
              <w:t>(Fernald, 1903)</w:t>
            </w:r>
          </w:p>
          <w:p w14:paraId="3E6F39E2" w14:textId="77777777" w:rsidR="009D3DC8" w:rsidRDefault="009D3DC8">
            <w:pPr>
              <w:pStyle w:val="TableText"/>
              <w:rPr>
                <w:rFonts w:cs="Arial"/>
                <w:i/>
                <w:szCs w:val="16"/>
              </w:rPr>
            </w:pPr>
            <w:r>
              <w:rPr>
                <w:rFonts w:cs="Arial"/>
                <w:i/>
                <w:szCs w:val="16"/>
              </w:rPr>
              <w:t xml:space="preserve">Diaspis trinacis </w:t>
            </w:r>
            <w:r>
              <w:rPr>
                <w:rFonts w:cs="Arial"/>
                <w:szCs w:val="16"/>
              </w:rPr>
              <w:t>Colvée, 1881</w:t>
            </w:r>
          </w:p>
        </w:tc>
      </w:tr>
      <w:tr w:rsidR="009D3DC8" w14:paraId="258EB54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2045F03"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CBDB9D3" w14:textId="77777777" w:rsidR="009D3DC8" w:rsidRDefault="009D3DC8">
            <w:pPr>
              <w:pStyle w:val="TableText"/>
              <w:rPr>
                <w:rFonts w:cs="Arial"/>
                <w:szCs w:val="16"/>
              </w:rPr>
            </w:pPr>
            <w:r>
              <w:rPr>
                <w:rFonts w:cs="Arial"/>
                <w:szCs w:val="16"/>
              </w:rPr>
              <w:t>Boisduval scale, cocoa-nut snow scale, cocoa scale</w:t>
            </w:r>
          </w:p>
        </w:tc>
      </w:tr>
      <w:tr w:rsidR="009D3DC8" w14:paraId="475BA43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ECD7EFE"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5C8DCF6E" w14:textId="77777777" w:rsidR="009D3DC8" w:rsidRDefault="009D3DC8">
            <w:pPr>
              <w:pStyle w:val="TableText"/>
              <w:rPr>
                <w:rFonts w:cs="Arial"/>
                <w:szCs w:val="16"/>
              </w:rPr>
            </w:pPr>
            <w:r>
              <w:rPr>
                <w:rFonts w:cs="Arial"/>
                <w:szCs w:val="16"/>
              </w:rPr>
              <w:t xml:space="preserve">Recorded from 44 genera across 15 families including: Orchidaceae (orchid), Arecaceae (palm) and Cactaceae (cactus). Horticulture hosts include, </w:t>
            </w:r>
            <w:r>
              <w:rPr>
                <w:rFonts w:cs="Arial"/>
                <w:i/>
                <w:szCs w:val="16"/>
              </w:rPr>
              <w:t xml:space="preserve">Musa </w:t>
            </w:r>
            <w:r>
              <w:rPr>
                <w:rFonts w:cs="Arial"/>
                <w:szCs w:val="16"/>
              </w:rPr>
              <w:t xml:space="preserve">spp. (banana), </w:t>
            </w:r>
            <w:r>
              <w:rPr>
                <w:rFonts w:cs="Arial"/>
                <w:i/>
                <w:szCs w:val="16"/>
              </w:rPr>
              <w:t>Ananas comosus</w:t>
            </w:r>
            <w:r>
              <w:rPr>
                <w:rFonts w:cs="Arial"/>
                <w:szCs w:val="16"/>
              </w:rPr>
              <w:t xml:space="preserve"> (pineapple), </w:t>
            </w:r>
            <w:r>
              <w:rPr>
                <w:rFonts w:cs="Arial"/>
                <w:i/>
                <w:szCs w:val="16"/>
              </w:rPr>
              <w:t xml:space="preserve">Coffea </w:t>
            </w:r>
            <w:r>
              <w:rPr>
                <w:rFonts w:cs="Arial"/>
                <w:szCs w:val="16"/>
              </w:rPr>
              <w:t xml:space="preserve">(coffee) and </w:t>
            </w:r>
            <w:r>
              <w:rPr>
                <w:rFonts w:cs="Arial"/>
                <w:i/>
                <w:szCs w:val="16"/>
              </w:rPr>
              <w:t>Cocos nucifera</w:t>
            </w:r>
            <w:r>
              <w:rPr>
                <w:rFonts w:cs="Arial"/>
                <w:szCs w:val="16"/>
              </w:rPr>
              <w:t xml:space="preserve"> (coconut). For a comprehensive list, see Miller </w:t>
            </w:r>
            <w:r>
              <w:rPr>
                <w:rFonts w:cs="Arial"/>
                <w:i/>
                <w:szCs w:val="16"/>
              </w:rPr>
              <w:t xml:space="preserve">et al. </w:t>
            </w:r>
            <w:r>
              <w:rPr>
                <w:rFonts w:cs="Arial"/>
                <w:szCs w:val="16"/>
              </w:rPr>
              <w:t>(2011).</w:t>
            </w:r>
          </w:p>
        </w:tc>
      </w:tr>
      <w:tr w:rsidR="009D3DC8" w14:paraId="3019CE8C"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21B802D0"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2B50B2D1" w14:textId="77777777" w:rsidR="009D3DC8" w:rsidRDefault="009D3DC8">
            <w:pPr>
              <w:pStyle w:val="TableText"/>
              <w:rPr>
                <w:rFonts w:cs="Arial"/>
                <w:szCs w:val="16"/>
              </w:rPr>
            </w:pPr>
            <w:r>
              <w:rPr>
                <w:rFonts w:cs="Arial"/>
                <w:szCs w:val="16"/>
              </w:rPr>
              <w:t>Presence in Australia: Tas., Qld, SA (CSIRO 2005), Vic. and NSW (APPD 2011). No records found for presence in WA.</w:t>
            </w:r>
          </w:p>
          <w:p w14:paraId="51E8B9D1" w14:textId="77777777" w:rsidR="009D3DC8" w:rsidRDefault="009D3DC8">
            <w:pPr>
              <w:pStyle w:val="TableText"/>
              <w:rPr>
                <w:rFonts w:cs="Arial"/>
                <w:szCs w:val="16"/>
              </w:rPr>
            </w:pPr>
            <w:r>
              <w:rPr>
                <w:rFonts w:cs="Arial"/>
                <w:szCs w:val="16"/>
              </w:rPr>
              <w:t>Presence in Indonesia: Yes (Tjoa 1960; Miller</w:t>
            </w:r>
            <w:r>
              <w:rPr>
                <w:rFonts w:cs="Arial"/>
                <w:i/>
                <w:szCs w:val="16"/>
              </w:rPr>
              <w:t xml:space="preserve"> et al.</w:t>
            </w:r>
            <w:r>
              <w:rPr>
                <w:rFonts w:cs="Arial"/>
                <w:szCs w:val="16"/>
              </w:rPr>
              <w:t xml:space="preserve"> 2011)</w:t>
            </w:r>
          </w:p>
          <w:p w14:paraId="682D621D" w14:textId="77777777" w:rsidR="009D3DC8" w:rsidRDefault="009D3DC8">
            <w:pPr>
              <w:pStyle w:val="TableText"/>
              <w:rPr>
                <w:rFonts w:cs="Arial"/>
                <w:szCs w:val="16"/>
              </w:rPr>
            </w:pPr>
            <w:r>
              <w:rPr>
                <w:rFonts w:cs="Arial"/>
                <w:szCs w:val="16"/>
              </w:rPr>
              <w:t>Presence elsewhere: Near-cosmopolitan throughout North and South America, Africa, Europe and Asia (Miller</w:t>
            </w:r>
            <w:r>
              <w:rPr>
                <w:rFonts w:cs="Arial"/>
                <w:i/>
                <w:szCs w:val="16"/>
              </w:rPr>
              <w:t xml:space="preserve"> et al.</w:t>
            </w:r>
            <w:r>
              <w:rPr>
                <w:rFonts w:cs="Arial"/>
                <w:szCs w:val="16"/>
              </w:rPr>
              <w:t xml:space="preserve"> 2011)</w:t>
            </w:r>
          </w:p>
        </w:tc>
      </w:tr>
      <w:tr w:rsidR="009D3DC8" w14:paraId="411E4F5B"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6915ACCB"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7F92E313" w14:textId="77777777" w:rsidR="009D3DC8" w:rsidRDefault="009D3DC8">
            <w:pPr>
              <w:pStyle w:val="TableText"/>
              <w:rPr>
                <w:rFonts w:cs="Arial"/>
                <w:b/>
                <w:szCs w:val="16"/>
              </w:rPr>
            </w:pPr>
            <w:r>
              <w:rPr>
                <w:rFonts w:cs="Arial"/>
                <w:b/>
                <w:i/>
                <w:szCs w:val="16"/>
              </w:rPr>
              <w:t xml:space="preserve">Ischnaspis longirostris </w:t>
            </w:r>
            <w:r>
              <w:rPr>
                <w:rFonts w:cs="Arial"/>
                <w:b/>
                <w:szCs w:val="16"/>
              </w:rPr>
              <w:t xml:space="preserve">(Signoret, 1882) </w:t>
            </w:r>
            <w:r>
              <w:rPr>
                <w:rFonts w:cs="Arial"/>
                <w:b/>
                <w:szCs w:val="16"/>
                <w:vertAlign w:val="superscript"/>
              </w:rPr>
              <w:t>EP, WA</w:t>
            </w:r>
          </w:p>
        </w:tc>
      </w:tr>
      <w:tr w:rsidR="009D3DC8" w14:paraId="791D138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2D72ED9"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542D1E09" w14:textId="77777777" w:rsidR="009D3DC8" w:rsidRDefault="009D3DC8">
            <w:pPr>
              <w:pStyle w:val="TableText"/>
              <w:rPr>
                <w:rFonts w:cs="Arial"/>
                <w:szCs w:val="16"/>
              </w:rPr>
            </w:pPr>
            <w:r>
              <w:rPr>
                <w:rFonts w:cs="Arial"/>
                <w:i/>
                <w:szCs w:val="16"/>
              </w:rPr>
              <w:t xml:space="preserve">Mytilaspis longirostris </w:t>
            </w:r>
            <w:r>
              <w:rPr>
                <w:rFonts w:cs="Arial"/>
                <w:szCs w:val="16"/>
              </w:rPr>
              <w:t>Signoret, 1882</w:t>
            </w:r>
          </w:p>
          <w:p w14:paraId="61E62BFD" w14:textId="77777777" w:rsidR="009D3DC8" w:rsidRDefault="009D3DC8">
            <w:pPr>
              <w:pStyle w:val="TableText"/>
              <w:rPr>
                <w:rFonts w:cs="Arial"/>
                <w:szCs w:val="16"/>
              </w:rPr>
            </w:pPr>
            <w:r>
              <w:rPr>
                <w:rFonts w:cs="Arial"/>
                <w:i/>
                <w:szCs w:val="16"/>
              </w:rPr>
              <w:t xml:space="preserve">Ischnaspis longirostris </w:t>
            </w:r>
            <w:r>
              <w:rPr>
                <w:rFonts w:cs="Arial"/>
                <w:szCs w:val="16"/>
              </w:rPr>
              <w:t>(Hempel, 1900)</w:t>
            </w:r>
          </w:p>
          <w:p w14:paraId="56327841" w14:textId="77777777" w:rsidR="009D3DC8" w:rsidRDefault="009D3DC8">
            <w:pPr>
              <w:pStyle w:val="TableText"/>
              <w:rPr>
                <w:rFonts w:cs="Arial"/>
                <w:i/>
                <w:szCs w:val="16"/>
              </w:rPr>
            </w:pPr>
            <w:r>
              <w:rPr>
                <w:rFonts w:cs="Arial"/>
                <w:i/>
                <w:szCs w:val="16"/>
              </w:rPr>
              <w:t xml:space="preserve">Ischnaspis filiformis </w:t>
            </w:r>
            <w:r>
              <w:rPr>
                <w:rFonts w:cs="Arial"/>
                <w:szCs w:val="16"/>
              </w:rPr>
              <w:t>Douglas, 1887</w:t>
            </w:r>
          </w:p>
          <w:p w14:paraId="693C2C4E" w14:textId="77777777" w:rsidR="009D3DC8" w:rsidRDefault="009D3DC8">
            <w:pPr>
              <w:pStyle w:val="TableText"/>
              <w:rPr>
                <w:rFonts w:cs="Arial"/>
                <w:i/>
                <w:szCs w:val="16"/>
              </w:rPr>
            </w:pPr>
            <w:r>
              <w:rPr>
                <w:rFonts w:cs="Arial"/>
                <w:i/>
                <w:szCs w:val="16"/>
              </w:rPr>
              <w:t xml:space="preserve">Mytilaspis ritzemaebosi </w:t>
            </w:r>
            <w:r>
              <w:rPr>
                <w:rFonts w:cs="Arial"/>
                <w:szCs w:val="16"/>
              </w:rPr>
              <w:t>Leonardi, 1901</w:t>
            </w:r>
          </w:p>
          <w:p w14:paraId="447C8C3F" w14:textId="77777777" w:rsidR="009D3DC8" w:rsidRDefault="009D3DC8">
            <w:pPr>
              <w:pStyle w:val="TableText"/>
              <w:rPr>
                <w:rFonts w:cs="Arial"/>
                <w:i/>
                <w:szCs w:val="16"/>
              </w:rPr>
            </w:pPr>
            <w:r>
              <w:rPr>
                <w:rFonts w:cs="Arial"/>
                <w:i/>
                <w:szCs w:val="16"/>
              </w:rPr>
              <w:t xml:space="preserve">Lepidosaphes ritsemabosi </w:t>
            </w:r>
            <w:r>
              <w:rPr>
                <w:rFonts w:cs="Arial"/>
                <w:szCs w:val="16"/>
              </w:rPr>
              <w:t>(Fernald, 1903)</w:t>
            </w:r>
          </w:p>
        </w:tc>
      </w:tr>
      <w:tr w:rsidR="009D3DC8" w14:paraId="5103D92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B83A059"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33AB630E" w14:textId="77777777" w:rsidR="009D3DC8" w:rsidRDefault="009D3DC8">
            <w:pPr>
              <w:pStyle w:val="TableText"/>
              <w:rPr>
                <w:rFonts w:cs="Arial"/>
                <w:szCs w:val="16"/>
              </w:rPr>
            </w:pPr>
            <w:r>
              <w:rPr>
                <w:rFonts w:cs="Arial"/>
                <w:szCs w:val="16"/>
              </w:rPr>
              <w:t>Black thread scale, black line scale</w:t>
            </w:r>
          </w:p>
        </w:tc>
      </w:tr>
      <w:tr w:rsidR="009D3DC8" w14:paraId="0192C7D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BAE17BE"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0D18974" w14:textId="77777777" w:rsidR="009D3DC8" w:rsidRDefault="009D3DC8">
            <w:pPr>
              <w:pStyle w:val="TableText"/>
              <w:rPr>
                <w:rFonts w:cs="Arial"/>
                <w:szCs w:val="16"/>
              </w:rPr>
            </w:pPr>
            <w:r>
              <w:rPr>
                <w:rFonts w:cs="Arial"/>
                <w:szCs w:val="16"/>
              </w:rPr>
              <w:t xml:space="preserve">Recorded from 70 genera across 35 families including: </w:t>
            </w:r>
            <w:r>
              <w:rPr>
                <w:rFonts w:cs="Arial"/>
                <w:i/>
                <w:szCs w:val="16"/>
              </w:rPr>
              <w:t>Citrus</w:t>
            </w:r>
            <w:r>
              <w:rPr>
                <w:rFonts w:cs="Arial"/>
                <w:szCs w:val="16"/>
              </w:rPr>
              <w:t xml:space="preserve">, </w:t>
            </w:r>
            <w:r>
              <w:rPr>
                <w:rFonts w:cs="Arial"/>
                <w:i/>
                <w:szCs w:val="16"/>
              </w:rPr>
              <w:t>Cocos nucifera</w:t>
            </w:r>
            <w:r>
              <w:rPr>
                <w:rFonts w:cs="Arial"/>
                <w:szCs w:val="16"/>
              </w:rPr>
              <w:t xml:space="preserve"> (coconut), </w:t>
            </w:r>
            <w:r>
              <w:rPr>
                <w:rFonts w:cs="Arial"/>
                <w:i/>
                <w:szCs w:val="16"/>
              </w:rPr>
              <w:t>Coffea</w:t>
            </w:r>
            <w:r>
              <w:rPr>
                <w:rFonts w:cs="Arial"/>
                <w:szCs w:val="16"/>
              </w:rPr>
              <w:t xml:space="preserve"> (coffee), </w:t>
            </w:r>
            <w:r>
              <w:rPr>
                <w:rFonts w:cs="Arial"/>
                <w:i/>
                <w:szCs w:val="16"/>
              </w:rPr>
              <w:t>Mangifera indica</w:t>
            </w:r>
            <w:r>
              <w:rPr>
                <w:rFonts w:cs="Arial"/>
                <w:szCs w:val="16"/>
              </w:rPr>
              <w:t xml:space="preserve"> (mango), </w:t>
            </w:r>
            <w:r>
              <w:rPr>
                <w:rFonts w:cs="Arial"/>
                <w:i/>
                <w:szCs w:val="16"/>
              </w:rPr>
              <w:t>Persea americana</w:t>
            </w:r>
            <w:r>
              <w:rPr>
                <w:rFonts w:cs="Arial"/>
                <w:szCs w:val="16"/>
              </w:rPr>
              <w:t xml:space="preserve"> (avocado) and </w:t>
            </w:r>
            <w:r>
              <w:rPr>
                <w:rFonts w:cs="Arial"/>
                <w:i/>
                <w:szCs w:val="16"/>
              </w:rPr>
              <w:t>Musa</w:t>
            </w:r>
            <w:r>
              <w:rPr>
                <w:rFonts w:cs="Arial"/>
                <w:szCs w:val="16"/>
              </w:rPr>
              <w:t xml:space="preserve"> spp. (banana). For a comprehensive list, see Miller </w:t>
            </w:r>
            <w:r>
              <w:rPr>
                <w:rFonts w:cs="Arial"/>
                <w:i/>
                <w:szCs w:val="16"/>
              </w:rPr>
              <w:t xml:space="preserve">et al. </w:t>
            </w:r>
            <w:r>
              <w:rPr>
                <w:rFonts w:cs="Arial"/>
                <w:szCs w:val="16"/>
              </w:rPr>
              <w:t>(2011).</w:t>
            </w:r>
          </w:p>
        </w:tc>
      </w:tr>
      <w:tr w:rsidR="009D3DC8" w14:paraId="05378171"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77083187"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106111E0" w14:textId="77777777" w:rsidR="009D3DC8" w:rsidRDefault="009D3DC8">
            <w:pPr>
              <w:pStyle w:val="TableText"/>
              <w:rPr>
                <w:rFonts w:cs="Arial"/>
                <w:szCs w:val="16"/>
              </w:rPr>
            </w:pPr>
            <w:r>
              <w:rPr>
                <w:rFonts w:cs="Arial"/>
                <w:szCs w:val="16"/>
              </w:rPr>
              <w:t xml:space="preserve">Presence in Australia: NT and Qld (CSIRO 2005; APPD 2011). No records found for presence in WA. </w:t>
            </w:r>
          </w:p>
          <w:p w14:paraId="76F7730C" w14:textId="77777777" w:rsidR="009D3DC8" w:rsidRDefault="009D3DC8">
            <w:pPr>
              <w:pStyle w:val="TableText"/>
              <w:rPr>
                <w:rFonts w:cs="Arial"/>
                <w:szCs w:val="16"/>
              </w:rPr>
            </w:pPr>
            <w:r>
              <w:rPr>
                <w:rFonts w:cs="Arial"/>
                <w:szCs w:val="16"/>
              </w:rPr>
              <w:t>Presence in Indonesia: Yes (Miller</w:t>
            </w:r>
            <w:r>
              <w:rPr>
                <w:rFonts w:cs="Arial"/>
                <w:i/>
                <w:szCs w:val="16"/>
              </w:rPr>
              <w:t xml:space="preserve"> et al.</w:t>
            </w:r>
            <w:r>
              <w:rPr>
                <w:rFonts w:cs="Arial"/>
                <w:szCs w:val="16"/>
              </w:rPr>
              <w:t xml:space="preserve"> 2011)</w:t>
            </w:r>
          </w:p>
          <w:p w14:paraId="0E0587CD" w14:textId="77777777" w:rsidR="009D3DC8" w:rsidRDefault="009D3DC8">
            <w:pPr>
              <w:pStyle w:val="TableText"/>
              <w:rPr>
                <w:rFonts w:cs="Arial"/>
                <w:szCs w:val="16"/>
              </w:rPr>
            </w:pPr>
            <w:r>
              <w:rPr>
                <w:rFonts w:cs="Arial"/>
                <w:szCs w:val="16"/>
              </w:rPr>
              <w:t>Presence elsewhere: Near-cosmopolitan throughout North and South America, Africa, Europe and Asia (Miller</w:t>
            </w:r>
            <w:r>
              <w:rPr>
                <w:rFonts w:cs="Arial"/>
                <w:i/>
                <w:szCs w:val="16"/>
              </w:rPr>
              <w:t xml:space="preserve"> et al.</w:t>
            </w:r>
            <w:r>
              <w:rPr>
                <w:rFonts w:cs="Arial"/>
                <w:szCs w:val="16"/>
              </w:rPr>
              <w:t xml:space="preserve"> 2011).</w:t>
            </w:r>
          </w:p>
        </w:tc>
      </w:tr>
      <w:tr w:rsidR="009D3DC8" w14:paraId="013542BD"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3D6D87D8"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2E01415C" w14:textId="77777777" w:rsidR="009D3DC8" w:rsidRDefault="009D3DC8">
            <w:pPr>
              <w:pStyle w:val="TableText"/>
              <w:rPr>
                <w:rFonts w:cs="Arial"/>
                <w:b/>
                <w:szCs w:val="16"/>
              </w:rPr>
            </w:pPr>
            <w:r>
              <w:rPr>
                <w:rFonts w:cs="Arial"/>
                <w:b/>
                <w:i/>
                <w:szCs w:val="16"/>
              </w:rPr>
              <w:t>Pseudaonidia trilobitiformis</w:t>
            </w:r>
            <w:r>
              <w:rPr>
                <w:rFonts w:cs="Arial"/>
                <w:b/>
                <w:szCs w:val="16"/>
              </w:rPr>
              <w:t xml:space="preserve"> (Green, 1896) </w:t>
            </w:r>
            <w:r>
              <w:rPr>
                <w:rFonts w:cs="Arial"/>
                <w:b/>
                <w:szCs w:val="16"/>
                <w:vertAlign w:val="superscript"/>
              </w:rPr>
              <w:t>EP, WA</w:t>
            </w:r>
          </w:p>
        </w:tc>
      </w:tr>
      <w:tr w:rsidR="009D3DC8" w14:paraId="2EA682DB"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34DF7BE"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1261EE0" w14:textId="77777777" w:rsidR="009D3DC8" w:rsidRDefault="009D3DC8">
            <w:pPr>
              <w:pStyle w:val="TableText"/>
              <w:rPr>
                <w:rFonts w:cs="Arial"/>
                <w:i/>
                <w:szCs w:val="16"/>
              </w:rPr>
            </w:pPr>
            <w:r>
              <w:rPr>
                <w:rFonts w:cs="Arial"/>
                <w:i/>
                <w:szCs w:val="16"/>
              </w:rPr>
              <w:t xml:space="preserve">Aspidiotus trilobitiformis </w:t>
            </w:r>
            <w:r>
              <w:rPr>
                <w:rFonts w:cs="Arial"/>
                <w:szCs w:val="16"/>
              </w:rPr>
              <w:t>Green, 1896</w:t>
            </w:r>
          </w:p>
          <w:p w14:paraId="7E7B3723" w14:textId="77777777" w:rsidR="009D3DC8" w:rsidRDefault="009D3DC8">
            <w:pPr>
              <w:pStyle w:val="TableText"/>
              <w:rPr>
                <w:rFonts w:cs="Arial"/>
                <w:i/>
                <w:szCs w:val="16"/>
              </w:rPr>
            </w:pPr>
            <w:r>
              <w:rPr>
                <w:rFonts w:cs="Arial"/>
                <w:i/>
                <w:szCs w:val="16"/>
              </w:rPr>
              <w:t xml:space="preserve">Aspiditus darutyi </w:t>
            </w:r>
            <w:r>
              <w:rPr>
                <w:rFonts w:cs="Arial"/>
                <w:szCs w:val="16"/>
              </w:rPr>
              <w:t>Charmoy, 1898</w:t>
            </w:r>
          </w:p>
          <w:p w14:paraId="57FF29A8" w14:textId="77777777" w:rsidR="009D3DC8" w:rsidRDefault="009D3DC8">
            <w:pPr>
              <w:pStyle w:val="TableText"/>
              <w:rPr>
                <w:rFonts w:cs="Arial"/>
                <w:szCs w:val="16"/>
              </w:rPr>
            </w:pPr>
            <w:r>
              <w:rPr>
                <w:rFonts w:cs="Arial"/>
                <w:i/>
                <w:szCs w:val="16"/>
              </w:rPr>
              <w:t xml:space="preserve">Pseudaonidia trilobitiformis darutyi </w:t>
            </w:r>
            <w:r>
              <w:rPr>
                <w:rFonts w:cs="Arial"/>
                <w:szCs w:val="16"/>
              </w:rPr>
              <w:t>(Fernald, 1903)</w:t>
            </w:r>
          </w:p>
          <w:p w14:paraId="72EDFA41" w14:textId="77777777" w:rsidR="009D3DC8" w:rsidRDefault="009D3DC8">
            <w:pPr>
              <w:pStyle w:val="TableText"/>
              <w:rPr>
                <w:rFonts w:cs="Arial"/>
                <w:i/>
                <w:szCs w:val="16"/>
              </w:rPr>
            </w:pPr>
            <w:r>
              <w:rPr>
                <w:rFonts w:cs="Arial"/>
                <w:i/>
                <w:szCs w:val="16"/>
              </w:rPr>
              <w:t xml:space="preserve">Pseudaonidia darutyi </w:t>
            </w:r>
            <w:r>
              <w:rPr>
                <w:rFonts w:cs="Arial"/>
                <w:szCs w:val="16"/>
              </w:rPr>
              <w:t>(Marlatt, 1908)</w:t>
            </w:r>
          </w:p>
        </w:tc>
      </w:tr>
      <w:tr w:rsidR="009D3DC8" w14:paraId="5706F362"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4F6CD1F"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B27F5A1" w14:textId="77777777" w:rsidR="009D3DC8" w:rsidRDefault="009D3DC8">
            <w:pPr>
              <w:pStyle w:val="TableText"/>
              <w:rPr>
                <w:rFonts w:cs="Arial"/>
                <w:szCs w:val="16"/>
              </w:rPr>
            </w:pPr>
            <w:r>
              <w:rPr>
                <w:rFonts w:cs="Arial"/>
                <w:szCs w:val="16"/>
              </w:rPr>
              <w:t>Trilobite scale, cashew scale, gingging scale, trilobe scale</w:t>
            </w:r>
          </w:p>
        </w:tc>
      </w:tr>
      <w:tr w:rsidR="009D3DC8" w14:paraId="364C8EC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0B3E4E5"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50610D6A" w14:textId="77777777" w:rsidR="009D3DC8" w:rsidRDefault="009D3DC8">
            <w:pPr>
              <w:pStyle w:val="TableText"/>
              <w:rPr>
                <w:rFonts w:cs="Arial"/>
                <w:szCs w:val="16"/>
              </w:rPr>
            </w:pPr>
            <w:r>
              <w:rPr>
                <w:rFonts w:cs="Arial"/>
                <w:szCs w:val="16"/>
              </w:rPr>
              <w:t xml:space="preserve">Recorded from 80 genera across 42 families including: </w:t>
            </w:r>
            <w:r>
              <w:rPr>
                <w:rFonts w:cs="Arial"/>
                <w:i/>
                <w:szCs w:val="16"/>
              </w:rPr>
              <w:t xml:space="preserve">Anacardium occidentale </w:t>
            </w:r>
            <w:r>
              <w:rPr>
                <w:rFonts w:cs="Arial"/>
                <w:szCs w:val="16"/>
              </w:rPr>
              <w:t xml:space="preserve">(cashew nut), </w:t>
            </w:r>
            <w:r>
              <w:rPr>
                <w:rFonts w:cs="Arial"/>
                <w:i/>
                <w:szCs w:val="16"/>
              </w:rPr>
              <w:t xml:space="preserve">Citrus, Coffea </w:t>
            </w:r>
            <w:r>
              <w:rPr>
                <w:rFonts w:cs="Arial"/>
                <w:szCs w:val="16"/>
              </w:rPr>
              <w:t xml:space="preserve">(coffee), </w:t>
            </w:r>
            <w:r>
              <w:rPr>
                <w:rFonts w:cs="Arial"/>
                <w:i/>
                <w:szCs w:val="16"/>
              </w:rPr>
              <w:t xml:space="preserve">Persea americana </w:t>
            </w:r>
            <w:r>
              <w:rPr>
                <w:rFonts w:cs="Arial"/>
                <w:szCs w:val="16"/>
              </w:rPr>
              <w:t xml:space="preserve">(avocado), </w:t>
            </w:r>
            <w:r>
              <w:rPr>
                <w:rFonts w:cs="Arial"/>
                <w:i/>
                <w:szCs w:val="16"/>
              </w:rPr>
              <w:t xml:space="preserve">Mangifera indica </w:t>
            </w:r>
            <w:r>
              <w:rPr>
                <w:rFonts w:cs="Arial"/>
                <w:szCs w:val="16"/>
              </w:rPr>
              <w:t xml:space="preserve">(mango) and </w:t>
            </w:r>
            <w:r>
              <w:rPr>
                <w:rFonts w:cs="Arial"/>
                <w:i/>
                <w:szCs w:val="16"/>
              </w:rPr>
              <w:t xml:space="preserve">Cacao </w:t>
            </w:r>
            <w:r>
              <w:rPr>
                <w:rFonts w:cs="Arial"/>
                <w:szCs w:val="16"/>
              </w:rPr>
              <w:t xml:space="preserve">(cacao bean). For a comprehensive list, see Ben-Dov (2011c). </w:t>
            </w:r>
          </w:p>
        </w:tc>
      </w:tr>
      <w:tr w:rsidR="009D3DC8" w14:paraId="033A8DB0"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320D1D2A"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3C249DB0" w14:textId="77777777" w:rsidR="009D3DC8" w:rsidRDefault="009D3DC8">
            <w:pPr>
              <w:pStyle w:val="TableText"/>
              <w:rPr>
                <w:rFonts w:cs="Arial"/>
                <w:szCs w:val="16"/>
              </w:rPr>
            </w:pPr>
            <w:r>
              <w:rPr>
                <w:rFonts w:cs="Arial"/>
                <w:szCs w:val="16"/>
              </w:rPr>
              <w:t xml:space="preserve">Presence in Australia: NT and Qld (CSIRO 2005; APPD 2011). No records found for presence in WA. </w:t>
            </w:r>
          </w:p>
          <w:p w14:paraId="63C24313" w14:textId="77777777" w:rsidR="009D3DC8" w:rsidRDefault="009D3DC8">
            <w:pPr>
              <w:pStyle w:val="TableText"/>
              <w:rPr>
                <w:rFonts w:cs="Arial"/>
                <w:szCs w:val="16"/>
              </w:rPr>
            </w:pPr>
            <w:r>
              <w:rPr>
                <w:rFonts w:cs="Arial"/>
                <w:szCs w:val="16"/>
              </w:rPr>
              <w:t>Presence in Indonesia: Yes (Ben-Dov 2011c)</w:t>
            </w:r>
          </w:p>
          <w:p w14:paraId="2E941D73" w14:textId="77777777" w:rsidR="009D3DC8" w:rsidRDefault="009D3DC8">
            <w:pPr>
              <w:pStyle w:val="TableText"/>
              <w:rPr>
                <w:rFonts w:cs="Arial"/>
                <w:szCs w:val="16"/>
              </w:rPr>
            </w:pPr>
            <w:r>
              <w:rPr>
                <w:rFonts w:cs="Arial"/>
                <w:szCs w:val="16"/>
              </w:rPr>
              <w:t>Presence elsewhere: Near-cosmopolitan throughout North and South America, Africa and Asia (Williams 2004).</w:t>
            </w:r>
          </w:p>
        </w:tc>
      </w:tr>
      <w:tr w:rsidR="009D3DC8" w14:paraId="6D190DDD"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785A424B"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39AE41A4" w14:textId="77777777" w:rsidR="009D3DC8" w:rsidRDefault="009D3DC8">
            <w:pPr>
              <w:pStyle w:val="TableText"/>
              <w:rPr>
                <w:rFonts w:cs="Arial"/>
                <w:b/>
                <w:szCs w:val="16"/>
              </w:rPr>
            </w:pPr>
            <w:r>
              <w:rPr>
                <w:rFonts w:cs="Arial"/>
                <w:b/>
                <w:i/>
                <w:szCs w:val="16"/>
              </w:rPr>
              <w:t xml:space="preserve">Dysmicoccus lepelleyi </w:t>
            </w:r>
            <w:r>
              <w:rPr>
                <w:rFonts w:cs="Arial"/>
                <w:b/>
                <w:szCs w:val="16"/>
              </w:rPr>
              <w:t>(Betrem, 1937)</w:t>
            </w:r>
          </w:p>
        </w:tc>
      </w:tr>
      <w:tr w:rsidR="009D3DC8" w14:paraId="00C06FE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535B697"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28AAC0DC" w14:textId="77777777" w:rsidR="009D3DC8" w:rsidRDefault="009D3DC8">
            <w:pPr>
              <w:pStyle w:val="TableText"/>
              <w:rPr>
                <w:rFonts w:cs="Arial"/>
                <w:iCs/>
                <w:szCs w:val="16"/>
              </w:rPr>
            </w:pPr>
            <w:r>
              <w:rPr>
                <w:rFonts w:cs="Arial"/>
                <w:i/>
                <w:iCs/>
                <w:szCs w:val="16"/>
              </w:rPr>
              <w:t xml:space="preserve">Pseudococcus lepelleyi </w:t>
            </w:r>
            <w:r>
              <w:rPr>
                <w:rFonts w:cs="Arial"/>
                <w:iCs/>
                <w:szCs w:val="16"/>
              </w:rPr>
              <w:t>Betrem, 1937</w:t>
            </w:r>
          </w:p>
          <w:p w14:paraId="39B57118" w14:textId="77777777" w:rsidR="009D3DC8" w:rsidRDefault="009D3DC8">
            <w:pPr>
              <w:pStyle w:val="TableText"/>
              <w:rPr>
                <w:rFonts w:cs="Arial"/>
                <w:iCs/>
                <w:szCs w:val="16"/>
              </w:rPr>
            </w:pPr>
            <w:r>
              <w:rPr>
                <w:rFonts w:cs="Arial"/>
                <w:i/>
                <w:iCs/>
                <w:szCs w:val="16"/>
              </w:rPr>
              <w:t>Criniticoccus palmae</w:t>
            </w:r>
            <w:r>
              <w:rPr>
                <w:rFonts w:cs="Arial"/>
                <w:iCs/>
                <w:szCs w:val="16"/>
              </w:rPr>
              <w:t xml:space="preserve"> Lit, 1992</w:t>
            </w:r>
          </w:p>
        </w:tc>
      </w:tr>
      <w:tr w:rsidR="009D3DC8" w14:paraId="6327028D"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1919DA6"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7A59D400" w14:textId="77777777" w:rsidR="009D3DC8" w:rsidRDefault="009D3DC8">
            <w:pPr>
              <w:pStyle w:val="TableText"/>
              <w:rPr>
                <w:rFonts w:cs="Arial"/>
                <w:szCs w:val="16"/>
              </w:rPr>
            </w:pPr>
            <w:r>
              <w:rPr>
                <w:rFonts w:cs="Arial"/>
                <w:szCs w:val="16"/>
              </w:rPr>
              <w:t>Annona mealybug</w:t>
            </w:r>
          </w:p>
        </w:tc>
      </w:tr>
      <w:tr w:rsidR="009D3DC8" w14:paraId="4DCC760C"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A99D37B" w14:textId="77777777" w:rsidR="009D3DC8" w:rsidRDefault="009D3DC8">
            <w:pPr>
              <w:pStyle w:val="TableText"/>
              <w:rPr>
                <w:rFonts w:cs="Arial"/>
                <w:b/>
                <w:szCs w:val="16"/>
              </w:rPr>
            </w:pPr>
            <w:r>
              <w:rPr>
                <w:rFonts w:cs="Arial"/>
                <w:b/>
                <w:szCs w:val="16"/>
              </w:rPr>
              <w:lastRenderedPageBreak/>
              <w:t>Main hosts</w:t>
            </w:r>
          </w:p>
        </w:tc>
        <w:tc>
          <w:tcPr>
            <w:tcW w:w="7199" w:type="dxa"/>
            <w:tcBorders>
              <w:top w:val="single" w:sz="8" w:space="0" w:color="C0C0C0"/>
              <w:left w:val="single" w:sz="4" w:space="0" w:color="auto"/>
              <w:bottom w:val="single" w:sz="8" w:space="0" w:color="C0C0C0"/>
              <w:right w:val="single" w:sz="8" w:space="0" w:color="auto"/>
            </w:tcBorders>
          </w:tcPr>
          <w:p w14:paraId="2A5303FB" w14:textId="77777777" w:rsidR="009D3DC8" w:rsidRDefault="009D3DC8">
            <w:pPr>
              <w:pStyle w:val="TableText"/>
              <w:rPr>
                <w:rFonts w:cs="Arial"/>
                <w:szCs w:val="16"/>
              </w:rPr>
            </w:pPr>
            <w:r>
              <w:rPr>
                <w:rFonts w:cs="Arial"/>
                <w:szCs w:val="16"/>
              </w:rPr>
              <w:t xml:space="preserve">Recorded from more than 30 genera across17 families including: </w:t>
            </w:r>
            <w:r>
              <w:rPr>
                <w:rFonts w:cs="Arial"/>
                <w:i/>
                <w:szCs w:val="16"/>
              </w:rPr>
              <w:t>Garcinia mangostana</w:t>
            </w:r>
            <w:r>
              <w:rPr>
                <w:rFonts w:cs="Arial"/>
                <w:szCs w:val="16"/>
              </w:rPr>
              <w:t xml:space="preserve"> (mangosteen), </w:t>
            </w:r>
            <w:r>
              <w:rPr>
                <w:rFonts w:eastAsia="MS Mincho" w:cs="Arial"/>
                <w:i/>
                <w:iCs/>
                <w:szCs w:val="16"/>
                <w:lang w:eastAsia="ja-JP"/>
              </w:rPr>
              <w:t>Mangifera</w:t>
            </w:r>
            <w:r>
              <w:rPr>
                <w:rFonts w:cs="Arial"/>
                <w:szCs w:val="16"/>
              </w:rPr>
              <w:t xml:space="preserve"> </w:t>
            </w:r>
            <w:r>
              <w:rPr>
                <w:rFonts w:eastAsia="MS Mincho" w:cs="Arial"/>
                <w:i/>
                <w:iCs/>
                <w:szCs w:val="16"/>
                <w:lang w:eastAsia="ja-JP"/>
              </w:rPr>
              <w:t xml:space="preserve">indica </w:t>
            </w:r>
            <w:r>
              <w:rPr>
                <w:rFonts w:eastAsia="MS Mincho" w:cs="Arial"/>
                <w:iCs/>
                <w:szCs w:val="16"/>
                <w:lang w:eastAsia="ja-JP"/>
              </w:rPr>
              <w:t>(mango),</w:t>
            </w:r>
            <w:r>
              <w:rPr>
                <w:rFonts w:cs="Arial"/>
                <w:szCs w:val="16"/>
              </w:rPr>
              <w:t xml:space="preserve"> </w:t>
            </w:r>
            <w:r>
              <w:rPr>
                <w:rFonts w:eastAsia="MS Mincho" w:cs="Arial"/>
                <w:i/>
                <w:iCs/>
                <w:szCs w:val="16"/>
                <w:lang w:eastAsia="ja-JP"/>
              </w:rPr>
              <w:t>Ficus</w:t>
            </w:r>
            <w:r>
              <w:rPr>
                <w:rFonts w:cs="Arial"/>
                <w:szCs w:val="16"/>
              </w:rPr>
              <w:t xml:space="preserve"> </w:t>
            </w:r>
            <w:r>
              <w:rPr>
                <w:rFonts w:eastAsia="MS Mincho" w:cs="Arial"/>
                <w:i/>
                <w:iCs/>
                <w:szCs w:val="16"/>
                <w:lang w:eastAsia="ja-JP"/>
              </w:rPr>
              <w:t>variegata</w:t>
            </w:r>
            <w:r>
              <w:rPr>
                <w:rFonts w:cs="Arial"/>
                <w:szCs w:val="16"/>
              </w:rPr>
              <w:t xml:space="preserve"> </w:t>
            </w:r>
            <w:r>
              <w:rPr>
                <w:rFonts w:eastAsia="MS Mincho" w:cs="Arial"/>
                <w:iCs/>
                <w:szCs w:val="16"/>
                <w:lang w:eastAsia="ja-JP"/>
              </w:rPr>
              <w:t xml:space="preserve">(variegated fig), </w:t>
            </w:r>
            <w:r>
              <w:rPr>
                <w:rFonts w:eastAsia="MS Mincho" w:cs="Arial"/>
                <w:i/>
                <w:iCs/>
                <w:szCs w:val="16"/>
                <w:lang w:eastAsia="ja-JP"/>
              </w:rPr>
              <w:t>Psidium</w:t>
            </w:r>
            <w:r>
              <w:rPr>
                <w:rFonts w:cs="Arial"/>
                <w:szCs w:val="16"/>
              </w:rPr>
              <w:t xml:space="preserve"> </w:t>
            </w:r>
            <w:r>
              <w:rPr>
                <w:rFonts w:eastAsia="MS Mincho" w:cs="Arial"/>
                <w:i/>
                <w:iCs/>
                <w:szCs w:val="16"/>
                <w:lang w:eastAsia="ja-JP"/>
              </w:rPr>
              <w:t>guajava</w:t>
            </w:r>
            <w:r>
              <w:rPr>
                <w:rFonts w:cs="Arial"/>
                <w:szCs w:val="16"/>
              </w:rPr>
              <w:t xml:space="preserve"> </w:t>
            </w:r>
            <w:r>
              <w:rPr>
                <w:rFonts w:eastAsia="MS Mincho" w:cs="Arial"/>
                <w:iCs/>
                <w:szCs w:val="16"/>
                <w:lang w:eastAsia="ja-JP"/>
              </w:rPr>
              <w:t xml:space="preserve">(guava), </w:t>
            </w:r>
            <w:r>
              <w:rPr>
                <w:rFonts w:eastAsia="MS Mincho" w:cs="Arial"/>
                <w:i/>
                <w:iCs/>
                <w:szCs w:val="16"/>
                <w:lang w:eastAsia="ja-JP"/>
              </w:rPr>
              <w:t>Coffea</w:t>
            </w:r>
            <w:r>
              <w:rPr>
                <w:rFonts w:cs="Arial"/>
                <w:szCs w:val="16"/>
              </w:rPr>
              <w:t xml:space="preserve"> </w:t>
            </w:r>
            <w:r>
              <w:rPr>
                <w:rFonts w:eastAsia="MS Mincho" w:cs="Arial"/>
                <w:iCs/>
                <w:szCs w:val="16"/>
                <w:lang w:eastAsia="ja-JP"/>
              </w:rPr>
              <w:t xml:space="preserve">(coffee), </w:t>
            </w:r>
            <w:r>
              <w:rPr>
                <w:rFonts w:eastAsia="MS Mincho" w:cs="Arial"/>
                <w:i/>
                <w:iCs/>
                <w:szCs w:val="16"/>
                <w:lang w:eastAsia="ja-JP"/>
              </w:rPr>
              <w:t>Citrus</w:t>
            </w:r>
            <w:r>
              <w:rPr>
                <w:rFonts w:eastAsia="MS Mincho" w:cs="Arial"/>
                <w:iCs/>
                <w:szCs w:val="16"/>
                <w:lang w:eastAsia="ja-JP"/>
              </w:rPr>
              <w:t xml:space="preserve">, </w:t>
            </w:r>
            <w:r>
              <w:rPr>
                <w:rFonts w:eastAsia="MS Mincho" w:cs="Arial"/>
                <w:i/>
                <w:iCs/>
                <w:szCs w:val="16"/>
                <w:lang w:eastAsia="ja-JP"/>
              </w:rPr>
              <w:t>Litchi</w:t>
            </w:r>
            <w:r>
              <w:rPr>
                <w:rFonts w:cs="Arial"/>
                <w:szCs w:val="16"/>
              </w:rPr>
              <w:t xml:space="preserve"> </w:t>
            </w:r>
            <w:r>
              <w:rPr>
                <w:rFonts w:eastAsia="MS Mincho" w:cs="Arial"/>
                <w:i/>
                <w:iCs/>
                <w:szCs w:val="16"/>
                <w:lang w:eastAsia="ja-JP"/>
              </w:rPr>
              <w:t>chinensis</w:t>
            </w:r>
            <w:r>
              <w:rPr>
                <w:rFonts w:cs="Arial"/>
                <w:szCs w:val="16"/>
              </w:rPr>
              <w:t xml:space="preserve"> </w:t>
            </w:r>
            <w:r>
              <w:rPr>
                <w:rFonts w:eastAsia="MS Mincho" w:cs="Arial"/>
                <w:iCs/>
                <w:szCs w:val="16"/>
                <w:lang w:eastAsia="ja-JP"/>
              </w:rPr>
              <w:t xml:space="preserve">(lychee), </w:t>
            </w:r>
            <w:r>
              <w:rPr>
                <w:rFonts w:eastAsia="MS Mincho" w:cs="Arial"/>
                <w:i/>
                <w:iCs/>
                <w:szCs w:val="16"/>
                <w:lang w:eastAsia="ja-JP"/>
              </w:rPr>
              <w:t>Nephelium</w:t>
            </w:r>
            <w:r>
              <w:rPr>
                <w:rFonts w:cs="Arial"/>
                <w:szCs w:val="16"/>
              </w:rPr>
              <w:t xml:space="preserve"> </w:t>
            </w:r>
            <w:r>
              <w:rPr>
                <w:rFonts w:eastAsia="MS Mincho" w:cs="Arial"/>
                <w:i/>
                <w:iCs/>
                <w:szCs w:val="16"/>
                <w:lang w:eastAsia="ja-JP"/>
              </w:rPr>
              <w:t>lappaceum</w:t>
            </w:r>
            <w:r>
              <w:rPr>
                <w:rFonts w:cs="Arial"/>
                <w:szCs w:val="16"/>
              </w:rPr>
              <w:t xml:space="preserve"> </w:t>
            </w:r>
            <w:r>
              <w:rPr>
                <w:rFonts w:eastAsia="MS Mincho" w:cs="Arial"/>
                <w:iCs/>
                <w:szCs w:val="16"/>
                <w:lang w:eastAsia="ja-JP"/>
              </w:rPr>
              <w:t xml:space="preserve">(rambutan), </w:t>
            </w:r>
            <w:r>
              <w:rPr>
                <w:rFonts w:eastAsia="MS Mincho" w:cs="Arial"/>
                <w:i/>
                <w:iCs/>
                <w:szCs w:val="16"/>
                <w:lang w:eastAsia="ja-JP"/>
              </w:rPr>
              <w:t>Theobroma</w:t>
            </w:r>
            <w:r>
              <w:rPr>
                <w:rFonts w:cs="Arial"/>
                <w:szCs w:val="16"/>
              </w:rPr>
              <w:t xml:space="preserve"> </w:t>
            </w:r>
            <w:r>
              <w:rPr>
                <w:rFonts w:eastAsia="MS Mincho" w:cs="Arial"/>
                <w:i/>
                <w:iCs/>
                <w:szCs w:val="16"/>
                <w:lang w:eastAsia="ja-JP"/>
              </w:rPr>
              <w:t>cacao</w:t>
            </w:r>
            <w:r>
              <w:rPr>
                <w:rFonts w:cs="Arial"/>
                <w:szCs w:val="16"/>
              </w:rPr>
              <w:t xml:space="preserve"> </w:t>
            </w:r>
            <w:r>
              <w:rPr>
                <w:rFonts w:eastAsia="MS Mincho" w:cs="Arial"/>
                <w:iCs/>
                <w:szCs w:val="16"/>
                <w:lang w:eastAsia="ja-JP"/>
              </w:rPr>
              <w:t xml:space="preserve">(cacao), and </w:t>
            </w:r>
            <w:r>
              <w:rPr>
                <w:rFonts w:eastAsia="MS Mincho" w:cs="Arial"/>
                <w:i/>
                <w:iCs/>
                <w:szCs w:val="16"/>
                <w:lang w:eastAsia="ja-JP"/>
              </w:rPr>
              <w:t>Musa</w:t>
            </w:r>
            <w:r>
              <w:rPr>
                <w:rFonts w:cs="Arial"/>
                <w:szCs w:val="16"/>
              </w:rPr>
              <w:t xml:space="preserve"> (banana). For a comprehensive list, see Ben-Dov (2011d).</w:t>
            </w:r>
          </w:p>
        </w:tc>
      </w:tr>
      <w:tr w:rsidR="009D3DC8" w14:paraId="2A483680"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37D9773D"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2CC02093" w14:textId="77777777" w:rsidR="009D3DC8" w:rsidRDefault="009D3DC8">
            <w:pPr>
              <w:pStyle w:val="TableText"/>
              <w:rPr>
                <w:rFonts w:cs="Arial"/>
                <w:szCs w:val="16"/>
              </w:rPr>
            </w:pPr>
            <w:r>
              <w:rPr>
                <w:rFonts w:cs="Arial"/>
                <w:szCs w:val="16"/>
              </w:rPr>
              <w:t>Presence in Australia: No records found</w:t>
            </w:r>
          </w:p>
          <w:p w14:paraId="61AE70D5" w14:textId="77777777" w:rsidR="009D3DC8" w:rsidRDefault="009D3DC8">
            <w:pPr>
              <w:pStyle w:val="TableText"/>
              <w:rPr>
                <w:rFonts w:cs="Arial"/>
                <w:szCs w:val="16"/>
              </w:rPr>
            </w:pPr>
            <w:r>
              <w:rPr>
                <w:rFonts w:cs="Arial"/>
                <w:szCs w:val="16"/>
              </w:rPr>
              <w:t>Presence in Indonesia: Yes (Ben-Dov 2011d).</w:t>
            </w:r>
          </w:p>
          <w:p w14:paraId="7C2B7584" w14:textId="77777777" w:rsidR="009D3DC8" w:rsidRDefault="009D3DC8">
            <w:pPr>
              <w:pStyle w:val="TableText"/>
              <w:rPr>
                <w:rFonts w:cs="Arial"/>
                <w:szCs w:val="16"/>
              </w:rPr>
            </w:pPr>
            <w:r>
              <w:rPr>
                <w:rFonts w:cs="Arial"/>
                <w:szCs w:val="16"/>
              </w:rPr>
              <w:t>Presence elsewhere: Southeast Asia (Williams 2004)</w:t>
            </w:r>
          </w:p>
        </w:tc>
      </w:tr>
      <w:tr w:rsidR="009D3DC8" w14:paraId="7608BAAC"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2F5F958E"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00F94640" w14:textId="77777777" w:rsidR="009D3DC8" w:rsidRDefault="009D3DC8">
            <w:pPr>
              <w:pStyle w:val="TableText"/>
              <w:rPr>
                <w:rFonts w:cs="Arial"/>
                <w:b/>
                <w:szCs w:val="16"/>
              </w:rPr>
            </w:pPr>
            <w:r>
              <w:rPr>
                <w:rFonts w:cs="Arial"/>
                <w:b/>
                <w:i/>
                <w:szCs w:val="16"/>
              </w:rPr>
              <w:t>Exallomochlus hispidus</w:t>
            </w:r>
            <w:r>
              <w:rPr>
                <w:rFonts w:cs="Arial"/>
                <w:b/>
                <w:szCs w:val="16"/>
              </w:rPr>
              <w:t xml:space="preserve"> (Morrison, 1921)</w:t>
            </w:r>
          </w:p>
        </w:tc>
      </w:tr>
      <w:tr w:rsidR="009D3DC8" w14:paraId="0DC48A42"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7EE45E1"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AFBB59D" w14:textId="77777777" w:rsidR="009D3DC8" w:rsidRDefault="009D3DC8">
            <w:pPr>
              <w:pStyle w:val="TableText"/>
              <w:rPr>
                <w:rFonts w:cs="Arial"/>
                <w:iCs/>
                <w:szCs w:val="16"/>
              </w:rPr>
            </w:pPr>
            <w:r>
              <w:rPr>
                <w:rFonts w:cs="Arial"/>
                <w:i/>
                <w:iCs/>
                <w:szCs w:val="16"/>
              </w:rPr>
              <w:t xml:space="preserve">Pseudococcus hispidus </w:t>
            </w:r>
            <w:r>
              <w:rPr>
                <w:rFonts w:cs="Arial"/>
                <w:iCs/>
                <w:szCs w:val="16"/>
              </w:rPr>
              <w:t>Morrison, 1921</w:t>
            </w:r>
          </w:p>
          <w:p w14:paraId="4572F897" w14:textId="77777777" w:rsidR="009D3DC8" w:rsidRDefault="009D3DC8">
            <w:pPr>
              <w:pStyle w:val="TableText"/>
              <w:rPr>
                <w:rFonts w:cs="Arial"/>
                <w:iCs/>
                <w:szCs w:val="16"/>
              </w:rPr>
            </w:pPr>
            <w:r>
              <w:rPr>
                <w:rFonts w:cs="Arial"/>
                <w:i/>
                <w:iCs/>
                <w:szCs w:val="16"/>
              </w:rPr>
              <w:t xml:space="preserve">Pseudococcus jacobsoni </w:t>
            </w:r>
            <w:r>
              <w:rPr>
                <w:rFonts w:cs="Arial"/>
                <w:iCs/>
                <w:szCs w:val="16"/>
              </w:rPr>
              <w:t>Green, 1930</w:t>
            </w:r>
          </w:p>
          <w:p w14:paraId="66B7874E" w14:textId="77777777" w:rsidR="009D3DC8" w:rsidRDefault="009D3DC8">
            <w:pPr>
              <w:pStyle w:val="TableText"/>
              <w:rPr>
                <w:rFonts w:cs="Arial"/>
                <w:iCs/>
                <w:szCs w:val="16"/>
              </w:rPr>
            </w:pPr>
            <w:r>
              <w:rPr>
                <w:rFonts w:cs="Arial"/>
                <w:i/>
                <w:iCs/>
                <w:szCs w:val="16"/>
              </w:rPr>
              <w:t xml:space="preserve">Erium hispidum </w:t>
            </w:r>
            <w:r>
              <w:rPr>
                <w:rFonts w:cs="Arial"/>
                <w:iCs/>
                <w:szCs w:val="16"/>
              </w:rPr>
              <w:t>(Lindinger, 1935)</w:t>
            </w:r>
          </w:p>
          <w:p w14:paraId="29CE9BFF" w14:textId="77777777" w:rsidR="009D3DC8" w:rsidRDefault="009D3DC8">
            <w:pPr>
              <w:pStyle w:val="TableText"/>
              <w:rPr>
                <w:rFonts w:cs="Arial"/>
                <w:iCs/>
                <w:szCs w:val="16"/>
              </w:rPr>
            </w:pPr>
            <w:r>
              <w:rPr>
                <w:rFonts w:cs="Arial"/>
                <w:i/>
                <w:iCs/>
                <w:szCs w:val="16"/>
              </w:rPr>
              <w:t xml:space="preserve">Cataenococcus hispidus </w:t>
            </w:r>
            <w:r>
              <w:rPr>
                <w:rFonts w:cs="Arial"/>
                <w:iCs/>
                <w:szCs w:val="16"/>
              </w:rPr>
              <w:t>(Williams, 1970)</w:t>
            </w:r>
          </w:p>
          <w:p w14:paraId="7643453F" w14:textId="77777777" w:rsidR="009D3DC8" w:rsidRDefault="009D3DC8">
            <w:pPr>
              <w:pStyle w:val="TableText"/>
              <w:rPr>
                <w:rFonts w:cs="Arial"/>
                <w:iCs/>
                <w:szCs w:val="16"/>
              </w:rPr>
            </w:pPr>
            <w:r>
              <w:rPr>
                <w:rFonts w:cs="Arial"/>
                <w:i/>
                <w:iCs/>
                <w:szCs w:val="16"/>
              </w:rPr>
              <w:t xml:space="preserve">Paraputo hispidus </w:t>
            </w:r>
            <w:r>
              <w:rPr>
                <w:rFonts w:cs="Arial"/>
                <w:iCs/>
                <w:szCs w:val="16"/>
              </w:rPr>
              <w:t>(Tang, 1992)</w:t>
            </w:r>
          </w:p>
        </w:tc>
      </w:tr>
      <w:tr w:rsidR="009D3DC8" w14:paraId="5518E42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7F8CFEE"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2F4DC204" w14:textId="77777777" w:rsidR="009D3DC8" w:rsidRDefault="009D3DC8">
            <w:pPr>
              <w:pStyle w:val="TableText"/>
              <w:rPr>
                <w:rFonts w:cs="Arial"/>
                <w:szCs w:val="16"/>
              </w:rPr>
            </w:pPr>
            <w:r>
              <w:rPr>
                <w:rFonts w:cs="Arial"/>
                <w:szCs w:val="16"/>
              </w:rPr>
              <w:t xml:space="preserve">Cocoa mealybug </w:t>
            </w:r>
          </w:p>
        </w:tc>
      </w:tr>
      <w:tr w:rsidR="009D3DC8" w14:paraId="7F7F3D53"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6F577B2"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1FDC51B" w14:textId="77777777" w:rsidR="009D3DC8" w:rsidRDefault="009D3DC8">
            <w:pPr>
              <w:pStyle w:val="TableText"/>
              <w:rPr>
                <w:rFonts w:cs="Arial"/>
                <w:szCs w:val="16"/>
              </w:rPr>
            </w:pPr>
            <w:r>
              <w:rPr>
                <w:rFonts w:cs="Arial"/>
                <w:szCs w:val="16"/>
              </w:rPr>
              <w:t xml:space="preserve">Recorded from more than 50 hosts form 28 families including: </w:t>
            </w:r>
            <w:r>
              <w:rPr>
                <w:rFonts w:cs="Arial"/>
                <w:i/>
                <w:szCs w:val="16"/>
              </w:rPr>
              <w:t>Garcinia mangostana</w:t>
            </w:r>
            <w:r>
              <w:rPr>
                <w:rFonts w:cs="Arial"/>
                <w:szCs w:val="16"/>
              </w:rPr>
              <w:t xml:space="preserve"> (mangosteen), </w:t>
            </w:r>
            <w:r>
              <w:rPr>
                <w:rFonts w:eastAsia="MS Mincho" w:cs="Arial"/>
                <w:i/>
                <w:iCs/>
                <w:szCs w:val="16"/>
                <w:lang w:eastAsia="ja-JP"/>
              </w:rPr>
              <w:t xml:space="preserve">Psidium guajava </w:t>
            </w:r>
            <w:r>
              <w:rPr>
                <w:rFonts w:eastAsia="MS Mincho" w:cs="Arial"/>
                <w:szCs w:val="16"/>
                <w:lang w:eastAsia="ja-JP"/>
              </w:rPr>
              <w:t xml:space="preserve">(guava), </w:t>
            </w:r>
            <w:r>
              <w:rPr>
                <w:rFonts w:eastAsia="MS Mincho" w:cs="Arial"/>
                <w:i/>
                <w:szCs w:val="16"/>
                <w:lang w:eastAsia="ja-JP"/>
              </w:rPr>
              <w:t>Annona muricata</w:t>
            </w:r>
            <w:r>
              <w:rPr>
                <w:rFonts w:eastAsia="MS Mincho" w:cs="Arial"/>
                <w:szCs w:val="16"/>
                <w:lang w:eastAsia="ja-JP"/>
              </w:rPr>
              <w:t xml:space="preserve"> (soursop), </w:t>
            </w:r>
            <w:r>
              <w:rPr>
                <w:rFonts w:eastAsia="MS Mincho" w:cs="Arial"/>
                <w:i/>
                <w:szCs w:val="16"/>
                <w:lang w:eastAsia="ja-JP"/>
              </w:rPr>
              <w:t>Hibiscus</w:t>
            </w:r>
            <w:r>
              <w:rPr>
                <w:rFonts w:eastAsia="MS Mincho" w:cs="Arial"/>
                <w:szCs w:val="16"/>
                <w:lang w:eastAsia="ja-JP"/>
              </w:rPr>
              <w:t xml:space="preserve">, </w:t>
            </w:r>
            <w:r>
              <w:rPr>
                <w:rFonts w:eastAsia="MS Mincho" w:cs="Arial"/>
                <w:i/>
                <w:szCs w:val="16"/>
                <w:lang w:eastAsia="ja-JP"/>
              </w:rPr>
              <w:t>Citrus maxima</w:t>
            </w:r>
            <w:r>
              <w:rPr>
                <w:rFonts w:eastAsia="MS Mincho" w:cs="Arial"/>
                <w:szCs w:val="16"/>
                <w:lang w:eastAsia="ja-JP"/>
              </w:rPr>
              <w:t xml:space="preserve"> (pummelo), </w:t>
            </w:r>
            <w:r>
              <w:rPr>
                <w:rFonts w:eastAsia="MS Mincho" w:cs="Arial"/>
                <w:i/>
                <w:szCs w:val="16"/>
                <w:lang w:eastAsia="ja-JP"/>
              </w:rPr>
              <w:t>Durio</w:t>
            </w:r>
            <w:r>
              <w:rPr>
                <w:rFonts w:eastAsia="MS Mincho" w:cs="Arial"/>
                <w:szCs w:val="16"/>
                <w:lang w:eastAsia="ja-JP"/>
              </w:rPr>
              <w:t xml:space="preserve"> </w:t>
            </w:r>
            <w:r>
              <w:rPr>
                <w:rFonts w:eastAsia="MS Mincho" w:cs="Arial"/>
                <w:i/>
                <w:szCs w:val="16"/>
                <w:lang w:eastAsia="ja-JP"/>
              </w:rPr>
              <w:t>oblongus</w:t>
            </w:r>
            <w:r>
              <w:rPr>
                <w:rFonts w:eastAsia="MS Mincho" w:cs="Arial"/>
                <w:szCs w:val="16"/>
                <w:lang w:eastAsia="ja-JP"/>
              </w:rPr>
              <w:t xml:space="preserve"> (durian) and </w:t>
            </w:r>
            <w:r>
              <w:rPr>
                <w:rFonts w:eastAsia="MS Mincho" w:cs="Arial"/>
                <w:i/>
                <w:szCs w:val="16"/>
                <w:lang w:eastAsia="ja-JP"/>
              </w:rPr>
              <w:t>Polyalthia cauliflora</w:t>
            </w:r>
            <w:r>
              <w:rPr>
                <w:rFonts w:eastAsia="MS Mincho" w:cs="Arial"/>
                <w:szCs w:val="16"/>
                <w:lang w:eastAsia="ja-JP"/>
              </w:rPr>
              <w:t xml:space="preserve"> (coconut palm). </w:t>
            </w:r>
            <w:r>
              <w:rPr>
                <w:rFonts w:cs="Arial"/>
                <w:szCs w:val="16"/>
              </w:rPr>
              <w:t>For a comprehensive list, see Williams (2004).</w:t>
            </w:r>
          </w:p>
        </w:tc>
      </w:tr>
      <w:tr w:rsidR="009D3DC8" w14:paraId="6740F381"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4F6092EA"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46F0EBDB" w14:textId="77777777" w:rsidR="009D3DC8" w:rsidRDefault="009D3DC8">
            <w:pPr>
              <w:pStyle w:val="TableText"/>
              <w:rPr>
                <w:rFonts w:cs="Arial"/>
                <w:szCs w:val="16"/>
              </w:rPr>
            </w:pPr>
            <w:r>
              <w:rPr>
                <w:rFonts w:cs="Arial"/>
                <w:szCs w:val="16"/>
              </w:rPr>
              <w:t>Presence in Australia: No records found.</w:t>
            </w:r>
          </w:p>
          <w:p w14:paraId="23950A06" w14:textId="77777777" w:rsidR="009D3DC8" w:rsidRDefault="009D3DC8">
            <w:pPr>
              <w:pStyle w:val="TableText"/>
              <w:rPr>
                <w:rFonts w:cs="Arial"/>
                <w:szCs w:val="16"/>
              </w:rPr>
            </w:pPr>
            <w:r>
              <w:rPr>
                <w:rFonts w:cs="Arial"/>
                <w:szCs w:val="16"/>
              </w:rPr>
              <w:t>Presence in Indonesia: Yes (Ben-Dov 2011d).</w:t>
            </w:r>
          </w:p>
          <w:p w14:paraId="27AE5D60" w14:textId="77777777" w:rsidR="009D3DC8" w:rsidRDefault="009D3DC8">
            <w:pPr>
              <w:pStyle w:val="TableText"/>
              <w:rPr>
                <w:rFonts w:cs="Arial"/>
                <w:szCs w:val="16"/>
                <w:lang w:val="en-GB"/>
              </w:rPr>
            </w:pPr>
            <w:r>
              <w:rPr>
                <w:rFonts w:cs="Arial"/>
                <w:szCs w:val="16"/>
              </w:rPr>
              <w:t>Presence elsewhere: Southeast Asia (Williams 2004).</w:t>
            </w:r>
          </w:p>
        </w:tc>
      </w:tr>
      <w:tr w:rsidR="009D3DC8" w14:paraId="4F4E2EE7"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41CA8E94"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12CCA121" w14:textId="77777777" w:rsidR="009D3DC8" w:rsidRDefault="009D3DC8">
            <w:pPr>
              <w:pStyle w:val="TableText"/>
              <w:rPr>
                <w:rFonts w:cs="Arial"/>
                <w:b/>
                <w:szCs w:val="16"/>
              </w:rPr>
            </w:pPr>
            <w:r>
              <w:rPr>
                <w:rFonts w:cs="Arial"/>
                <w:b/>
                <w:i/>
                <w:szCs w:val="16"/>
              </w:rPr>
              <w:t xml:space="preserve">Hordeolicoccus heterotrichus </w:t>
            </w:r>
            <w:r>
              <w:rPr>
                <w:rFonts w:cs="Arial"/>
                <w:b/>
                <w:szCs w:val="16"/>
              </w:rPr>
              <w:t>Williams, 2004</w:t>
            </w:r>
          </w:p>
        </w:tc>
      </w:tr>
      <w:tr w:rsidR="009D3DC8" w14:paraId="0D31E19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56A2B70"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55112128" w14:textId="77777777" w:rsidR="009D3DC8" w:rsidRDefault="009D3DC8">
            <w:pPr>
              <w:pStyle w:val="TableText"/>
              <w:rPr>
                <w:rFonts w:cs="Arial"/>
                <w:szCs w:val="16"/>
              </w:rPr>
            </w:pPr>
            <w:r>
              <w:rPr>
                <w:rFonts w:cs="Arial"/>
                <w:szCs w:val="16"/>
              </w:rPr>
              <w:t>None</w:t>
            </w:r>
          </w:p>
        </w:tc>
      </w:tr>
      <w:tr w:rsidR="009D3DC8" w14:paraId="71BCAF81"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DA7FA1A"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032A3A4" w14:textId="77777777" w:rsidR="009D3DC8" w:rsidRDefault="009D3DC8">
            <w:pPr>
              <w:pStyle w:val="TableText"/>
              <w:rPr>
                <w:rFonts w:cs="Arial"/>
                <w:szCs w:val="16"/>
              </w:rPr>
            </w:pPr>
            <w:r>
              <w:rPr>
                <w:rFonts w:cs="Arial"/>
                <w:szCs w:val="16"/>
              </w:rPr>
              <w:t>Citrus mealybug</w:t>
            </w:r>
          </w:p>
        </w:tc>
      </w:tr>
      <w:tr w:rsidR="009D3DC8" w14:paraId="5FA5278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EA5DB66"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6BDEDBDA" w14:textId="77777777" w:rsidR="009D3DC8" w:rsidRDefault="009D3DC8">
            <w:pPr>
              <w:pStyle w:val="TableText"/>
              <w:rPr>
                <w:rFonts w:cs="Arial"/>
                <w:szCs w:val="16"/>
              </w:rPr>
            </w:pPr>
            <w:r>
              <w:rPr>
                <w:rFonts w:cs="Arial"/>
                <w:szCs w:val="16"/>
              </w:rPr>
              <w:t>Recorded from a number of hosts from the following families: Burseaceae, Clusiaceae, Crypteroniaceae, Fabaceae, Myristicaceae, Myrtaceae, Rubiaceae and Sapindaceae (Williams 2004).</w:t>
            </w:r>
          </w:p>
        </w:tc>
      </w:tr>
      <w:tr w:rsidR="009D3DC8" w14:paraId="1983C841"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5DE9CD64"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6D795862" w14:textId="77777777" w:rsidR="009D3DC8" w:rsidRDefault="009D3DC8">
            <w:pPr>
              <w:pStyle w:val="TableText"/>
              <w:rPr>
                <w:rFonts w:cs="Arial"/>
                <w:szCs w:val="16"/>
              </w:rPr>
            </w:pPr>
            <w:r>
              <w:rPr>
                <w:rFonts w:cs="Arial"/>
                <w:szCs w:val="16"/>
              </w:rPr>
              <w:t>Presence in Australia: No records found</w:t>
            </w:r>
          </w:p>
          <w:p w14:paraId="63408662" w14:textId="77777777" w:rsidR="009D3DC8" w:rsidRDefault="009D3DC8">
            <w:pPr>
              <w:pStyle w:val="TableText"/>
              <w:rPr>
                <w:rFonts w:cs="Arial"/>
                <w:szCs w:val="16"/>
              </w:rPr>
            </w:pPr>
            <w:r>
              <w:rPr>
                <w:rFonts w:cs="Arial"/>
                <w:szCs w:val="16"/>
              </w:rPr>
              <w:t>Presence in Indonesia: Yes (Ben-Dov 2011d)</w:t>
            </w:r>
          </w:p>
          <w:p w14:paraId="3D705543" w14:textId="77777777" w:rsidR="009D3DC8" w:rsidRDefault="009D3DC8">
            <w:pPr>
              <w:pStyle w:val="TableText"/>
              <w:rPr>
                <w:rFonts w:cs="Arial"/>
                <w:szCs w:val="16"/>
              </w:rPr>
            </w:pPr>
            <w:r>
              <w:rPr>
                <w:rFonts w:cs="Arial"/>
                <w:szCs w:val="16"/>
              </w:rPr>
              <w:t>Presence elsewhere: Southeast Asia (Williams 2004).</w:t>
            </w:r>
          </w:p>
        </w:tc>
      </w:tr>
      <w:tr w:rsidR="009D3DC8" w14:paraId="7BEEDDF5"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6FA62214"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53764982" w14:textId="77777777" w:rsidR="009D3DC8" w:rsidRDefault="009D3DC8">
            <w:pPr>
              <w:pStyle w:val="TableText"/>
              <w:rPr>
                <w:rFonts w:cs="Arial"/>
                <w:b/>
                <w:szCs w:val="16"/>
              </w:rPr>
            </w:pPr>
            <w:r>
              <w:rPr>
                <w:rFonts w:cs="Arial"/>
                <w:b/>
                <w:i/>
                <w:szCs w:val="16"/>
              </w:rPr>
              <w:t xml:space="preserve">Paracoccus interceptus </w:t>
            </w:r>
            <w:r>
              <w:rPr>
                <w:rFonts w:cs="Arial"/>
                <w:b/>
                <w:szCs w:val="16"/>
              </w:rPr>
              <w:t>Lit, 1997</w:t>
            </w:r>
          </w:p>
        </w:tc>
      </w:tr>
      <w:tr w:rsidR="009D3DC8" w14:paraId="458C8A4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5C60920"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6958D3AF" w14:textId="77777777" w:rsidR="009D3DC8" w:rsidRDefault="009D3DC8">
            <w:pPr>
              <w:pStyle w:val="TableText"/>
              <w:rPr>
                <w:rFonts w:cs="Arial"/>
                <w:szCs w:val="16"/>
              </w:rPr>
            </w:pPr>
            <w:r>
              <w:rPr>
                <w:rFonts w:cs="Arial"/>
                <w:i/>
                <w:szCs w:val="16"/>
              </w:rPr>
              <w:t xml:space="preserve">Allococcus morrisoni </w:t>
            </w:r>
            <w:r>
              <w:rPr>
                <w:rFonts w:cs="Arial"/>
                <w:szCs w:val="16"/>
              </w:rPr>
              <w:t>Ezzat &amp; McConnell, 1956</w:t>
            </w:r>
          </w:p>
          <w:p w14:paraId="0FBDD038" w14:textId="77777777" w:rsidR="009D3DC8" w:rsidRDefault="009D3DC8">
            <w:pPr>
              <w:pStyle w:val="TableText"/>
              <w:rPr>
                <w:rFonts w:cs="Arial"/>
                <w:szCs w:val="16"/>
              </w:rPr>
            </w:pPr>
            <w:r>
              <w:rPr>
                <w:rFonts w:cs="Arial"/>
                <w:i/>
                <w:szCs w:val="16"/>
              </w:rPr>
              <w:t xml:space="preserve">Planococcus morrisoni </w:t>
            </w:r>
            <w:r>
              <w:rPr>
                <w:rFonts w:cs="Arial"/>
                <w:szCs w:val="16"/>
              </w:rPr>
              <w:t>(Cox &amp; Ben-Dov, 1986)</w:t>
            </w:r>
          </w:p>
          <w:p w14:paraId="7FE9C08B" w14:textId="77777777" w:rsidR="009D3DC8" w:rsidRDefault="009D3DC8">
            <w:pPr>
              <w:pStyle w:val="TableText"/>
              <w:rPr>
                <w:rFonts w:cs="Arial"/>
                <w:szCs w:val="16"/>
              </w:rPr>
            </w:pPr>
            <w:r>
              <w:rPr>
                <w:rFonts w:cs="Arial"/>
                <w:i/>
                <w:szCs w:val="16"/>
              </w:rPr>
              <w:t xml:space="preserve">Paracoccus morrisoni </w:t>
            </w:r>
            <w:r>
              <w:rPr>
                <w:rFonts w:cs="Arial"/>
                <w:szCs w:val="16"/>
              </w:rPr>
              <w:t>Lit, 1997</w:t>
            </w:r>
          </w:p>
        </w:tc>
      </w:tr>
      <w:tr w:rsidR="009D3DC8" w14:paraId="2F316EE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BA1DAAD"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B4EF59D" w14:textId="77777777" w:rsidR="009D3DC8" w:rsidRDefault="009D3DC8">
            <w:pPr>
              <w:pStyle w:val="TableText"/>
              <w:rPr>
                <w:rFonts w:cs="Arial"/>
                <w:szCs w:val="16"/>
              </w:rPr>
            </w:pPr>
            <w:r>
              <w:rPr>
                <w:rFonts w:cs="Arial"/>
                <w:szCs w:val="16"/>
              </w:rPr>
              <w:t>Intercepted mealybug</w:t>
            </w:r>
          </w:p>
        </w:tc>
      </w:tr>
      <w:tr w:rsidR="009D3DC8" w14:paraId="4019A842"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678C98C"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32D8BEBA" w14:textId="77777777" w:rsidR="009D3DC8" w:rsidRDefault="009D3DC8">
            <w:pPr>
              <w:pStyle w:val="TableText"/>
              <w:rPr>
                <w:rFonts w:cs="Arial"/>
                <w:szCs w:val="16"/>
              </w:rPr>
            </w:pPr>
            <w:r>
              <w:rPr>
                <w:rFonts w:cs="Arial"/>
                <w:szCs w:val="16"/>
              </w:rPr>
              <w:t xml:space="preserve">Recorded from more than 24 host plant species across 18 families including: </w:t>
            </w:r>
            <w:r>
              <w:rPr>
                <w:rFonts w:cs="Arial"/>
                <w:i/>
                <w:szCs w:val="16"/>
              </w:rPr>
              <w:t>Garcinia mangostana</w:t>
            </w:r>
            <w:r>
              <w:rPr>
                <w:rFonts w:cs="Arial"/>
                <w:szCs w:val="16"/>
              </w:rPr>
              <w:t xml:space="preserve"> (mangosteens), </w:t>
            </w:r>
            <w:r>
              <w:rPr>
                <w:rFonts w:cs="Arial"/>
                <w:i/>
                <w:szCs w:val="16"/>
              </w:rPr>
              <w:t xml:space="preserve">Mangifera indica </w:t>
            </w:r>
            <w:r>
              <w:rPr>
                <w:rFonts w:cs="Arial"/>
                <w:szCs w:val="16"/>
              </w:rPr>
              <w:t>(mango),</w:t>
            </w:r>
            <w:r>
              <w:rPr>
                <w:rFonts w:cs="Arial"/>
                <w:i/>
                <w:szCs w:val="16"/>
              </w:rPr>
              <w:t xml:space="preserve"> Annona cherimola </w:t>
            </w:r>
            <w:r>
              <w:rPr>
                <w:rFonts w:cs="Arial"/>
                <w:szCs w:val="16"/>
              </w:rPr>
              <w:t>(custard apple),</w:t>
            </w:r>
            <w:r>
              <w:rPr>
                <w:rFonts w:cs="Arial"/>
                <w:i/>
                <w:szCs w:val="16"/>
              </w:rPr>
              <w:t xml:space="preserve"> Ficus </w:t>
            </w:r>
            <w:r>
              <w:rPr>
                <w:rFonts w:cs="Arial"/>
                <w:szCs w:val="16"/>
              </w:rPr>
              <w:t>(fig),</w:t>
            </w:r>
            <w:r>
              <w:rPr>
                <w:rFonts w:cs="Arial"/>
                <w:i/>
                <w:szCs w:val="16"/>
              </w:rPr>
              <w:t xml:space="preserve"> Psidium guajava </w:t>
            </w:r>
            <w:r>
              <w:rPr>
                <w:rFonts w:cs="Arial"/>
                <w:szCs w:val="16"/>
              </w:rPr>
              <w:t>(guava),</w:t>
            </w:r>
            <w:r>
              <w:rPr>
                <w:rFonts w:cs="Arial"/>
                <w:i/>
                <w:szCs w:val="16"/>
              </w:rPr>
              <w:t xml:space="preserve"> Citrus</w:t>
            </w:r>
            <w:r>
              <w:rPr>
                <w:rFonts w:cs="Arial"/>
                <w:szCs w:val="16"/>
              </w:rPr>
              <w:t>,</w:t>
            </w:r>
            <w:r>
              <w:rPr>
                <w:rFonts w:cs="Arial"/>
                <w:i/>
                <w:szCs w:val="16"/>
              </w:rPr>
              <w:t xml:space="preserve"> Litchi chinensis </w:t>
            </w:r>
            <w:r>
              <w:rPr>
                <w:rFonts w:cs="Arial"/>
                <w:szCs w:val="16"/>
              </w:rPr>
              <w:t>(lychee),</w:t>
            </w:r>
            <w:r>
              <w:rPr>
                <w:rFonts w:cs="Arial"/>
                <w:i/>
                <w:szCs w:val="16"/>
              </w:rPr>
              <w:t xml:space="preserve"> </w:t>
            </w:r>
            <w:r>
              <w:rPr>
                <w:rFonts w:cs="Arial"/>
                <w:szCs w:val="16"/>
              </w:rPr>
              <w:t xml:space="preserve">and </w:t>
            </w:r>
            <w:r>
              <w:rPr>
                <w:rFonts w:cs="Arial"/>
                <w:i/>
                <w:szCs w:val="16"/>
              </w:rPr>
              <w:t xml:space="preserve">Nephelium lappaceum </w:t>
            </w:r>
            <w:r>
              <w:rPr>
                <w:rFonts w:cs="Arial"/>
                <w:szCs w:val="16"/>
              </w:rPr>
              <w:t>(rambutan). For a comprehensive list, see</w:t>
            </w:r>
            <w:r>
              <w:rPr>
                <w:rFonts w:cs="Arial"/>
                <w:i/>
                <w:szCs w:val="16"/>
              </w:rPr>
              <w:t xml:space="preserve"> </w:t>
            </w:r>
            <w:r>
              <w:rPr>
                <w:rFonts w:cs="Arial"/>
                <w:szCs w:val="16"/>
              </w:rPr>
              <w:t>Williams (2004).</w:t>
            </w:r>
          </w:p>
        </w:tc>
      </w:tr>
      <w:tr w:rsidR="009D3DC8" w14:paraId="7CB562FD"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3358B8C7"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6DB58B19" w14:textId="77777777" w:rsidR="009D3DC8" w:rsidRDefault="009D3DC8">
            <w:pPr>
              <w:pStyle w:val="TableText"/>
              <w:rPr>
                <w:rFonts w:cs="Arial"/>
                <w:szCs w:val="16"/>
              </w:rPr>
            </w:pPr>
            <w:r>
              <w:rPr>
                <w:rFonts w:cs="Arial"/>
                <w:szCs w:val="16"/>
              </w:rPr>
              <w:t>Presence in Australia: No records found</w:t>
            </w:r>
          </w:p>
          <w:p w14:paraId="68A631FE" w14:textId="77777777" w:rsidR="009D3DC8" w:rsidRDefault="009D3DC8">
            <w:pPr>
              <w:pStyle w:val="TableText"/>
              <w:rPr>
                <w:rFonts w:cs="Arial"/>
                <w:szCs w:val="16"/>
              </w:rPr>
            </w:pPr>
            <w:r>
              <w:rPr>
                <w:rFonts w:cs="Arial"/>
                <w:szCs w:val="16"/>
              </w:rPr>
              <w:t>Presence in Indonesia: Yes (Ben-Dov 2011d)</w:t>
            </w:r>
          </w:p>
          <w:p w14:paraId="4AD8DD7A" w14:textId="77777777" w:rsidR="009D3DC8" w:rsidRDefault="009D3DC8">
            <w:pPr>
              <w:pStyle w:val="TableText"/>
              <w:rPr>
                <w:rFonts w:cs="Arial"/>
                <w:szCs w:val="16"/>
              </w:rPr>
            </w:pPr>
            <w:r>
              <w:rPr>
                <w:rFonts w:cs="Arial"/>
                <w:szCs w:val="16"/>
              </w:rPr>
              <w:t>Presence elsewhere: Southeast Asia (Williams 2004).</w:t>
            </w:r>
          </w:p>
        </w:tc>
      </w:tr>
      <w:tr w:rsidR="009D3DC8" w14:paraId="58C0152B"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55A383A9"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7CFEDF0E" w14:textId="77777777" w:rsidR="009D3DC8" w:rsidRDefault="009D3DC8">
            <w:pPr>
              <w:pStyle w:val="TableText"/>
              <w:rPr>
                <w:rFonts w:cs="Arial"/>
                <w:b/>
                <w:szCs w:val="16"/>
              </w:rPr>
            </w:pPr>
            <w:r>
              <w:rPr>
                <w:rFonts w:cs="Arial"/>
                <w:b/>
                <w:i/>
                <w:szCs w:val="16"/>
              </w:rPr>
              <w:t xml:space="preserve">Paraputo odontomachi </w:t>
            </w:r>
            <w:r>
              <w:rPr>
                <w:rFonts w:cs="Arial"/>
                <w:b/>
                <w:szCs w:val="16"/>
              </w:rPr>
              <w:t>(Takahashi, 1951)</w:t>
            </w:r>
          </w:p>
        </w:tc>
      </w:tr>
      <w:tr w:rsidR="009D3DC8" w14:paraId="37B3D5C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BF900D7"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7AA2195C" w14:textId="77777777" w:rsidR="009D3DC8" w:rsidRDefault="009D3DC8">
            <w:pPr>
              <w:pStyle w:val="TableText"/>
              <w:rPr>
                <w:rFonts w:cs="Arial"/>
                <w:i/>
                <w:iCs/>
                <w:szCs w:val="16"/>
              </w:rPr>
            </w:pPr>
            <w:r>
              <w:rPr>
                <w:rFonts w:cs="Arial"/>
                <w:i/>
                <w:iCs/>
                <w:szCs w:val="16"/>
              </w:rPr>
              <w:t xml:space="preserve">Formicoccus odontomachi </w:t>
            </w:r>
            <w:r>
              <w:rPr>
                <w:rFonts w:cs="Arial"/>
                <w:iCs/>
                <w:szCs w:val="16"/>
              </w:rPr>
              <w:t>Takahashi, 1951</w:t>
            </w:r>
          </w:p>
        </w:tc>
      </w:tr>
      <w:tr w:rsidR="009D3DC8" w14:paraId="599706B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91D4123"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2588945" w14:textId="77777777" w:rsidR="009D3DC8" w:rsidRDefault="009D3DC8">
            <w:pPr>
              <w:pStyle w:val="TableText"/>
              <w:rPr>
                <w:rFonts w:cs="Arial"/>
                <w:szCs w:val="16"/>
              </w:rPr>
            </w:pPr>
            <w:r>
              <w:rPr>
                <w:rFonts w:cs="Arial"/>
                <w:szCs w:val="16"/>
              </w:rPr>
              <w:t>None</w:t>
            </w:r>
          </w:p>
        </w:tc>
      </w:tr>
      <w:tr w:rsidR="009D3DC8" w14:paraId="773B768C"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1E879FD"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1E9C8F8A" w14:textId="77777777" w:rsidR="009D3DC8" w:rsidRDefault="009D3DC8">
            <w:pPr>
              <w:pStyle w:val="TableText"/>
              <w:rPr>
                <w:rFonts w:eastAsia="MS Mincho" w:cs="Arial"/>
                <w:szCs w:val="16"/>
                <w:lang w:eastAsia="ja-JP"/>
              </w:rPr>
            </w:pPr>
            <w:r>
              <w:rPr>
                <w:rFonts w:eastAsia="MS Mincho" w:cs="Arial"/>
                <w:i/>
                <w:szCs w:val="16"/>
                <w:lang w:eastAsia="ja-JP"/>
              </w:rPr>
              <w:t xml:space="preserve">Garcinia mangostana </w:t>
            </w:r>
            <w:r>
              <w:rPr>
                <w:rFonts w:eastAsia="MS Mincho" w:cs="Arial"/>
                <w:szCs w:val="16"/>
                <w:lang w:eastAsia="ja-JP"/>
              </w:rPr>
              <w:t>(mangosteen)</w:t>
            </w:r>
            <w:r>
              <w:rPr>
                <w:rFonts w:eastAsia="MS Mincho" w:cs="Arial"/>
                <w:i/>
                <w:szCs w:val="16"/>
                <w:lang w:eastAsia="ja-JP"/>
              </w:rPr>
              <w:t xml:space="preserve"> Crypteronia griffithii</w:t>
            </w:r>
            <w:r>
              <w:rPr>
                <w:rFonts w:eastAsia="MS Mincho" w:cs="Arial"/>
                <w:szCs w:val="16"/>
                <w:lang w:eastAsia="ja-JP"/>
              </w:rPr>
              <w:t>,</w:t>
            </w:r>
            <w:r>
              <w:rPr>
                <w:rFonts w:eastAsia="MS Mincho" w:cs="Arial"/>
                <w:i/>
                <w:szCs w:val="16"/>
                <w:lang w:eastAsia="ja-JP"/>
              </w:rPr>
              <w:t xml:space="preserve"> Crypteronia macrophylla</w:t>
            </w:r>
            <w:r>
              <w:rPr>
                <w:rFonts w:eastAsia="MS Mincho" w:cs="Arial"/>
                <w:szCs w:val="16"/>
                <w:lang w:eastAsia="ja-JP"/>
              </w:rPr>
              <w:t>,</w:t>
            </w:r>
            <w:r>
              <w:rPr>
                <w:rFonts w:eastAsia="MS Mincho" w:cs="Arial"/>
                <w:i/>
                <w:szCs w:val="16"/>
                <w:lang w:eastAsia="ja-JP"/>
              </w:rPr>
              <w:t xml:space="preserve"> Elaeocarpus petiolatus</w:t>
            </w:r>
            <w:r>
              <w:rPr>
                <w:rFonts w:eastAsia="MS Mincho" w:cs="Arial"/>
                <w:szCs w:val="16"/>
                <w:lang w:eastAsia="ja-JP"/>
              </w:rPr>
              <w:t>,</w:t>
            </w:r>
            <w:r>
              <w:rPr>
                <w:rFonts w:eastAsia="MS Mincho" w:cs="Arial"/>
                <w:i/>
                <w:szCs w:val="16"/>
                <w:lang w:eastAsia="ja-JP"/>
              </w:rPr>
              <w:t xml:space="preserve"> Bischofia</w:t>
            </w:r>
            <w:r>
              <w:rPr>
                <w:rFonts w:eastAsia="MS Mincho" w:cs="Arial"/>
                <w:szCs w:val="16"/>
                <w:lang w:eastAsia="ja-JP"/>
              </w:rPr>
              <w:t>,</w:t>
            </w:r>
            <w:r>
              <w:rPr>
                <w:rFonts w:eastAsia="MS Mincho" w:cs="Arial"/>
                <w:i/>
                <w:szCs w:val="16"/>
                <w:lang w:eastAsia="ja-JP"/>
              </w:rPr>
              <w:t xml:space="preserve"> </w:t>
            </w:r>
            <w:r>
              <w:rPr>
                <w:rFonts w:eastAsia="MS Mincho" w:cs="Arial"/>
                <w:szCs w:val="16"/>
                <w:lang w:eastAsia="ja-JP"/>
              </w:rPr>
              <w:t xml:space="preserve">and </w:t>
            </w:r>
            <w:r>
              <w:rPr>
                <w:rFonts w:eastAsia="MS Mincho" w:cs="Arial"/>
                <w:i/>
                <w:szCs w:val="16"/>
                <w:lang w:eastAsia="ja-JP"/>
              </w:rPr>
              <w:t xml:space="preserve">Neonauclea </w:t>
            </w:r>
            <w:r>
              <w:rPr>
                <w:rFonts w:eastAsia="MS Mincho" w:cs="Arial"/>
                <w:szCs w:val="16"/>
                <w:lang w:eastAsia="ja-JP"/>
              </w:rPr>
              <w:t>(labula)</w:t>
            </w:r>
            <w:r>
              <w:rPr>
                <w:rFonts w:eastAsia="MS Mincho" w:cs="Arial"/>
                <w:i/>
                <w:szCs w:val="16"/>
                <w:lang w:eastAsia="ja-JP"/>
              </w:rPr>
              <w:t xml:space="preserve"> </w:t>
            </w:r>
            <w:r>
              <w:rPr>
                <w:rFonts w:eastAsia="MS Mincho" w:cs="Arial"/>
                <w:szCs w:val="16"/>
                <w:lang w:eastAsia="ja-JP"/>
              </w:rPr>
              <w:t>(Williams 2004)</w:t>
            </w:r>
          </w:p>
        </w:tc>
      </w:tr>
      <w:tr w:rsidR="009D3DC8" w14:paraId="0FB48E40"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3F3FDBC2"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0FDE87E8" w14:textId="77777777" w:rsidR="009D3DC8" w:rsidRDefault="009D3DC8">
            <w:pPr>
              <w:pStyle w:val="TableText"/>
              <w:rPr>
                <w:rFonts w:cs="Arial"/>
                <w:szCs w:val="16"/>
              </w:rPr>
            </w:pPr>
            <w:r>
              <w:rPr>
                <w:rFonts w:cs="Arial"/>
                <w:szCs w:val="16"/>
              </w:rPr>
              <w:t>Presence in Australia: No records found</w:t>
            </w:r>
          </w:p>
          <w:p w14:paraId="67108E5E" w14:textId="77777777" w:rsidR="009D3DC8" w:rsidRDefault="009D3DC8">
            <w:pPr>
              <w:pStyle w:val="TableText"/>
              <w:rPr>
                <w:rFonts w:cs="Arial"/>
                <w:szCs w:val="16"/>
              </w:rPr>
            </w:pPr>
            <w:r>
              <w:rPr>
                <w:rFonts w:cs="Arial"/>
                <w:szCs w:val="16"/>
              </w:rPr>
              <w:t>Presence in Indonesia: Yes (Ben-Dov 2011d).</w:t>
            </w:r>
          </w:p>
          <w:p w14:paraId="0132AA1B" w14:textId="77777777" w:rsidR="009D3DC8" w:rsidRDefault="009D3DC8">
            <w:pPr>
              <w:pStyle w:val="TableText"/>
              <w:rPr>
                <w:rFonts w:eastAsia="MS Mincho" w:cs="Arial"/>
                <w:szCs w:val="16"/>
                <w:lang w:eastAsia="ja-JP"/>
              </w:rPr>
            </w:pPr>
            <w:r>
              <w:rPr>
                <w:rFonts w:cs="Arial"/>
                <w:szCs w:val="16"/>
              </w:rPr>
              <w:t>Presence elsewhere: Southeast Asia (Williams 2004).</w:t>
            </w:r>
          </w:p>
        </w:tc>
      </w:tr>
    </w:tbl>
    <w:p w14:paraId="1CC1E8D2" w14:textId="77777777" w:rsidR="009D3DC8" w:rsidRDefault="009D3DC8">
      <w:r>
        <w:br w:type="page"/>
      </w:r>
    </w:p>
    <w:tbl>
      <w:tblPr>
        <w:tblW w:w="9288" w:type="dxa"/>
        <w:tblBorders>
          <w:top w:val="single" w:sz="8" w:space="0" w:color="auto"/>
          <w:left w:val="single" w:sz="8" w:space="0" w:color="auto"/>
          <w:bottom w:val="single" w:sz="8" w:space="0" w:color="auto"/>
          <w:right w:val="single" w:sz="8" w:space="0" w:color="auto"/>
          <w:insideH w:val="single" w:sz="8" w:space="0" w:color="C0C0C0"/>
          <w:insideV w:val="single" w:sz="8" w:space="0" w:color="C0C0C0"/>
        </w:tblBorders>
        <w:tblLook w:val="01E0" w:firstRow="1" w:lastRow="1" w:firstColumn="1" w:lastColumn="1" w:noHBand="0" w:noVBand="0"/>
      </w:tblPr>
      <w:tblGrid>
        <w:gridCol w:w="2089"/>
        <w:gridCol w:w="7199"/>
      </w:tblGrid>
      <w:tr w:rsidR="009D3DC8" w14:paraId="52404363"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560D8EC7"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612B3940" w14:textId="77777777" w:rsidR="009D3DC8" w:rsidRDefault="009D3DC8">
            <w:pPr>
              <w:pStyle w:val="TableText"/>
              <w:rPr>
                <w:rFonts w:cs="Arial"/>
                <w:b/>
                <w:szCs w:val="16"/>
                <w:vertAlign w:val="superscript"/>
              </w:rPr>
            </w:pPr>
            <w:r>
              <w:rPr>
                <w:rFonts w:cs="Arial"/>
                <w:b/>
                <w:i/>
                <w:szCs w:val="16"/>
              </w:rPr>
              <w:t>Planococcus lilacinus</w:t>
            </w:r>
            <w:r>
              <w:rPr>
                <w:rFonts w:cs="Arial"/>
                <w:b/>
                <w:szCs w:val="16"/>
              </w:rPr>
              <w:t xml:space="preserve"> (Cockerell, 1905) </w:t>
            </w:r>
            <w:r>
              <w:rPr>
                <w:rFonts w:cs="Arial"/>
                <w:b/>
                <w:szCs w:val="16"/>
                <w:vertAlign w:val="superscript"/>
              </w:rPr>
              <w:t>EP</w:t>
            </w:r>
          </w:p>
        </w:tc>
      </w:tr>
      <w:tr w:rsidR="009D3DC8" w14:paraId="67596F6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665FF77"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2062B2F" w14:textId="77777777" w:rsidR="009D3DC8" w:rsidRDefault="009D3DC8">
            <w:pPr>
              <w:pStyle w:val="TableText"/>
              <w:rPr>
                <w:rFonts w:eastAsia="MS Mincho" w:cs="Arial"/>
                <w:szCs w:val="16"/>
                <w:lang w:eastAsia="ja-JP"/>
              </w:rPr>
            </w:pPr>
            <w:r>
              <w:rPr>
                <w:rFonts w:eastAsia="MS Mincho" w:cs="Arial"/>
                <w:i/>
                <w:iCs/>
                <w:szCs w:val="16"/>
                <w:lang w:eastAsia="ja-JP"/>
              </w:rPr>
              <w:t xml:space="preserve">Pseudococcus tayabanus </w:t>
            </w:r>
            <w:r>
              <w:rPr>
                <w:rFonts w:eastAsia="MS Mincho" w:cs="Arial"/>
                <w:iCs/>
                <w:szCs w:val="16"/>
                <w:lang w:eastAsia="ja-JP"/>
              </w:rPr>
              <w:t>Cockerell, 1905</w:t>
            </w:r>
          </w:p>
          <w:p w14:paraId="11B37156" w14:textId="77777777" w:rsidR="009D3DC8" w:rsidRDefault="009D3DC8">
            <w:pPr>
              <w:pStyle w:val="TableText"/>
              <w:rPr>
                <w:rFonts w:eastAsia="MS Mincho" w:cs="Arial"/>
                <w:szCs w:val="16"/>
                <w:lang w:eastAsia="ja-JP"/>
              </w:rPr>
            </w:pPr>
            <w:r>
              <w:rPr>
                <w:rFonts w:eastAsia="MS Mincho" w:cs="Arial"/>
                <w:i/>
                <w:iCs/>
                <w:szCs w:val="16"/>
                <w:lang w:eastAsia="ja-JP"/>
              </w:rPr>
              <w:t xml:space="preserve">Dactylopius crotonis </w:t>
            </w:r>
            <w:r>
              <w:rPr>
                <w:rFonts w:eastAsia="MS Mincho" w:cs="Arial"/>
                <w:iCs/>
                <w:szCs w:val="16"/>
                <w:lang w:eastAsia="ja-JP"/>
              </w:rPr>
              <w:t>Green, 1906</w:t>
            </w:r>
          </w:p>
          <w:p w14:paraId="2C0F99C1" w14:textId="77777777" w:rsidR="009D3DC8" w:rsidRDefault="009D3DC8">
            <w:pPr>
              <w:pStyle w:val="TableText"/>
              <w:rPr>
                <w:rFonts w:eastAsia="MS Mincho" w:cs="Arial"/>
                <w:szCs w:val="16"/>
                <w:lang w:eastAsia="ja-JP"/>
              </w:rPr>
            </w:pPr>
            <w:r>
              <w:rPr>
                <w:rFonts w:eastAsia="MS Mincho" w:cs="Arial"/>
                <w:i/>
                <w:iCs/>
                <w:szCs w:val="16"/>
                <w:lang w:eastAsia="ja-JP"/>
              </w:rPr>
              <w:t xml:space="preserve">Dactylopius coffeae </w:t>
            </w:r>
            <w:r>
              <w:rPr>
                <w:rFonts w:eastAsia="MS Mincho" w:cs="Arial"/>
                <w:iCs/>
                <w:szCs w:val="16"/>
                <w:lang w:eastAsia="ja-JP"/>
              </w:rPr>
              <w:t>Newstead, 1908</w:t>
            </w:r>
          </w:p>
          <w:p w14:paraId="6D8A4CB7" w14:textId="77777777" w:rsidR="009D3DC8" w:rsidRDefault="009D3DC8">
            <w:pPr>
              <w:pStyle w:val="TableText"/>
              <w:rPr>
                <w:rFonts w:eastAsia="MS Mincho" w:cs="Arial"/>
                <w:szCs w:val="16"/>
                <w:lang w:eastAsia="ja-JP"/>
              </w:rPr>
            </w:pPr>
            <w:r>
              <w:rPr>
                <w:rFonts w:eastAsia="MS Mincho" w:cs="Arial"/>
                <w:i/>
                <w:iCs/>
                <w:szCs w:val="16"/>
                <w:lang w:eastAsia="ja-JP"/>
              </w:rPr>
              <w:t xml:space="preserve">Pseudococcus coffeae </w:t>
            </w:r>
            <w:r>
              <w:rPr>
                <w:rFonts w:eastAsia="MS Mincho" w:cs="Arial"/>
                <w:iCs/>
                <w:szCs w:val="16"/>
                <w:lang w:eastAsia="ja-JP"/>
              </w:rPr>
              <w:t>(Sanders, 1909)</w:t>
            </w:r>
          </w:p>
          <w:p w14:paraId="6DADECE2" w14:textId="77777777" w:rsidR="009D3DC8" w:rsidRDefault="009D3DC8">
            <w:pPr>
              <w:pStyle w:val="TableText"/>
              <w:rPr>
                <w:rFonts w:eastAsia="MS Mincho" w:cs="Arial"/>
                <w:szCs w:val="16"/>
                <w:lang w:eastAsia="ja-JP"/>
              </w:rPr>
            </w:pPr>
            <w:r>
              <w:rPr>
                <w:rFonts w:eastAsia="MS Mincho" w:cs="Arial"/>
                <w:i/>
                <w:iCs/>
                <w:szCs w:val="16"/>
                <w:lang w:eastAsia="ja-JP"/>
              </w:rPr>
              <w:t xml:space="preserve">Dactylopius crotonis </w:t>
            </w:r>
            <w:r>
              <w:rPr>
                <w:rFonts w:eastAsia="MS Mincho" w:cs="Arial"/>
                <w:iCs/>
                <w:szCs w:val="16"/>
                <w:lang w:eastAsia="ja-JP"/>
              </w:rPr>
              <w:t>Green, 1911</w:t>
            </w:r>
          </w:p>
          <w:p w14:paraId="4465833A" w14:textId="77777777" w:rsidR="009D3DC8" w:rsidRDefault="009D3DC8">
            <w:pPr>
              <w:pStyle w:val="TableText"/>
              <w:rPr>
                <w:rFonts w:eastAsia="MS Mincho" w:cs="Arial"/>
                <w:szCs w:val="16"/>
                <w:lang w:eastAsia="ja-JP"/>
              </w:rPr>
            </w:pPr>
            <w:r>
              <w:rPr>
                <w:rFonts w:eastAsia="MS Mincho" w:cs="Arial"/>
                <w:i/>
                <w:iCs/>
                <w:szCs w:val="16"/>
                <w:lang w:eastAsia="ja-JP"/>
              </w:rPr>
              <w:t xml:space="preserve">Pseudococcus crotonis </w:t>
            </w:r>
            <w:r>
              <w:rPr>
                <w:rFonts w:eastAsia="MS Mincho" w:cs="Arial"/>
                <w:iCs/>
                <w:szCs w:val="16"/>
                <w:lang w:eastAsia="ja-JP"/>
              </w:rPr>
              <w:t>(Sasscer, 1912)</w:t>
            </w:r>
          </w:p>
          <w:p w14:paraId="05681BEB" w14:textId="77777777" w:rsidR="009D3DC8" w:rsidRDefault="009D3DC8">
            <w:pPr>
              <w:pStyle w:val="TableText"/>
              <w:rPr>
                <w:rFonts w:eastAsia="MS Mincho" w:cs="Arial"/>
                <w:szCs w:val="16"/>
                <w:lang w:eastAsia="ja-JP"/>
              </w:rPr>
            </w:pPr>
            <w:r>
              <w:rPr>
                <w:rFonts w:eastAsia="MS Mincho" w:cs="Arial"/>
                <w:i/>
                <w:iCs/>
                <w:szCs w:val="16"/>
                <w:lang w:eastAsia="ja-JP"/>
              </w:rPr>
              <w:t xml:space="preserve">Pseudococcus deceptor </w:t>
            </w:r>
            <w:r>
              <w:rPr>
                <w:rFonts w:eastAsia="MS Mincho" w:cs="Arial"/>
                <w:iCs/>
                <w:szCs w:val="16"/>
                <w:lang w:eastAsia="ja-JP"/>
              </w:rPr>
              <w:t>Betrem, 1937</w:t>
            </w:r>
          </w:p>
          <w:p w14:paraId="0603C3AB" w14:textId="77777777" w:rsidR="009D3DC8" w:rsidRDefault="009D3DC8">
            <w:pPr>
              <w:pStyle w:val="TableText"/>
              <w:rPr>
                <w:rFonts w:eastAsia="MS Mincho" w:cs="Arial"/>
                <w:szCs w:val="16"/>
                <w:lang w:eastAsia="ja-JP"/>
              </w:rPr>
            </w:pPr>
            <w:r>
              <w:rPr>
                <w:rFonts w:eastAsia="MS Mincho" w:cs="Arial"/>
                <w:i/>
                <w:iCs/>
                <w:szCs w:val="16"/>
                <w:lang w:eastAsia="ja-JP"/>
              </w:rPr>
              <w:t xml:space="preserve">Tylococcus mauritiensis </w:t>
            </w:r>
            <w:r>
              <w:rPr>
                <w:rFonts w:eastAsia="MS Mincho" w:cs="Arial"/>
                <w:iCs/>
                <w:szCs w:val="16"/>
                <w:lang w:eastAsia="ja-JP"/>
              </w:rPr>
              <w:t>Mamet, 1939</w:t>
            </w:r>
          </w:p>
          <w:p w14:paraId="59761A90" w14:textId="77777777" w:rsidR="009D3DC8" w:rsidRDefault="009D3DC8">
            <w:pPr>
              <w:pStyle w:val="TableText"/>
              <w:rPr>
                <w:rFonts w:eastAsia="MS Mincho" w:cs="Arial"/>
                <w:szCs w:val="16"/>
                <w:lang w:eastAsia="ja-JP"/>
              </w:rPr>
            </w:pPr>
            <w:r>
              <w:rPr>
                <w:rFonts w:eastAsia="MS Mincho" w:cs="Arial"/>
                <w:i/>
                <w:iCs/>
                <w:szCs w:val="16"/>
                <w:lang w:eastAsia="ja-JP"/>
              </w:rPr>
              <w:t xml:space="preserve">Planococcus crotonis </w:t>
            </w:r>
            <w:r>
              <w:rPr>
                <w:rFonts w:eastAsia="MS Mincho" w:cs="Arial"/>
                <w:iCs/>
                <w:szCs w:val="16"/>
                <w:lang w:eastAsia="ja-JP"/>
              </w:rPr>
              <w:t>(Ferris, 1950)</w:t>
            </w:r>
          </w:p>
          <w:p w14:paraId="22E5DCEF" w14:textId="77777777" w:rsidR="009D3DC8" w:rsidRDefault="009D3DC8">
            <w:pPr>
              <w:pStyle w:val="TableText"/>
              <w:rPr>
                <w:rFonts w:cs="Arial"/>
                <w:i/>
                <w:iCs/>
                <w:szCs w:val="16"/>
              </w:rPr>
            </w:pPr>
            <w:r>
              <w:rPr>
                <w:rFonts w:eastAsia="MS Mincho" w:cs="Arial"/>
                <w:i/>
                <w:iCs/>
                <w:szCs w:val="16"/>
                <w:lang w:eastAsia="ja-JP"/>
              </w:rPr>
              <w:t xml:space="preserve">Planococcus tayabanus </w:t>
            </w:r>
            <w:r>
              <w:rPr>
                <w:rFonts w:eastAsia="MS Mincho" w:cs="Arial"/>
                <w:iCs/>
                <w:szCs w:val="16"/>
                <w:lang w:eastAsia="ja-JP"/>
              </w:rPr>
              <w:t>(Ferris, 1950)</w:t>
            </w:r>
          </w:p>
        </w:tc>
      </w:tr>
      <w:tr w:rsidR="009D3DC8" w14:paraId="3E8BD2BF"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D138D32"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221C9BA5" w14:textId="77777777" w:rsidR="009D3DC8" w:rsidRDefault="009D3DC8">
            <w:pPr>
              <w:pStyle w:val="TableText"/>
              <w:rPr>
                <w:rFonts w:cs="Arial"/>
                <w:szCs w:val="16"/>
              </w:rPr>
            </w:pPr>
            <w:r>
              <w:rPr>
                <w:rFonts w:cs="Arial"/>
                <w:szCs w:val="16"/>
              </w:rPr>
              <w:t>Coffee mealybug</w:t>
            </w:r>
          </w:p>
        </w:tc>
      </w:tr>
      <w:tr w:rsidR="009D3DC8" w14:paraId="6121DE1D"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520C002"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2472BF4E" w14:textId="77777777" w:rsidR="009D3DC8" w:rsidRDefault="009D3DC8">
            <w:pPr>
              <w:pStyle w:val="TableText"/>
              <w:rPr>
                <w:rFonts w:eastAsia="MS Mincho" w:cs="Arial"/>
                <w:szCs w:val="16"/>
                <w:lang w:eastAsia="ja-JP"/>
              </w:rPr>
            </w:pPr>
            <w:r>
              <w:rPr>
                <w:rFonts w:eastAsia="MS Mincho" w:cs="Arial"/>
                <w:szCs w:val="16"/>
                <w:lang w:eastAsia="ja-JP"/>
              </w:rPr>
              <w:t xml:space="preserve">Recorded from a wide host range across 35 families including: </w:t>
            </w:r>
            <w:r>
              <w:rPr>
                <w:rFonts w:eastAsia="MS Mincho" w:cs="Arial"/>
                <w:i/>
                <w:iCs/>
                <w:szCs w:val="16"/>
                <w:lang w:eastAsia="ja-JP"/>
              </w:rPr>
              <w:t xml:space="preserve">Theobroma cacao </w:t>
            </w:r>
            <w:r>
              <w:rPr>
                <w:rFonts w:eastAsia="MS Mincho" w:cs="Arial"/>
                <w:szCs w:val="16"/>
                <w:lang w:eastAsia="ja-JP"/>
              </w:rPr>
              <w:t xml:space="preserve">(cocoa), </w:t>
            </w:r>
            <w:r>
              <w:rPr>
                <w:rFonts w:eastAsia="MS Mincho" w:cs="Arial"/>
                <w:i/>
                <w:iCs/>
                <w:szCs w:val="16"/>
                <w:lang w:eastAsia="ja-JP"/>
              </w:rPr>
              <w:t xml:space="preserve">Psidium guajava </w:t>
            </w:r>
            <w:r>
              <w:rPr>
                <w:rFonts w:eastAsia="MS Mincho" w:cs="Arial"/>
                <w:szCs w:val="16"/>
                <w:lang w:eastAsia="ja-JP"/>
              </w:rPr>
              <w:t xml:space="preserve">(guava), </w:t>
            </w:r>
            <w:r>
              <w:rPr>
                <w:rFonts w:eastAsia="MS Mincho" w:cs="Arial"/>
                <w:i/>
                <w:iCs/>
                <w:szCs w:val="16"/>
                <w:lang w:eastAsia="ja-JP"/>
              </w:rPr>
              <w:t xml:space="preserve">Coffea </w:t>
            </w:r>
            <w:r>
              <w:rPr>
                <w:rFonts w:eastAsia="MS Mincho" w:cs="Arial"/>
                <w:szCs w:val="16"/>
                <w:lang w:eastAsia="ja-JP"/>
              </w:rPr>
              <w:t xml:space="preserve">spp. (coffee), and </w:t>
            </w:r>
            <w:r>
              <w:rPr>
                <w:rFonts w:eastAsia="MS Mincho" w:cs="Arial"/>
                <w:i/>
                <w:iCs/>
                <w:szCs w:val="16"/>
                <w:lang w:eastAsia="ja-JP"/>
              </w:rPr>
              <w:t xml:space="preserve">Mangifera indica </w:t>
            </w:r>
            <w:r>
              <w:rPr>
                <w:rFonts w:eastAsia="MS Mincho" w:cs="Arial"/>
                <w:szCs w:val="16"/>
                <w:lang w:eastAsia="ja-JP"/>
              </w:rPr>
              <w:t>(mango). For a comprehensive list, see Ben-Dov (2011d).</w:t>
            </w:r>
          </w:p>
        </w:tc>
      </w:tr>
      <w:tr w:rsidR="009D3DC8" w14:paraId="7D3D0B77"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6B52E303"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65DBDA2E" w14:textId="77777777" w:rsidR="009D3DC8" w:rsidRDefault="009D3DC8">
            <w:pPr>
              <w:pStyle w:val="TableText"/>
              <w:rPr>
                <w:rFonts w:cs="Arial"/>
                <w:szCs w:val="16"/>
              </w:rPr>
            </w:pPr>
            <w:r>
              <w:rPr>
                <w:rFonts w:cs="Arial"/>
                <w:szCs w:val="16"/>
              </w:rPr>
              <w:t>Presence in Australia: No records found</w:t>
            </w:r>
          </w:p>
          <w:p w14:paraId="3E4E0CB9" w14:textId="77777777" w:rsidR="009D3DC8" w:rsidRDefault="009D3DC8">
            <w:pPr>
              <w:pStyle w:val="TableText"/>
              <w:rPr>
                <w:rFonts w:cs="Arial"/>
                <w:szCs w:val="16"/>
              </w:rPr>
            </w:pPr>
            <w:r>
              <w:rPr>
                <w:rFonts w:cs="Arial"/>
                <w:szCs w:val="16"/>
              </w:rPr>
              <w:t>Presence in Indonesia: Yes (CABI 2011; Ben-Dov 2011d).</w:t>
            </w:r>
          </w:p>
          <w:p w14:paraId="534AF244" w14:textId="77777777" w:rsidR="009D3DC8" w:rsidRDefault="009D3DC8">
            <w:pPr>
              <w:pStyle w:val="TableText"/>
              <w:rPr>
                <w:rFonts w:cs="Arial"/>
                <w:szCs w:val="16"/>
              </w:rPr>
            </w:pPr>
            <w:r>
              <w:rPr>
                <w:rFonts w:cs="Arial"/>
                <w:szCs w:val="16"/>
              </w:rPr>
              <w:t>Presence elsewhere: Near-cosmopolitan including Central America, East Africa, South, South-east and East Asia (CABI 2011)</w:t>
            </w:r>
            <w:r>
              <w:rPr>
                <w:rFonts w:eastAsia="MS Mincho" w:cs="Arial"/>
                <w:szCs w:val="16"/>
                <w:lang w:eastAsia="ja-JP"/>
              </w:rPr>
              <w:t>.</w:t>
            </w:r>
          </w:p>
        </w:tc>
      </w:tr>
      <w:tr w:rsidR="009D3DC8" w14:paraId="6B33785C"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29EDE299"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261ABF8E" w14:textId="77777777" w:rsidR="009D3DC8" w:rsidRDefault="009D3DC8">
            <w:pPr>
              <w:pStyle w:val="TableText"/>
              <w:rPr>
                <w:rFonts w:cs="Arial"/>
                <w:b/>
                <w:szCs w:val="16"/>
                <w:vertAlign w:val="superscript"/>
              </w:rPr>
            </w:pPr>
            <w:r>
              <w:rPr>
                <w:rFonts w:cs="Arial"/>
                <w:b/>
                <w:i/>
                <w:szCs w:val="16"/>
              </w:rPr>
              <w:t xml:space="preserve">Planococcus minor </w:t>
            </w:r>
            <w:r>
              <w:rPr>
                <w:rFonts w:cs="Arial"/>
                <w:b/>
                <w:iCs/>
                <w:szCs w:val="16"/>
              </w:rPr>
              <w:t xml:space="preserve">(Maskell, 1897) </w:t>
            </w:r>
            <w:r>
              <w:rPr>
                <w:rFonts w:cs="Arial"/>
                <w:b/>
                <w:iCs/>
                <w:szCs w:val="16"/>
                <w:vertAlign w:val="superscript"/>
              </w:rPr>
              <w:t xml:space="preserve">EP, </w:t>
            </w:r>
            <w:r>
              <w:rPr>
                <w:rFonts w:cs="Arial"/>
                <w:b/>
                <w:szCs w:val="16"/>
                <w:vertAlign w:val="superscript"/>
              </w:rPr>
              <w:t>WA</w:t>
            </w:r>
          </w:p>
        </w:tc>
      </w:tr>
      <w:tr w:rsidR="009D3DC8" w14:paraId="46A8856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09D5018"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E166723" w14:textId="77777777" w:rsidR="009D3DC8" w:rsidRDefault="009D3DC8">
            <w:pPr>
              <w:pStyle w:val="TableText"/>
              <w:rPr>
                <w:rFonts w:cs="Arial"/>
                <w:iCs/>
                <w:szCs w:val="16"/>
              </w:rPr>
            </w:pPr>
            <w:r>
              <w:rPr>
                <w:rFonts w:cs="Arial"/>
                <w:i/>
                <w:iCs/>
                <w:szCs w:val="16"/>
              </w:rPr>
              <w:t xml:space="preserve">Dactylopius calceolariae minor </w:t>
            </w:r>
            <w:r>
              <w:rPr>
                <w:rFonts w:cs="Arial"/>
                <w:iCs/>
                <w:szCs w:val="16"/>
              </w:rPr>
              <w:t>Maskell, 1897</w:t>
            </w:r>
          </w:p>
          <w:p w14:paraId="5C7F68F4" w14:textId="77777777" w:rsidR="009D3DC8" w:rsidRDefault="009D3DC8">
            <w:pPr>
              <w:pStyle w:val="TableText"/>
              <w:rPr>
                <w:rFonts w:cs="Arial"/>
                <w:iCs/>
                <w:szCs w:val="16"/>
              </w:rPr>
            </w:pPr>
            <w:r>
              <w:rPr>
                <w:rFonts w:cs="Arial"/>
                <w:i/>
                <w:iCs/>
                <w:szCs w:val="16"/>
              </w:rPr>
              <w:t>Pseudococcus calceolariae</w:t>
            </w:r>
            <w:r>
              <w:rPr>
                <w:rFonts w:cs="Arial"/>
                <w:iCs/>
                <w:szCs w:val="16"/>
              </w:rPr>
              <w:t xml:space="preserve"> </w:t>
            </w:r>
            <w:r>
              <w:rPr>
                <w:rFonts w:cs="Arial"/>
                <w:i/>
                <w:iCs/>
                <w:szCs w:val="16"/>
              </w:rPr>
              <w:t xml:space="preserve">minor </w:t>
            </w:r>
            <w:r>
              <w:rPr>
                <w:rFonts w:cs="Arial"/>
                <w:iCs/>
                <w:szCs w:val="16"/>
              </w:rPr>
              <w:t>(Fernald, 1903)</w:t>
            </w:r>
          </w:p>
          <w:p w14:paraId="1EEA3E2C" w14:textId="77777777" w:rsidR="009D3DC8" w:rsidRDefault="009D3DC8">
            <w:pPr>
              <w:pStyle w:val="TableText"/>
              <w:rPr>
                <w:rFonts w:cs="Arial"/>
                <w:iCs/>
                <w:szCs w:val="16"/>
              </w:rPr>
            </w:pPr>
            <w:r>
              <w:rPr>
                <w:rFonts w:cs="Arial"/>
                <w:i/>
                <w:iCs/>
                <w:szCs w:val="16"/>
              </w:rPr>
              <w:t xml:space="preserve">Planococcus pacificus </w:t>
            </w:r>
            <w:r>
              <w:rPr>
                <w:rFonts w:cs="Arial"/>
                <w:iCs/>
                <w:szCs w:val="16"/>
              </w:rPr>
              <w:t>Cox, 1981</w:t>
            </w:r>
          </w:p>
          <w:p w14:paraId="1B5FD62F" w14:textId="77777777" w:rsidR="009D3DC8" w:rsidRDefault="009D3DC8">
            <w:pPr>
              <w:pStyle w:val="TableText"/>
              <w:rPr>
                <w:rFonts w:cs="Arial"/>
                <w:iCs/>
                <w:szCs w:val="16"/>
              </w:rPr>
            </w:pPr>
            <w:r>
              <w:rPr>
                <w:rFonts w:cs="Arial"/>
                <w:i/>
                <w:iCs/>
                <w:szCs w:val="16"/>
              </w:rPr>
              <w:t>Planococcus psidii</w:t>
            </w:r>
            <w:r>
              <w:rPr>
                <w:rFonts w:cs="Arial"/>
                <w:iCs/>
                <w:szCs w:val="16"/>
              </w:rPr>
              <w:t xml:space="preserve"> Cox, 1989</w:t>
            </w:r>
          </w:p>
        </w:tc>
      </w:tr>
      <w:tr w:rsidR="009D3DC8" w14:paraId="2229CA4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A122FA2"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36BA3FAE" w14:textId="77777777" w:rsidR="009D3DC8" w:rsidRDefault="009D3DC8">
            <w:pPr>
              <w:pStyle w:val="TableText"/>
              <w:rPr>
                <w:rFonts w:cs="Arial"/>
                <w:szCs w:val="16"/>
              </w:rPr>
            </w:pPr>
            <w:r>
              <w:rPr>
                <w:rFonts w:cs="Arial"/>
                <w:szCs w:val="16"/>
              </w:rPr>
              <w:t>Pacific mealybug</w:t>
            </w:r>
          </w:p>
        </w:tc>
      </w:tr>
      <w:tr w:rsidR="009D3DC8" w14:paraId="444B543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841FE5A"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56C7A680" w14:textId="77777777" w:rsidR="009D3DC8" w:rsidRDefault="009D3DC8">
            <w:pPr>
              <w:spacing w:before="60" w:after="60"/>
              <w:rPr>
                <w:rFonts w:ascii="Arial" w:hAnsi="Arial" w:cs="Arial"/>
                <w:sz w:val="16"/>
                <w:szCs w:val="16"/>
              </w:rPr>
            </w:pPr>
            <w:r>
              <w:rPr>
                <w:rFonts w:ascii="Arial" w:eastAsia="MS Mincho" w:hAnsi="Arial" w:cs="Arial"/>
                <w:sz w:val="16"/>
                <w:szCs w:val="16"/>
                <w:lang w:eastAsia="ja-JP"/>
              </w:rPr>
              <w:t xml:space="preserve">Recorded from a wide host range across 70 families including: </w:t>
            </w:r>
            <w:r>
              <w:rPr>
                <w:rFonts w:ascii="Arial" w:eastAsia="MS Mincho" w:hAnsi="Arial" w:cs="Arial"/>
                <w:i/>
                <w:sz w:val="16"/>
                <w:szCs w:val="16"/>
                <w:lang w:eastAsia="ja-JP"/>
              </w:rPr>
              <w:t>Garcinia mangostana</w:t>
            </w:r>
            <w:r>
              <w:rPr>
                <w:rFonts w:ascii="Arial" w:eastAsia="MS Mincho" w:hAnsi="Arial" w:cs="Arial"/>
                <w:sz w:val="16"/>
                <w:szCs w:val="16"/>
                <w:lang w:eastAsia="ja-JP"/>
              </w:rPr>
              <w:t xml:space="preserve"> (mangosteen), </w:t>
            </w:r>
            <w:hyperlink r:id="rId54" w:history="1">
              <w:r>
                <w:rPr>
                  <w:rFonts w:ascii="Arial" w:eastAsia="MS Mincho" w:hAnsi="Arial" w:cs="Arial"/>
                  <w:i/>
                  <w:sz w:val="16"/>
                  <w:szCs w:val="16"/>
                  <w:lang w:eastAsia="ja-JP"/>
                </w:rPr>
                <w:t>Citrus</w:t>
              </w:r>
              <w:r>
                <w:rPr>
                  <w:rFonts w:ascii="Arial" w:eastAsia="MS Mincho" w:hAnsi="Arial" w:cs="Arial"/>
                  <w:sz w:val="16"/>
                  <w:szCs w:val="16"/>
                  <w:lang w:eastAsia="ja-JP"/>
                </w:rPr>
                <w:t xml:space="preserve"> </w:t>
              </w:r>
              <w:r>
                <w:rPr>
                  <w:rFonts w:ascii="Arial" w:eastAsia="MS Mincho" w:hAnsi="Arial" w:cs="Arial"/>
                  <w:i/>
                  <w:sz w:val="16"/>
                  <w:szCs w:val="16"/>
                  <w:lang w:eastAsia="ja-JP"/>
                </w:rPr>
                <w:t>deliciosa</w:t>
              </w:r>
              <w:r>
                <w:rPr>
                  <w:rFonts w:ascii="Arial" w:eastAsia="MS Mincho" w:hAnsi="Arial" w:cs="Arial"/>
                  <w:sz w:val="16"/>
                  <w:szCs w:val="16"/>
                  <w:lang w:eastAsia="ja-JP"/>
                </w:rPr>
                <w:t xml:space="preserve"> (mediterranean mandarin)</w:t>
              </w:r>
            </w:hyperlink>
            <w:r>
              <w:rPr>
                <w:rFonts w:ascii="Arial" w:eastAsia="MS Mincho" w:hAnsi="Arial" w:cs="Arial"/>
                <w:sz w:val="16"/>
                <w:szCs w:val="16"/>
                <w:lang w:eastAsia="ja-JP"/>
              </w:rPr>
              <w:t xml:space="preserve">, </w:t>
            </w:r>
            <w:hyperlink r:id="rId55" w:history="1">
              <w:r>
                <w:rPr>
                  <w:rFonts w:ascii="Arial" w:eastAsia="MS Mincho" w:hAnsi="Arial" w:cs="Arial"/>
                  <w:i/>
                  <w:sz w:val="16"/>
                  <w:szCs w:val="16"/>
                  <w:lang w:eastAsia="ja-JP"/>
                </w:rPr>
                <w:t>Citrus</w:t>
              </w:r>
              <w:r>
                <w:rPr>
                  <w:rFonts w:ascii="Arial" w:eastAsia="MS Mincho" w:hAnsi="Arial" w:cs="Arial"/>
                  <w:sz w:val="16"/>
                  <w:szCs w:val="16"/>
                  <w:lang w:eastAsia="ja-JP"/>
                </w:rPr>
                <w:t xml:space="preserve"> </w:t>
              </w:r>
              <w:r>
                <w:rPr>
                  <w:rFonts w:ascii="Arial" w:eastAsia="MS Mincho" w:hAnsi="Arial" w:cs="Arial"/>
                  <w:i/>
                  <w:sz w:val="16"/>
                  <w:szCs w:val="16"/>
                  <w:lang w:eastAsia="ja-JP"/>
                </w:rPr>
                <w:t>reticulata</w:t>
              </w:r>
              <w:r>
                <w:rPr>
                  <w:rFonts w:ascii="Arial" w:eastAsia="MS Mincho" w:hAnsi="Arial" w:cs="Arial"/>
                  <w:sz w:val="16"/>
                  <w:szCs w:val="16"/>
                  <w:lang w:eastAsia="ja-JP"/>
                </w:rPr>
                <w:t xml:space="preserve"> (mandarin)</w:t>
              </w:r>
            </w:hyperlink>
            <w:r>
              <w:rPr>
                <w:rFonts w:ascii="Arial" w:eastAsia="MS Mincho" w:hAnsi="Arial" w:cs="Arial"/>
                <w:sz w:val="16"/>
                <w:szCs w:val="16"/>
                <w:lang w:eastAsia="ja-JP"/>
              </w:rPr>
              <w:t xml:space="preserve">, </w:t>
            </w:r>
            <w:r>
              <w:rPr>
                <w:rFonts w:ascii="Arial" w:eastAsia="MS Mincho" w:hAnsi="Arial" w:cs="Arial"/>
                <w:i/>
                <w:sz w:val="16"/>
                <w:szCs w:val="16"/>
                <w:lang w:eastAsia="ja-JP"/>
              </w:rPr>
              <w:t>Acacia</w:t>
            </w:r>
            <w:r>
              <w:rPr>
                <w:rFonts w:ascii="Arial" w:eastAsia="MS Mincho" w:hAnsi="Arial" w:cs="Arial"/>
                <w:sz w:val="16"/>
                <w:szCs w:val="16"/>
                <w:lang w:eastAsia="ja-JP"/>
              </w:rPr>
              <w:t xml:space="preserve"> sp., </w:t>
            </w:r>
            <w:hyperlink r:id="rId56" w:history="1">
              <w:r>
                <w:rPr>
                  <w:rFonts w:ascii="Arial" w:eastAsia="MS Mincho" w:hAnsi="Arial" w:cs="Arial"/>
                  <w:i/>
                  <w:sz w:val="16"/>
                  <w:szCs w:val="16"/>
                  <w:lang w:eastAsia="ja-JP"/>
                </w:rPr>
                <w:t>Coffea</w:t>
              </w:r>
              <w:r>
                <w:rPr>
                  <w:rFonts w:ascii="Arial" w:eastAsia="MS Mincho" w:hAnsi="Arial" w:cs="Arial"/>
                  <w:sz w:val="16"/>
                  <w:szCs w:val="16"/>
                  <w:lang w:eastAsia="ja-JP"/>
                </w:rPr>
                <w:t xml:space="preserve"> (coffee)</w:t>
              </w:r>
            </w:hyperlink>
            <w:r>
              <w:rPr>
                <w:rFonts w:ascii="Arial" w:eastAsia="MS Mincho" w:hAnsi="Arial" w:cs="Arial"/>
                <w:sz w:val="16"/>
                <w:szCs w:val="16"/>
                <w:lang w:eastAsia="ja-JP"/>
              </w:rPr>
              <w:t xml:space="preserve">, </w:t>
            </w:r>
            <w:hyperlink r:id="rId57" w:history="1">
              <w:r>
                <w:rPr>
                  <w:rFonts w:ascii="Arial" w:eastAsia="MS Mincho" w:hAnsi="Arial" w:cs="Arial"/>
                  <w:i/>
                  <w:sz w:val="16"/>
                  <w:szCs w:val="16"/>
                  <w:lang w:eastAsia="ja-JP"/>
                </w:rPr>
                <w:t>Colocasia</w:t>
              </w:r>
              <w:r>
                <w:rPr>
                  <w:rFonts w:ascii="Arial" w:eastAsia="MS Mincho" w:hAnsi="Arial" w:cs="Arial"/>
                  <w:sz w:val="16"/>
                  <w:szCs w:val="16"/>
                  <w:lang w:eastAsia="ja-JP"/>
                </w:rPr>
                <w:t xml:space="preserve"> </w:t>
              </w:r>
              <w:r>
                <w:rPr>
                  <w:rFonts w:ascii="Arial" w:eastAsia="MS Mincho" w:hAnsi="Arial" w:cs="Arial"/>
                  <w:i/>
                  <w:sz w:val="16"/>
                  <w:szCs w:val="16"/>
                  <w:lang w:eastAsia="ja-JP"/>
                </w:rPr>
                <w:t>esculenta</w:t>
              </w:r>
              <w:r>
                <w:rPr>
                  <w:rFonts w:ascii="Arial" w:eastAsia="MS Mincho" w:hAnsi="Arial" w:cs="Arial"/>
                  <w:sz w:val="16"/>
                  <w:szCs w:val="16"/>
                  <w:lang w:eastAsia="ja-JP"/>
                </w:rPr>
                <w:t xml:space="preserve"> (taro)</w:t>
              </w:r>
            </w:hyperlink>
            <w:r>
              <w:rPr>
                <w:rFonts w:ascii="Arial" w:eastAsia="MS Mincho" w:hAnsi="Arial" w:cs="Arial"/>
                <w:sz w:val="16"/>
                <w:szCs w:val="16"/>
                <w:lang w:eastAsia="ja-JP"/>
              </w:rPr>
              <w:t xml:space="preserve">, </w:t>
            </w:r>
            <w:hyperlink r:id="rId58" w:history="1">
              <w:r>
                <w:rPr>
                  <w:rFonts w:ascii="Arial" w:eastAsia="MS Mincho" w:hAnsi="Arial" w:cs="Arial"/>
                  <w:i/>
                  <w:sz w:val="16"/>
                  <w:szCs w:val="16"/>
                  <w:lang w:eastAsia="ja-JP"/>
                </w:rPr>
                <w:t>Mangifera</w:t>
              </w:r>
              <w:r>
                <w:rPr>
                  <w:rFonts w:ascii="Arial" w:eastAsia="MS Mincho" w:hAnsi="Arial" w:cs="Arial"/>
                  <w:sz w:val="16"/>
                  <w:szCs w:val="16"/>
                  <w:lang w:eastAsia="ja-JP"/>
                </w:rPr>
                <w:t xml:space="preserve"> </w:t>
              </w:r>
              <w:r>
                <w:rPr>
                  <w:rFonts w:ascii="Arial" w:eastAsia="MS Mincho" w:hAnsi="Arial" w:cs="Arial"/>
                  <w:i/>
                  <w:sz w:val="16"/>
                  <w:szCs w:val="16"/>
                  <w:lang w:eastAsia="ja-JP"/>
                </w:rPr>
                <w:t>indica</w:t>
              </w:r>
              <w:r>
                <w:rPr>
                  <w:rFonts w:ascii="Arial" w:eastAsia="MS Mincho" w:hAnsi="Arial" w:cs="Arial"/>
                  <w:sz w:val="16"/>
                  <w:szCs w:val="16"/>
                  <w:lang w:eastAsia="ja-JP"/>
                </w:rPr>
                <w:t xml:space="preserve"> (mango)</w:t>
              </w:r>
            </w:hyperlink>
            <w:r>
              <w:rPr>
                <w:rFonts w:ascii="Arial" w:eastAsia="MS Mincho" w:hAnsi="Arial" w:cs="Arial"/>
                <w:sz w:val="16"/>
                <w:szCs w:val="16"/>
                <w:lang w:eastAsia="ja-JP"/>
              </w:rPr>
              <w:t xml:space="preserve">, </w:t>
            </w:r>
            <w:r>
              <w:rPr>
                <w:rFonts w:ascii="Arial" w:eastAsia="MS Mincho" w:hAnsi="Arial" w:cs="Arial"/>
                <w:i/>
                <w:sz w:val="16"/>
                <w:szCs w:val="16"/>
                <w:lang w:eastAsia="ja-JP"/>
              </w:rPr>
              <w:t>Psidium</w:t>
            </w:r>
            <w:r>
              <w:rPr>
                <w:rFonts w:ascii="Arial" w:eastAsia="MS Mincho" w:hAnsi="Arial" w:cs="Arial"/>
                <w:sz w:val="16"/>
                <w:szCs w:val="16"/>
                <w:lang w:eastAsia="ja-JP"/>
              </w:rPr>
              <w:t xml:space="preserve"> </w:t>
            </w:r>
            <w:r>
              <w:rPr>
                <w:rFonts w:ascii="Arial" w:eastAsia="MS Mincho" w:hAnsi="Arial" w:cs="Arial"/>
                <w:i/>
                <w:sz w:val="16"/>
                <w:szCs w:val="16"/>
                <w:lang w:eastAsia="ja-JP"/>
              </w:rPr>
              <w:t>guajava</w:t>
            </w:r>
            <w:r>
              <w:rPr>
                <w:rFonts w:ascii="Arial" w:eastAsia="MS Mincho" w:hAnsi="Arial" w:cs="Arial"/>
                <w:sz w:val="16"/>
                <w:szCs w:val="16"/>
                <w:lang w:eastAsia="ja-JP"/>
              </w:rPr>
              <w:t xml:space="preserve"> (guava), </w:t>
            </w:r>
            <w:r>
              <w:rPr>
                <w:rFonts w:ascii="Arial" w:eastAsia="MS Mincho" w:hAnsi="Arial" w:cs="Arial"/>
                <w:i/>
                <w:sz w:val="16"/>
                <w:szCs w:val="16"/>
                <w:lang w:eastAsia="ja-JP"/>
              </w:rPr>
              <w:t>Eucalyptus</w:t>
            </w:r>
            <w:r>
              <w:rPr>
                <w:rFonts w:ascii="Arial" w:eastAsia="MS Mincho" w:hAnsi="Arial" w:cs="Arial"/>
                <w:sz w:val="16"/>
                <w:szCs w:val="16"/>
                <w:lang w:eastAsia="ja-JP"/>
              </w:rPr>
              <w:t xml:space="preserve"> </w:t>
            </w:r>
            <w:r>
              <w:rPr>
                <w:rFonts w:ascii="Arial" w:eastAsia="MS Mincho" w:hAnsi="Arial" w:cs="Arial"/>
                <w:i/>
                <w:sz w:val="16"/>
                <w:szCs w:val="16"/>
                <w:lang w:eastAsia="ja-JP"/>
              </w:rPr>
              <w:t>deglupta</w:t>
            </w:r>
            <w:r>
              <w:rPr>
                <w:rFonts w:ascii="Arial" w:eastAsia="MS Mincho" w:hAnsi="Arial" w:cs="Arial"/>
                <w:sz w:val="16"/>
                <w:szCs w:val="16"/>
                <w:lang w:eastAsia="ja-JP"/>
              </w:rPr>
              <w:t xml:space="preserve"> (rainbow eucalyptus), and </w:t>
            </w:r>
            <w:r>
              <w:rPr>
                <w:rFonts w:ascii="Arial" w:eastAsia="MS Mincho" w:hAnsi="Arial" w:cs="Arial"/>
                <w:i/>
                <w:sz w:val="16"/>
                <w:szCs w:val="16"/>
                <w:lang w:eastAsia="ja-JP"/>
              </w:rPr>
              <w:t>Zea</w:t>
            </w:r>
            <w:r>
              <w:rPr>
                <w:rFonts w:ascii="Arial" w:eastAsia="MS Mincho" w:hAnsi="Arial" w:cs="Arial"/>
                <w:sz w:val="16"/>
                <w:szCs w:val="16"/>
                <w:lang w:eastAsia="ja-JP"/>
              </w:rPr>
              <w:t xml:space="preserve"> </w:t>
            </w:r>
            <w:r>
              <w:rPr>
                <w:rFonts w:ascii="Arial" w:eastAsia="MS Mincho" w:hAnsi="Arial" w:cs="Arial"/>
                <w:i/>
                <w:sz w:val="16"/>
                <w:szCs w:val="16"/>
                <w:lang w:eastAsia="ja-JP"/>
              </w:rPr>
              <w:t>mays</w:t>
            </w:r>
            <w:r>
              <w:rPr>
                <w:rFonts w:ascii="Arial" w:eastAsia="MS Mincho" w:hAnsi="Arial" w:cs="Arial"/>
                <w:sz w:val="16"/>
                <w:szCs w:val="16"/>
                <w:lang w:eastAsia="ja-JP"/>
              </w:rPr>
              <w:t xml:space="preserve"> (maize). For a comprehensive list, see, (Williams (2004) and CABI (2011)</w:t>
            </w:r>
            <w:r>
              <w:rPr>
                <w:rFonts w:ascii="Arial" w:hAnsi="Arial" w:cs="Arial"/>
                <w:sz w:val="16"/>
                <w:szCs w:val="16"/>
              </w:rPr>
              <w:t>.</w:t>
            </w:r>
          </w:p>
        </w:tc>
      </w:tr>
      <w:tr w:rsidR="009D3DC8" w14:paraId="4575762B"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18EB9CE7"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21EEFD3F" w14:textId="77777777" w:rsidR="009D3DC8" w:rsidRDefault="009D3DC8">
            <w:pPr>
              <w:pStyle w:val="TableText"/>
              <w:rPr>
                <w:rFonts w:cs="Arial"/>
                <w:szCs w:val="16"/>
              </w:rPr>
            </w:pPr>
            <w:r>
              <w:rPr>
                <w:rFonts w:cs="Arial"/>
                <w:szCs w:val="16"/>
              </w:rPr>
              <w:t>Presence in Australia: ACT, NT, Qld and SA (APPD 2011). No records found for presence in WA.</w:t>
            </w:r>
          </w:p>
          <w:p w14:paraId="68761D9F" w14:textId="77777777" w:rsidR="009D3DC8" w:rsidRDefault="009D3DC8">
            <w:pPr>
              <w:pStyle w:val="TableText"/>
              <w:rPr>
                <w:rFonts w:cs="Arial"/>
                <w:szCs w:val="16"/>
              </w:rPr>
            </w:pPr>
            <w:r>
              <w:rPr>
                <w:rFonts w:cs="Arial"/>
                <w:szCs w:val="16"/>
              </w:rPr>
              <w:t>Presence in Indonesia: Yes (Ben-Dov 2011d).</w:t>
            </w:r>
          </w:p>
          <w:p w14:paraId="165B3E65" w14:textId="77777777" w:rsidR="009D3DC8" w:rsidRDefault="009D3DC8">
            <w:pPr>
              <w:pStyle w:val="TableText"/>
              <w:rPr>
                <w:rFonts w:cs="Arial"/>
                <w:szCs w:val="16"/>
              </w:rPr>
            </w:pPr>
            <w:r>
              <w:rPr>
                <w:rFonts w:cs="Arial"/>
                <w:szCs w:val="16"/>
              </w:rPr>
              <w:t>Presence elsewhere: Central and South America, East Africa, Oceania, South and Southeast Asia (Williams 2004; CABI 2011).</w:t>
            </w:r>
          </w:p>
        </w:tc>
      </w:tr>
      <w:tr w:rsidR="009D3DC8" w14:paraId="555B56CD"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4643226B"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188C31B3" w14:textId="77777777" w:rsidR="009D3DC8" w:rsidRDefault="009D3DC8">
            <w:pPr>
              <w:pStyle w:val="TableText"/>
              <w:rPr>
                <w:rFonts w:cs="Arial"/>
                <w:b/>
                <w:szCs w:val="16"/>
              </w:rPr>
            </w:pPr>
            <w:r>
              <w:rPr>
                <w:rFonts w:cs="Arial"/>
                <w:b/>
                <w:i/>
                <w:szCs w:val="16"/>
              </w:rPr>
              <w:t xml:space="preserve">Pseudococcus aurantiacus </w:t>
            </w:r>
            <w:r>
              <w:rPr>
                <w:rFonts w:cs="Arial"/>
                <w:b/>
                <w:szCs w:val="16"/>
              </w:rPr>
              <w:t>Williams, 2004</w:t>
            </w:r>
          </w:p>
        </w:tc>
      </w:tr>
      <w:tr w:rsidR="009D3DC8" w14:paraId="4AA36E0B"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C1DC7D9"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0D888D5A" w14:textId="77777777" w:rsidR="009D3DC8" w:rsidRDefault="009D3DC8">
            <w:pPr>
              <w:pStyle w:val="TableText"/>
              <w:rPr>
                <w:rFonts w:eastAsia="MS Mincho" w:cs="Arial"/>
                <w:szCs w:val="16"/>
                <w:lang w:eastAsia="ja-JP"/>
              </w:rPr>
            </w:pPr>
            <w:r>
              <w:rPr>
                <w:rFonts w:eastAsia="MS Mincho" w:cs="Arial"/>
                <w:szCs w:val="16"/>
                <w:lang w:eastAsia="ja-JP"/>
              </w:rPr>
              <w:t>None</w:t>
            </w:r>
          </w:p>
        </w:tc>
      </w:tr>
      <w:tr w:rsidR="009D3DC8" w14:paraId="0B2D06CB"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AC1663F"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687C7F50" w14:textId="77777777" w:rsidR="009D3DC8" w:rsidRDefault="009D3DC8">
            <w:pPr>
              <w:pStyle w:val="TableText"/>
              <w:rPr>
                <w:rFonts w:cs="Arial"/>
                <w:szCs w:val="16"/>
              </w:rPr>
            </w:pPr>
            <w:r>
              <w:rPr>
                <w:rFonts w:cs="Arial"/>
                <w:szCs w:val="16"/>
              </w:rPr>
              <w:t>Orange-coloured mealybug</w:t>
            </w:r>
          </w:p>
        </w:tc>
      </w:tr>
      <w:tr w:rsidR="009D3DC8" w14:paraId="35F577FD"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96A4E58"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5E4C7370" w14:textId="77777777" w:rsidR="009D3DC8" w:rsidRDefault="009D3DC8">
            <w:pPr>
              <w:pStyle w:val="TableText"/>
              <w:rPr>
                <w:rFonts w:eastAsia="MS Mincho" w:cs="Arial"/>
                <w:szCs w:val="16"/>
                <w:lang w:eastAsia="ja-JP"/>
              </w:rPr>
            </w:pPr>
            <w:r>
              <w:rPr>
                <w:rFonts w:cs="Arial"/>
                <w:i/>
                <w:iCs/>
                <w:szCs w:val="16"/>
              </w:rPr>
              <w:t>Garcinia</w:t>
            </w:r>
            <w:r>
              <w:rPr>
                <w:rFonts w:cs="Arial"/>
                <w:szCs w:val="16"/>
              </w:rPr>
              <w:t xml:space="preserve"> </w:t>
            </w:r>
            <w:r>
              <w:rPr>
                <w:rFonts w:cs="Arial"/>
                <w:i/>
                <w:iCs/>
                <w:szCs w:val="16"/>
              </w:rPr>
              <w:t>mangostana</w:t>
            </w:r>
            <w:r>
              <w:rPr>
                <w:rFonts w:cs="Arial"/>
                <w:szCs w:val="16"/>
              </w:rPr>
              <w:t xml:space="preserve"> (mangosteen), </w:t>
            </w:r>
            <w:r>
              <w:rPr>
                <w:rFonts w:cs="Arial"/>
                <w:i/>
                <w:iCs/>
                <w:szCs w:val="16"/>
              </w:rPr>
              <w:t>Schefflera</w:t>
            </w:r>
            <w:r>
              <w:rPr>
                <w:rFonts w:cs="Arial"/>
                <w:szCs w:val="16"/>
              </w:rPr>
              <w:t xml:space="preserve"> (umbrella tree), </w:t>
            </w:r>
            <w:r>
              <w:rPr>
                <w:rFonts w:cs="Arial"/>
                <w:i/>
                <w:iCs/>
                <w:szCs w:val="16"/>
              </w:rPr>
              <w:t>Callophyllum</w:t>
            </w:r>
            <w:r>
              <w:rPr>
                <w:rFonts w:cs="Arial"/>
                <w:szCs w:val="16"/>
              </w:rPr>
              <w:t xml:space="preserve"> (Santa Maria), </w:t>
            </w:r>
            <w:r>
              <w:rPr>
                <w:rFonts w:cs="Arial"/>
                <w:i/>
                <w:iCs/>
                <w:szCs w:val="16"/>
              </w:rPr>
              <w:t>Crypteronia</w:t>
            </w:r>
            <w:r>
              <w:rPr>
                <w:rFonts w:cs="Arial"/>
                <w:szCs w:val="16"/>
              </w:rPr>
              <w:t xml:space="preserve"> </w:t>
            </w:r>
            <w:r>
              <w:rPr>
                <w:rFonts w:cs="Arial"/>
                <w:i/>
                <w:iCs/>
                <w:szCs w:val="16"/>
              </w:rPr>
              <w:t>griffithii</w:t>
            </w:r>
            <w:r>
              <w:rPr>
                <w:rFonts w:cs="Arial"/>
                <w:szCs w:val="16"/>
              </w:rPr>
              <w:t xml:space="preserve">, </w:t>
            </w:r>
            <w:r>
              <w:rPr>
                <w:rFonts w:cs="Arial"/>
                <w:i/>
                <w:iCs/>
                <w:szCs w:val="16"/>
              </w:rPr>
              <w:t>Millettia</w:t>
            </w:r>
            <w:r>
              <w:rPr>
                <w:rFonts w:cs="Arial"/>
                <w:szCs w:val="16"/>
              </w:rPr>
              <w:t xml:space="preserve"> </w:t>
            </w:r>
            <w:r>
              <w:rPr>
                <w:rFonts w:cs="Arial"/>
                <w:i/>
                <w:iCs/>
                <w:szCs w:val="16"/>
              </w:rPr>
              <w:t>nieuwenhuisii</w:t>
            </w:r>
            <w:r>
              <w:rPr>
                <w:rFonts w:cs="Arial"/>
                <w:szCs w:val="16"/>
              </w:rPr>
              <w:t xml:space="preserve">, </w:t>
            </w:r>
            <w:r>
              <w:rPr>
                <w:rFonts w:cs="Arial"/>
                <w:i/>
                <w:iCs/>
                <w:szCs w:val="16"/>
              </w:rPr>
              <w:t>Ryparosa</w:t>
            </w:r>
            <w:r>
              <w:rPr>
                <w:rFonts w:cs="Arial"/>
                <w:szCs w:val="16"/>
              </w:rPr>
              <w:t xml:space="preserve"> </w:t>
            </w:r>
            <w:r>
              <w:rPr>
                <w:rFonts w:cs="Arial"/>
                <w:i/>
                <w:iCs/>
                <w:szCs w:val="16"/>
              </w:rPr>
              <w:t>fasciculata</w:t>
            </w:r>
            <w:r>
              <w:rPr>
                <w:rFonts w:cs="Arial"/>
                <w:szCs w:val="16"/>
              </w:rPr>
              <w:t xml:space="preserve">, </w:t>
            </w:r>
            <w:r>
              <w:rPr>
                <w:rFonts w:cs="Arial"/>
                <w:i/>
                <w:iCs/>
                <w:szCs w:val="16"/>
              </w:rPr>
              <w:t>Strychnos</w:t>
            </w:r>
            <w:r>
              <w:rPr>
                <w:rFonts w:cs="Arial"/>
                <w:szCs w:val="16"/>
              </w:rPr>
              <w:t xml:space="preserve"> </w:t>
            </w:r>
            <w:r>
              <w:rPr>
                <w:rFonts w:cs="Arial"/>
                <w:i/>
                <w:iCs/>
                <w:szCs w:val="16"/>
              </w:rPr>
              <w:t>vanprukii</w:t>
            </w:r>
            <w:r>
              <w:rPr>
                <w:rFonts w:cs="Arial"/>
                <w:szCs w:val="16"/>
              </w:rPr>
              <w:t xml:space="preserve">, </w:t>
            </w:r>
            <w:r>
              <w:rPr>
                <w:rFonts w:cs="Arial"/>
                <w:i/>
                <w:iCs/>
                <w:szCs w:val="16"/>
              </w:rPr>
              <w:t>Lansium</w:t>
            </w:r>
            <w:r>
              <w:rPr>
                <w:rFonts w:cs="Arial"/>
                <w:szCs w:val="16"/>
              </w:rPr>
              <w:t xml:space="preserve"> </w:t>
            </w:r>
            <w:r>
              <w:rPr>
                <w:rFonts w:cs="Arial"/>
                <w:i/>
                <w:iCs/>
                <w:szCs w:val="16"/>
              </w:rPr>
              <w:t>domesticum</w:t>
            </w:r>
            <w:r>
              <w:rPr>
                <w:rFonts w:cs="Arial"/>
                <w:szCs w:val="16"/>
              </w:rPr>
              <w:t xml:space="preserve"> (langsat), </w:t>
            </w:r>
            <w:r>
              <w:rPr>
                <w:rFonts w:cs="Arial"/>
                <w:i/>
                <w:iCs/>
                <w:szCs w:val="16"/>
              </w:rPr>
              <w:t>Averrhoa</w:t>
            </w:r>
            <w:r>
              <w:rPr>
                <w:rFonts w:cs="Arial"/>
                <w:szCs w:val="16"/>
              </w:rPr>
              <w:t xml:space="preserve"> </w:t>
            </w:r>
            <w:r>
              <w:rPr>
                <w:rFonts w:cs="Arial"/>
                <w:i/>
                <w:iCs/>
                <w:szCs w:val="16"/>
              </w:rPr>
              <w:t>carambola</w:t>
            </w:r>
            <w:r>
              <w:rPr>
                <w:rFonts w:cs="Arial"/>
                <w:szCs w:val="16"/>
              </w:rPr>
              <w:t xml:space="preserve"> (star fruit), </w:t>
            </w:r>
            <w:r>
              <w:rPr>
                <w:rFonts w:cs="Arial"/>
                <w:i/>
                <w:iCs/>
                <w:szCs w:val="16"/>
              </w:rPr>
              <w:t>Neonauclea</w:t>
            </w:r>
            <w:r>
              <w:rPr>
                <w:rFonts w:cs="Arial"/>
                <w:iCs/>
                <w:szCs w:val="16"/>
              </w:rPr>
              <w:t xml:space="preserve"> (labula)</w:t>
            </w:r>
            <w:r>
              <w:rPr>
                <w:rFonts w:cs="Arial"/>
                <w:szCs w:val="16"/>
              </w:rPr>
              <w:t xml:space="preserve">, and </w:t>
            </w:r>
            <w:r>
              <w:rPr>
                <w:rFonts w:cs="Arial"/>
                <w:i/>
                <w:iCs/>
                <w:szCs w:val="16"/>
              </w:rPr>
              <w:t>Nephelium</w:t>
            </w:r>
            <w:r>
              <w:rPr>
                <w:rFonts w:cs="Arial"/>
                <w:szCs w:val="16"/>
              </w:rPr>
              <w:t xml:space="preserve"> </w:t>
            </w:r>
            <w:r>
              <w:rPr>
                <w:rFonts w:cs="Arial"/>
                <w:i/>
                <w:iCs/>
                <w:szCs w:val="16"/>
              </w:rPr>
              <w:t>lappaceum</w:t>
            </w:r>
            <w:r>
              <w:rPr>
                <w:rFonts w:cs="Arial"/>
                <w:szCs w:val="16"/>
              </w:rPr>
              <w:t xml:space="preserve"> (rambutan) (Ben-Dov 2011d).</w:t>
            </w:r>
          </w:p>
        </w:tc>
      </w:tr>
      <w:tr w:rsidR="009D3DC8" w14:paraId="20E83BEE"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2508F8C2"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643BE7C4" w14:textId="77777777" w:rsidR="009D3DC8" w:rsidRDefault="009D3DC8">
            <w:pPr>
              <w:pStyle w:val="TableText"/>
              <w:rPr>
                <w:rFonts w:cs="Arial"/>
                <w:szCs w:val="16"/>
              </w:rPr>
            </w:pPr>
            <w:r>
              <w:rPr>
                <w:rFonts w:cs="Arial"/>
                <w:szCs w:val="16"/>
              </w:rPr>
              <w:t>Presence in Australia: No records found</w:t>
            </w:r>
          </w:p>
          <w:p w14:paraId="69373A5E" w14:textId="77777777" w:rsidR="009D3DC8" w:rsidRDefault="009D3DC8">
            <w:pPr>
              <w:pStyle w:val="TableText"/>
              <w:rPr>
                <w:rFonts w:cs="Arial"/>
                <w:szCs w:val="16"/>
              </w:rPr>
            </w:pPr>
            <w:r>
              <w:rPr>
                <w:rFonts w:cs="Arial"/>
                <w:szCs w:val="16"/>
              </w:rPr>
              <w:t>Presence in Indonesia: Yes (Ben-Dov 2011d)</w:t>
            </w:r>
          </w:p>
          <w:p w14:paraId="06C72522" w14:textId="77777777" w:rsidR="009D3DC8" w:rsidRDefault="009D3DC8">
            <w:pPr>
              <w:pStyle w:val="TableText"/>
              <w:rPr>
                <w:rFonts w:eastAsia="MS Mincho" w:cs="Arial"/>
                <w:szCs w:val="16"/>
                <w:lang w:eastAsia="ja-JP"/>
              </w:rPr>
            </w:pPr>
            <w:r>
              <w:rPr>
                <w:rFonts w:cs="Arial"/>
                <w:szCs w:val="16"/>
              </w:rPr>
              <w:t>Presence elsewhere: Southeast Asia (Williams 2004).</w:t>
            </w:r>
          </w:p>
        </w:tc>
      </w:tr>
      <w:tr w:rsidR="009D3DC8" w14:paraId="5564494E"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084FE43E"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7BF3DCA3" w14:textId="77777777" w:rsidR="009D3DC8" w:rsidRDefault="009D3DC8">
            <w:pPr>
              <w:pStyle w:val="TableText"/>
              <w:rPr>
                <w:rFonts w:cs="Arial"/>
                <w:b/>
                <w:szCs w:val="16"/>
              </w:rPr>
            </w:pPr>
            <w:r>
              <w:rPr>
                <w:rFonts w:cs="Arial"/>
                <w:b/>
                <w:i/>
                <w:szCs w:val="16"/>
              </w:rPr>
              <w:t xml:space="preserve">Pseudococcus baliteus </w:t>
            </w:r>
            <w:r>
              <w:rPr>
                <w:rFonts w:cs="Arial"/>
                <w:b/>
                <w:szCs w:val="16"/>
              </w:rPr>
              <w:t>Lit, 1994</w:t>
            </w:r>
          </w:p>
        </w:tc>
      </w:tr>
      <w:tr w:rsidR="009D3DC8" w14:paraId="5918371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35D2B5A"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2854D265" w14:textId="77777777" w:rsidR="009D3DC8" w:rsidRDefault="009D3DC8">
            <w:pPr>
              <w:pStyle w:val="TableText"/>
              <w:rPr>
                <w:rFonts w:eastAsia="MS Mincho" w:cs="Arial"/>
                <w:szCs w:val="16"/>
                <w:lang w:eastAsia="ja-JP"/>
              </w:rPr>
            </w:pPr>
            <w:r>
              <w:rPr>
                <w:rFonts w:eastAsia="MS Mincho" w:cs="Arial"/>
                <w:szCs w:val="16"/>
                <w:lang w:eastAsia="ja-JP"/>
              </w:rPr>
              <w:t>None</w:t>
            </w:r>
          </w:p>
        </w:tc>
      </w:tr>
      <w:tr w:rsidR="009D3DC8" w14:paraId="6570527C"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1067BB9"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0C5202E" w14:textId="77777777" w:rsidR="009D3DC8" w:rsidRDefault="009D3DC8">
            <w:pPr>
              <w:pStyle w:val="TableText"/>
              <w:rPr>
                <w:rFonts w:cs="Arial"/>
                <w:szCs w:val="16"/>
              </w:rPr>
            </w:pPr>
            <w:r>
              <w:rPr>
                <w:rFonts w:cs="Arial"/>
                <w:szCs w:val="16"/>
              </w:rPr>
              <w:t xml:space="preserve">Aerial root mealybug </w:t>
            </w:r>
          </w:p>
        </w:tc>
      </w:tr>
      <w:tr w:rsidR="009D3DC8" w14:paraId="1275CBB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1194DB8"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62C74A2F" w14:textId="77777777" w:rsidR="009D3DC8" w:rsidRDefault="009D3DC8">
            <w:pPr>
              <w:pStyle w:val="TableText"/>
              <w:rPr>
                <w:rFonts w:eastAsia="MS Mincho" w:cs="Arial"/>
                <w:szCs w:val="16"/>
                <w:lang w:eastAsia="ja-JP"/>
              </w:rPr>
            </w:pPr>
            <w:r>
              <w:rPr>
                <w:rFonts w:cs="Arial"/>
                <w:i/>
                <w:iCs/>
                <w:szCs w:val="16"/>
              </w:rPr>
              <w:t>Garcinia</w:t>
            </w:r>
            <w:r>
              <w:rPr>
                <w:rFonts w:cs="Arial"/>
                <w:szCs w:val="16"/>
              </w:rPr>
              <w:t xml:space="preserve"> </w:t>
            </w:r>
            <w:r>
              <w:rPr>
                <w:rFonts w:cs="Arial"/>
                <w:i/>
                <w:iCs/>
                <w:szCs w:val="16"/>
              </w:rPr>
              <w:t>mangostana</w:t>
            </w:r>
            <w:r>
              <w:rPr>
                <w:rFonts w:cs="Arial"/>
                <w:szCs w:val="16"/>
              </w:rPr>
              <w:t xml:space="preserve"> (mangosteen), </w:t>
            </w:r>
            <w:r>
              <w:rPr>
                <w:rFonts w:cs="Arial"/>
                <w:i/>
                <w:iCs/>
                <w:szCs w:val="16"/>
              </w:rPr>
              <w:t>Durio</w:t>
            </w:r>
            <w:r>
              <w:rPr>
                <w:rFonts w:cs="Arial"/>
                <w:szCs w:val="16"/>
              </w:rPr>
              <w:t xml:space="preserve"> </w:t>
            </w:r>
            <w:r>
              <w:rPr>
                <w:rFonts w:cs="Arial"/>
                <w:i/>
                <w:iCs/>
                <w:szCs w:val="16"/>
              </w:rPr>
              <w:t>zibethinus</w:t>
            </w:r>
            <w:r>
              <w:rPr>
                <w:rFonts w:cs="Arial"/>
                <w:szCs w:val="16"/>
              </w:rPr>
              <w:t xml:space="preserve"> (durian), </w:t>
            </w:r>
            <w:r>
              <w:rPr>
                <w:rFonts w:cs="Arial"/>
                <w:i/>
                <w:iCs/>
                <w:szCs w:val="16"/>
              </w:rPr>
              <w:t>Poikilospermum</w:t>
            </w:r>
            <w:r>
              <w:rPr>
                <w:rFonts w:cs="Arial"/>
                <w:szCs w:val="16"/>
              </w:rPr>
              <w:t xml:space="preserve"> </w:t>
            </w:r>
            <w:r>
              <w:rPr>
                <w:rFonts w:cs="Arial"/>
                <w:i/>
                <w:iCs/>
                <w:szCs w:val="16"/>
              </w:rPr>
              <w:t>suaveolans</w:t>
            </w:r>
            <w:r>
              <w:rPr>
                <w:rFonts w:cs="Arial"/>
                <w:szCs w:val="16"/>
              </w:rPr>
              <w:t xml:space="preserve">, </w:t>
            </w:r>
            <w:r>
              <w:rPr>
                <w:rFonts w:cs="Arial"/>
                <w:i/>
                <w:iCs/>
                <w:szCs w:val="16"/>
              </w:rPr>
              <w:t>Dracaena</w:t>
            </w:r>
            <w:r>
              <w:rPr>
                <w:rFonts w:cs="Arial"/>
                <w:szCs w:val="16"/>
              </w:rPr>
              <w:t xml:space="preserve">, </w:t>
            </w:r>
            <w:r>
              <w:rPr>
                <w:rFonts w:cs="Arial"/>
                <w:i/>
                <w:iCs/>
                <w:szCs w:val="16"/>
              </w:rPr>
              <w:t>Lansium</w:t>
            </w:r>
            <w:r>
              <w:rPr>
                <w:rFonts w:cs="Arial"/>
                <w:szCs w:val="16"/>
              </w:rPr>
              <w:t xml:space="preserve"> </w:t>
            </w:r>
            <w:r>
              <w:rPr>
                <w:rFonts w:cs="Arial"/>
                <w:i/>
                <w:iCs/>
                <w:szCs w:val="16"/>
              </w:rPr>
              <w:t>domesticum</w:t>
            </w:r>
            <w:r>
              <w:rPr>
                <w:rFonts w:cs="Arial"/>
                <w:szCs w:val="16"/>
              </w:rPr>
              <w:t xml:space="preserve"> (lansat), </w:t>
            </w:r>
            <w:r>
              <w:rPr>
                <w:rFonts w:cs="Arial"/>
                <w:i/>
                <w:iCs/>
                <w:szCs w:val="16"/>
              </w:rPr>
              <w:t>Artocarpus</w:t>
            </w:r>
            <w:r>
              <w:rPr>
                <w:rFonts w:cs="Arial"/>
                <w:szCs w:val="16"/>
              </w:rPr>
              <w:t xml:space="preserve"> </w:t>
            </w:r>
            <w:r>
              <w:rPr>
                <w:rFonts w:cs="Arial"/>
                <w:i/>
                <w:iCs/>
                <w:szCs w:val="16"/>
              </w:rPr>
              <w:t>odoratissimus</w:t>
            </w:r>
            <w:r>
              <w:rPr>
                <w:rFonts w:cs="Arial"/>
                <w:szCs w:val="16"/>
              </w:rPr>
              <w:t xml:space="preserve"> (breadfruit), </w:t>
            </w:r>
            <w:r>
              <w:rPr>
                <w:rFonts w:cs="Arial"/>
                <w:i/>
                <w:iCs/>
                <w:szCs w:val="16"/>
              </w:rPr>
              <w:t>Ficus</w:t>
            </w:r>
            <w:r>
              <w:rPr>
                <w:rFonts w:cs="Arial"/>
                <w:szCs w:val="16"/>
              </w:rPr>
              <w:t xml:space="preserve"> </w:t>
            </w:r>
            <w:r>
              <w:rPr>
                <w:rFonts w:cs="Arial"/>
                <w:i/>
                <w:iCs/>
                <w:szCs w:val="16"/>
              </w:rPr>
              <w:t>elastica</w:t>
            </w:r>
            <w:r>
              <w:rPr>
                <w:rFonts w:cs="Arial"/>
                <w:szCs w:val="16"/>
              </w:rPr>
              <w:t xml:space="preserve"> (rubber fig), </w:t>
            </w:r>
            <w:r>
              <w:rPr>
                <w:rFonts w:cs="Arial"/>
                <w:i/>
                <w:iCs/>
                <w:szCs w:val="16"/>
              </w:rPr>
              <w:t>Osbornia</w:t>
            </w:r>
            <w:r>
              <w:rPr>
                <w:rFonts w:cs="Arial"/>
                <w:szCs w:val="16"/>
              </w:rPr>
              <w:t xml:space="preserve"> </w:t>
            </w:r>
            <w:r>
              <w:rPr>
                <w:rFonts w:cs="Arial"/>
                <w:i/>
                <w:iCs/>
                <w:szCs w:val="16"/>
              </w:rPr>
              <w:t>octodonta</w:t>
            </w:r>
            <w:r>
              <w:rPr>
                <w:rFonts w:cs="Arial"/>
                <w:szCs w:val="16"/>
              </w:rPr>
              <w:t xml:space="preserve"> (myrtle mangrove), </w:t>
            </w:r>
            <w:r>
              <w:rPr>
                <w:rFonts w:cs="Arial"/>
                <w:i/>
                <w:iCs/>
                <w:szCs w:val="16"/>
              </w:rPr>
              <w:t>Psidium</w:t>
            </w:r>
            <w:r>
              <w:rPr>
                <w:rFonts w:cs="Arial"/>
                <w:szCs w:val="16"/>
              </w:rPr>
              <w:t xml:space="preserve"> </w:t>
            </w:r>
            <w:r>
              <w:rPr>
                <w:rFonts w:cs="Arial"/>
                <w:i/>
                <w:iCs/>
                <w:szCs w:val="16"/>
              </w:rPr>
              <w:t>guajava</w:t>
            </w:r>
            <w:r>
              <w:rPr>
                <w:rFonts w:cs="Arial"/>
                <w:szCs w:val="16"/>
              </w:rPr>
              <w:t xml:space="preserve"> (guava), </w:t>
            </w:r>
            <w:r>
              <w:rPr>
                <w:rFonts w:cs="Arial"/>
                <w:i/>
                <w:iCs/>
                <w:szCs w:val="16"/>
              </w:rPr>
              <w:t>Syzygium</w:t>
            </w:r>
            <w:r>
              <w:rPr>
                <w:rFonts w:cs="Arial"/>
                <w:szCs w:val="16"/>
              </w:rPr>
              <w:t xml:space="preserve"> (lilly pilly), </w:t>
            </w:r>
            <w:r>
              <w:rPr>
                <w:rFonts w:cs="Arial"/>
                <w:i/>
                <w:iCs/>
                <w:szCs w:val="16"/>
              </w:rPr>
              <w:t>Citrus</w:t>
            </w:r>
            <w:r>
              <w:rPr>
                <w:rFonts w:cs="Arial"/>
                <w:szCs w:val="16"/>
              </w:rPr>
              <w:t xml:space="preserve"> </w:t>
            </w:r>
            <w:r>
              <w:rPr>
                <w:rFonts w:cs="Arial"/>
                <w:i/>
                <w:iCs/>
                <w:szCs w:val="16"/>
              </w:rPr>
              <w:t>sinensis</w:t>
            </w:r>
            <w:r>
              <w:rPr>
                <w:rFonts w:cs="Arial"/>
                <w:szCs w:val="16"/>
              </w:rPr>
              <w:t xml:space="preserve"> (sweet orange), </w:t>
            </w:r>
            <w:r>
              <w:rPr>
                <w:rFonts w:cs="Arial"/>
                <w:i/>
                <w:iCs/>
                <w:szCs w:val="16"/>
              </w:rPr>
              <w:t>Dimocarpus</w:t>
            </w:r>
            <w:r>
              <w:rPr>
                <w:rFonts w:cs="Arial"/>
                <w:szCs w:val="16"/>
              </w:rPr>
              <w:t xml:space="preserve"> </w:t>
            </w:r>
            <w:r>
              <w:rPr>
                <w:rFonts w:cs="Arial"/>
                <w:i/>
                <w:iCs/>
                <w:szCs w:val="16"/>
              </w:rPr>
              <w:t>longan</w:t>
            </w:r>
            <w:r>
              <w:rPr>
                <w:rFonts w:cs="Arial"/>
                <w:szCs w:val="16"/>
              </w:rPr>
              <w:t xml:space="preserve"> (longan), </w:t>
            </w:r>
            <w:r>
              <w:rPr>
                <w:rFonts w:cs="Arial"/>
                <w:i/>
                <w:iCs/>
                <w:szCs w:val="16"/>
              </w:rPr>
              <w:t>Litchi</w:t>
            </w:r>
            <w:r>
              <w:rPr>
                <w:rFonts w:cs="Arial"/>
                <w:szCs w:val="16"/>
              </w:rPr>
              <w:t xml:space="preserve"> </w:t>
            </w:r>
            <w:r>
              <w:rPr>
                <w:rFonts w:cs="Arial"/>
                <w:i/>
                <w:iCs/>
                <w:szCs w:val="16"/>
              </w:rPr>
              <w:t>chinensis</w:t>
            </w:r>
            <w:r>
              <w:rPr>
                <w:rFonts w:cs="Arial"/>
                <w:szCs w:val="16"/>
              </w:rPr>
              <w:t xml:space="preserve"> (lychee), and </w:t>
            </w:r>
            <w:r>
              <w:rPr>
                <w:rFonts w:cs="Arial"/>
                <w:i/>
                <w:iCs/>
                <w:szCs w:val="16"/>
              </w:rPr>
              <w:t>Nephelium</w:t>
            </w:r>
            <w:r>
              <w:rPr>
                <w:rFonts w:cs="Arial"/>
                <w:szCs w:val="16"/>
              </w:rPr>
              <w:t xml:space="preserve"> </w:t>
            </w:r>
            <w:r>
              <w:rPr>
                <w:rFonts w:cs="Arial"/>
                <w:i/>
                <w:iCs/>
                <w:szCs w:val="16"/>
              </w:rPr>
              <w:t>lappaceum</w:t>
            </w:r>
            <w:r>
              <w:rPr>
                <w:rFonts w:cs="Arial"/>
                <w:szCs w:val="16"/>
              </w:rPr>
              <w:t xml:space="preserve"> (rambutan) (Williams 2004). </w:t>
            </w:r>
          </w:p>
        </w:tc>
      </w:tr>
      <w:tr w:rsidR="009D3DC8" w14:paraId="2915ADBA"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4C14C867" w14:textId="77777777" w:rsidR="009D3DC8" w:rsidRDefault="009D3DC8">
            <w:pPr>
              <w:pStyle w:val="TableText"/>
              <w:rPr>
                <w:rFonts w:cs="Arial"/>
                <w:b/>
                <w:szCs w:val="16"/>
              </w:rPr>
            </w:pPr>
            <w:r>
              <w:rPr>
                <w:rFonts w:cs="Arial"/>
                <w:b/>
                <w:szCs w:val="16"/>
              </w:rPr>
              <w:lastRenderedPageBreak/>
              <w:t>Distribution</w:t>
            </w:r>
          </w:p>
        </w:tc>
        <w:tc>
          <w:tcPr>
            <w:tcW w:w="7199" w:type="dxa"/>
            <w:tcBorders>
              <w:top w:val="single" w:sz="8" w:space="0" w:color="C0C0C0"/>
              <w:left w:val="single" w:sz="4" w:space="0" w:color="auto"/>
              <w:bottom w:val="single" w:sz="4" w:space="0" w:color="auto"/>
              <w:right w:val="single" w:sz="8" w:space="0" w:color="auto"/>
            </w:tcBorders>
          </w:tcPr>
          <w:p w14:paraId="5458F59A" w14:textId="77777777" w:rsidR="009D3DC8" w:rsidRDefault="009D3DC8">
            <w:pPr>
              <w:pStyle w:val="TableText"/>
              <w:rPr>
                <w:rFonts w:cs="Arial"/>
                <w:szCs w:val="16"/>
              </w:rPr>
            </w:pPr>
            <w:r>
              <w:rPr>
                <w:rFonts w:cs="Arial"/>
                <w:szCs w:val="16"/>
              </w:rPr>
              <w:t>Presence in Australia: No records found</w:t>
            </w:r>
          </w:p>
          <w:p w14:paraId="73D2FB25" w14:textId="77777777" w:rsidR="009D3DC8" w:rsidRDefault="009D3DC8">
            <w:pPr>
              <w:pStyle w:val="TableText"/>
              <w:rPr>
                <w:rFonts w:cs="Arial"/>
                <w:szCs w:val="16"/>
              </w:rPr>
            </w:pPr>
            <w:r>
              <w:rPr>
                <w:rFonts w:cs="Arial"/>
                <w:szCs w:val="16"/>
              </w:rPr>
              <w:t>Presence in Indonesia: Yes (Ben-Dov 2011d).</w:t>
            </w:r>
          </w:p>
          <w:p w14:paraId="7FF9B159" w14:textId="77777777" w:rsidR="009D3DC8" w:rsidRDefault="009D3DC8">
            <w:pPr>
              <w:pStyle w:val="TableText"/>
              <w:rPr>
                <w:rFonts w:cs="Arial"/>
                <w:szCs w:val="16"/>
              </w:rPr>
            </w:pPr>
            <w:r>
              <w:rPr>
                <w:rFonts w:cs="Arial"/>
                <w:szCs w:val="16"/>
              </w:rPr>
              <w:t>Presence elsewhere: East and Southeast Asia (Williams 2004)</w:t>
            </w:r>
          </w:p>
        </w:tc>
      </w:tr>
      <w:tr w:rsidR="009D3DC8" w14:paraId="70187ABD"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3FB67EEE"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57303971" w14:textId="77777777" w:rsidR="009D3DC8" w:rsidRDefault="009D3DC8">
            <w:pPr>
              <w:pStyle w:val="TableText"/>
              <w:rPr>
                <w:rFonts w:cs="Arial"/>
                <w:b/>
                <w:szCs w:val="16"/>
                <w:vertAlign w:val="superscript"/>
              </w:rPr>
            </w:pPr>
            <w:r>
              <w:rPr>
                <w:rFonts w:cs="Arial"/>
                <w:b/>
                <w:i/>
                <w:szCs w:val="16"/>
              </w:rPr>
              <w:t>Pseudococcus cryptus</w:t>
            </w:r>
            <w:r>
              <w:rPr>
                <w:rFonts w:cs="Arial"/>
                <w:b/>
                <w:szCs w:val="16"/>
              </w:rPr>
              <w:t xml:space="preserve"> Hempel,1918 </w:t>
            </w:r>
            <w:r>
              <w:rPr>
                <w:rFonts w:cs="Arial"/>
                <w:b/>
                <w:szCs w:val="16"/>
                <w:vertAlign w:val="superscript"/>
              </w:rPr>
              <w:t>EP</w:t>
            </w:r>
          </w:p>
        </w:tc>
      </w:tr>
      <w:tr w:rsidR="009D3DC8" w14:paraId="22F360E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629AAEE"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378F597C" w14:textId="77777777" w:rsidR="009D3DC8" w:rsidRDefault="009D3DC8">
            <w:pPr>
              <w:pStyle w:val="TableText"/>
              <w:rPr>
                <w:rFonts w:cs="Arial"/>
                <w:i/>
                <w:szCs w:val="16"/>
              </w:rPr>
            </w:pPr>
            <w:r>
              <w:rPr>
                <w:rFonts w:cs="Arial"/>
                <w:i/>
                <w:szCs w:val="16"/>
              </w:rPr>
              <w:t xml:space="preserve">Pseudococcus citriculus </w:t>
            </w:r>
            <w:r>
              <w:rPr>
                <w:rFonts w:cs="Arial"/>
                <w:szCs w:val="16"/>
              </w:rPr>
              <w:t>Green, 1922</w:t>
            </w:r>
          </w:p>
          <w:p w14:paraId="1168A89D" w14:textId="77777777" w:rsidR="009D3DC8" w:rsidRDefault="009D3DC8">
            <w:pPr>
              <w:pStyle w:val="TableText"/>
              <w:rPr>
                <w:rFonts w:cs="Arial"/>
                <w:i/>
                <w:szCs w:val="16"/>
              </w:rPr>
            </w:pPr>
            <w:r>
              <w:rPr>
                <w:rFonts w:cs="Arial"/>
                <w:i/>
                <w:szCs w:val="16"/>
              </w:rPr>
              <w:t xml:space="preserve">Pseudococcus spathoglottidis </w:t>
            </w:r>
            <w:r>
              <w:rPr>
                <w:rFonts w:cs="Arial"/>
                <w:szCs w:val="16"/>
              </w:rPr>
              <w:t>Lit, 1992</w:t>
            </w:r>
          </w:p>
          <w:p w14:paraId="77195C35" w14:textId="77777777" w:rsidR="009D3DC8" w:rsidRDefault="009D3DC8">
            <w:pPr>
              <w:pStyle w:val="TableText"/>
              <w:rPr>
                <w:rFonts w:cs="Arial"/>
                <w:i/>
                <w:szCs w:val="16"/>
              </w:rPr>
            </w:pPr>
            <w:r>
              <w:rPr>
                <w:rFonts w:cs="Arial"/>
                <w:i/>
                <w:szCs w:val="16"/>
              </w:rPr>
              <w:t xml:space="preserve">Pseudococcus mandarinus </w:t>
            </w:r>
            <w:r>
              <w:rPr>
                <w:rFonts w:cs="Arial"/>
                <w:szCs w:val="16"/>
              </w:rPr>
              <w:t>Das &amp; Ghose, 1996</w:t>
            </w:r>
          </w:p>
        </w:tc>
      </w:tr>
      <w:tr w:rsidR="009D3DC8" w14:paraId="2F5D4A1B"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DD95D4D"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6DD3594" w14:textId="77777777" w:rsidR="009D3DC8" w:rsidRDefault="009D3DC8">
            <w:pPr>
              <w:pStyle w:val="TableText"/>
              <w:rPr>
                <w:rFonts w:cs="Arial"/>
                <w:szCs w:val="16"/>
              </w:rPr>
            </w:pPr>
            <w:r>
              <w:rPr>
                <w:rFonts w:cs="Arial"/>
                <w:szCs w:val="16"/>
              </w:rPr>
              <w:t>Cryptic mealybug, citriculus mealybug, ground orchid mealybug</w:t>
            </w:r>
          </w:p>
        </w:tc>
      </w:tr>
      <w:tr w:rsidR="009D3DC8" w14:paraId="017002B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8F0B165"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34D24363" w14:textId="77777777" w:rsidR="009D3DC8" w:rsidRDefault="009D3DC8">
            <w:pPr>
              <w:pStyle w:val="TableText"/>
              <w:rPr>
                <w:rFonts w:cs="Arial"/>
                <w:szCs w:val="16"/>
              </w:rPr>
            </w:pPr>
            <w:r>
              <w:rPr>
                <w:rFonts w:cs="Arial"/>
                <w:szCs w:val="16"/>
              </w:rPr>
              <w:t xml:space="preserve">Recorded from a wide host range across 45 families including: </w:t>
            </w:r>
            <w:r>
              <w:rPr>
                <w:rFonts w:cs="Arial"/>
                <w:i/>
                <w:szCs w:val="16"/>
              </w:rPr>
              <w:t>Citrus</w:t>
            </w:r>
            <w:r>
              <w:rPr>
                <w:rFonts w:cs="Arial"/>
                <w:szCs w:val="16"/>
              </w:rPr>
              <w:t xml:space="preserve">, </w:t>
            </w:r>
            <w:r>
              <w:rPr>
                <w:rFonts w:cs="Arial"/>
                <w:i/>
                <w:szCs w:val="16"/>
                <w:lang w:eastAsia="en-AU"/>
              </w:rPr>
              <w:t>Garcinia mangostana</w:t>
            </w:r>
            <w:r>
              <w:rPr>
                <w:rFonts w:cs="Arial"/>
                <w:szCs w:val="16"/>
                <w:lang w:eastAsia="en-AU"/>
              </w:rPr>
              <w:t xml:space="preserve"> (mangosteen),</w:t>
            </w:r>
            <w:r>
              <w:rPr>
                <w:rFonts w:cs="Arial"/>
                <w:szCs w:val="16"/>
              </w:rPr>
              <w:t xml:space="preserve"> </w:t>
            </w:r>
            <w:r>
              <w:rPr>
                <w:rFonts w:cs="Arial"/>
                <w:i/>
                <w:szCs w:val="16"/>
              </w:rPr>
              <w:t>Litchi chinensis</w:t>
            </w:r>
            <w:r>
              <w:rPr>
                <w:rFonts w:cs="Arial"/>
                <w:szCs w:val="16"/>
              </w:rPr>
              <w:t xml:space="preserve"> (lychee), </w:t>
            </w:r>
            <w:r>
              <w:rPr>
                <w:rFonts w:cs="Arial"/>
                <w:i/>
                <w:szCs w:val="16"/>
              </w:rPr>
              <w:t>Coffea Arabica</w:t>
            </w:r>
            <w:r>
              <w:rPr>
                <w:rFonts w:cs="Arial"/>
                <w:szCs w:val="16"/>
              </w:rPr>
              <w:t xml:space="preserve"> (coffee), </w:t>
            </w:r>
            <w:r>
              <w:rPr>
                <w:rFonts w:cs="Arial"/>
                <w:i/>
                <w:szCs w:val="16"/>
              </w:rPr>
              <w:t>Ananas sativa</w:t>
            </w:r>
            <w:r>
              <w:rPr>
                <w:rFonts w:cs="Arial"/>
                <w:szCs w:val="16"/>
              </w:rPr>
              <w:t xml:space="preserve"> (pineapple),</w:t>
            </w:r>
            <w:r>
              <w:rPr>
                <w:rFonts w:cs="Arial"/>
                <w:i/>
                <w:szCs w:val="16"/>
              </w:rPr>
              <w:t xml:space="preserve"> Musa</w:t>
            </w:r>
            <w:r>
              <w:rPr>
                <w:rFonts w:cs="Arial"/>
                <w:szCs w:val="16"/>
              </w:rPr>
              <w:t xml:space="preserve"> (banana), and </w:t>
            </w:r>
            <w:r>
              <w:rPr>
                <w:rFonts w:cs="Arial"/>
                <w:i/>
                <w:szCs w:val="16"/>
              </w:rPr>
              <w:t>Vitis vinifera</w:t>
            </w:r>
            <w:r>
              <w:rPr>
                <w:rFonts w:cs="Arial"/>
                <w:szCs w:val="16"/>
              </w:rPr>
              <w:t xml:space="preserve"> (grape vine). For a comprehensive list, see Ben-Dov (2011).</w:t>
            </w:r>
          </w:p>
        </w:tc>
      </w:tr>
      <w:tr w:rsidR="009D3DC8" w14:paraId="3F327335"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4123C59F"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14613AA2" w14:textId="77777777" w:rsidR="009D3DC8" w:rsidRDefault="009D3DC8">
            <w:pPr>
              <w:pStyle w:val="TableText"/>
              <w:rPr>
                <w:rFonts w:cs="Arial"/>
                <w:szCs w:val="16"/>
              </w:rPr>
            </w:pPr>
            <w:r>
              <w:rPr>
                <w:rFonts w:cs="Arial"/>
                <w:szCs w:val="16"/>
              </w:rPr>
              <w:t>Presence in Australia: No records found</w:t>
            </w:r>
          </w:p>
          <w:p w14:paraId="71131DEF" w14:textId="77777777" w:rsidR="009D3DC8" w:rsidRDefault="009D3DC8">
            <w:pPr>
              <w:pStyle w:val="TableText"/>
              <w:rPr>
                <w:rFonts w:cs="Arial"/>
                <w:szCs w:val="16"/>
              </w:rPr>
            </w:pPr>
            <w:r>
              <w:rPr>
                <w:rFonts w:cs="Arial"/>
                <w:szCs w:val="16"/>
              </w:rPr>
              <w:t>Presence in Indonesia: Yes (Ben-Dov 2011d)</w:t>
            </w:r>
          </w:p>
          <w:p w14:paraId="057045CD" w14:textId="77777777" w:rsidR="009D3DC8" w:rsidRDefault="009D3DC8">
            <w:pPr>
              <w:pStyle w:val="TableText"/>
              <w:rPr>
                <w:rFonts w:cs="Arial"/>
                <w:szCs w:val="16"/>
              </w:rPr>
            </w:pPr>
            <w:r>
              <w:rPr>
                <w:rFonts w:cs="Arial"/>
                <w:szCs w:val="16"/>
              </w:rPr>
              <w:t xml:space="preserve">Presence elsewhere: South and Central America, East Africa, Mid-eastern Mediterranean, South, South-east and East Asia, Oceania except Australia and New Zealand (Williams 2004). </w:t>
            </w:r>
          </w:p>
        </w:tc>
      </w:tr>
      <w:tr w:rsidR="009D3DC8" w14:paraId="374FC9FD"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0D7A98C4"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334348E2" w14:textId="77777777" w:rsidR="009D3DC8" w:rsidRDefault="009D3DC8">
            <w:pPr>
              <w:pStyle w:val="TableText"/>
              <w:rPr>
                <w:rFonts w:cs="Arial"/>
                <w:b/>
                <w:szCs w:val="16"/>
                <w:vertAlign w:val="superscript"/>
              </w:rPr>
            </w:pPr>
            <w:r>
              <w:rPr>
                <w:rFonts w:cs="Arial"/>
                <w:b/>
                <w:i/>
                <w:szCs w:val="16"/>
              </w:rPr>
              <w:t>Rastrococcus spinosus</w:t>
            </w:r>
            <w:r>
              <w:rPr>
                <w:rFonts w:cs="Arial"/>
                <w:b/>
                <w:szCs w:val="16"/>
              </w:rPr>
              <w:t xml:space="preserve"> (Robinson, 1918) </w:t>
            </w:r>
            <w:r>
              <w:rPr>
                <w:rFonts w:cs="Arial"/>
                <w:b/>
                <w:szCs w:val="16"/>
                <w:vertAlign w:val="superscript"/>
              </w:rPr>
              <w:t>EP</w:t>
            </w:r>
          </w:p>
        </w:tc>
      </w:tr>
      <w:tr w:rsidR="009D3DC8" w14:paraId="4486AFA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B04B81E"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4F181C22" w14:textId="77777777" w:rsidR="009D3DC8" w:rsidRDefault="009D3DC8">
            <w:pPr>
              <w:pStyle w:val="TableText"/>
              <w:rPr>
                <w:rFonts w:cs="Arial"/>
                <w:i/>
                <w:szCs w:val="16"/>
              </w:rPr>
            </w:pPr>
            <w:r>
              <w:rPr>
                <w:rFonts w:cs="Arial"/>
                <w:i/>
                <w:szCs w:val="16"/>
              </w:rPr>
              <w:t xml:space="preserve">Phenacoccus spinosus </w:t>
            </w:r>
            <w:r>
              <w:rPr>
                <w:rFonts w:cs="Arial"/>
                <w:szCs w:val="16"/>
              </w:rPr>
              <w:t>Robinson, 1918</w:t>
            </w:r>
          </w:p>
          <w:p w14:paraId="6AFC17E5" w14:textId="77777777" w:rsidR="009D3DC8" w:rsidRDefault="009D3DC8">
            <w:pPr>
              <w:pStyle w:val="TableText"/>
              <w:rPr>
                <w:rFonts w:cs="Arial"/>
                <w:i/>
                <w:szCs w:val="16"/>
              </w:rPr>
            </w:pPr>
            <w:r>
              <w:rPr>
                <w:rFonts w:cs="Arial"/>
                <w:i/>
                <w:szCs w:val="16"/>
              </w:rPr>
              <w:t xml:space="preserve">Puto spinosus </w:t>
            </w:r>
            <w:r>
              <w:rPr>
                <w:rFonts w:cs="Arial"/>
                <w:szCs w:val="16"/>
              </w:rPr>
              <w:t>(Morrison, 1920)</w:t>
            </w:r>
          </w:p>
          <w:p w14:paraId="642D9A56" w14:textId="77777777" w:rsidR="009D3DC8" w:rsidRDefault="009D3DC8">
            <w:pPr>
              <w:pStyle w:val="TableText"/>
              <w:rPr>
                <w:rFonts w:cs="Arial"/>
                <w:szCs w:val="16"/>
              </w:rPr>
            </w:pPr>
            <w:r>
              <w:rPr>
                <w:rFonts w:cs="Arial"/>
                <w:i/>
                <w:szCs w:val="16"/>
              </w:rPr>
              <w:t xml:space="preserve">Ceroputo spinosus </w:t>
            </w:r>
            <w:r>
              <w:rPr>
                <w:rFonts w:cs="Arial"/>
                <w:szCs w:val="16"/>
              </w:rPr>
              <w:t>(van der Goot, 1928)</w:t>
            </w:r>
          </w:p>
        </w:tc>
      </w:tr>
      <w:tr w:rsidR="009D3DC8" w14:paraId="4A4890B5"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E0E8943"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0EB4D47E" w14:textId="77777777" w:rsidR="009D3DC8" w:rsidRDefault="009D3DC8">
            <w:pPr>
              <w:pStyle w:val="TableText"/>
              <w:rPr>
                <w:rFonts w:cs="Arial"/>
                <w:szCs w:val="16"/>
              </w:rPr>
            </w:pPr>
            <w:r>
              <w:rPr>
                <w:rFonts w:cs="Arial"/>
                <w:szCs w:val="16"/>
              </w:rPr>
              <w:t>Philippine mango mealybug</w:t>
            </w:r>
          </w:p>
        </w:tc>
      </w:tr>
      <w:tr w:rsidR="009D3DC8" w14:paraId="591682BC"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CE44CAA"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3D5DF897" w14:textId="77777777" w:rsidR="009D3DC8" w:rsidRDefault="009D3DC8">
            <w:pPr>
              <w:pStyle w:val="TableText"/>
              <w:rPr>
                <w:rFonts w:cs="Arial"/>
                <w:szCs w:val="16"/>
              </w:rPr>
            </w:pPr>
            <w:r>
              <w:rPr>
                <w:rFonts w:cs="Arial"/>
                <w:iCs/>
                <w:szCs w:val="16"/>
              </w:rPr>
              <w:t xml:space="preserve">Recorded from more than 30 host plant species across 18 families including: </w:t>
            </w:r>
            <w:r>
              <w:rPr>
                <w:rFonts w:cs="Arial"/>
                <w:i/>
                <w:iCs/>
                <w:szCs w:val="16"/>
              </w:rPr>
              <w:t>Garcinia mangostana</w:t>
            </w:r>
            <w:r>
              <w:rPr>
                <w:rFonts w:cs="Arial"/>
                <w:iCs/>
                <w:szCs w:val="16"/>
              </w:rPr>
              <w:t xml:space="preserve"> (mangosteen), </w:t>
            </w:r>
            <w:r>
              <w:rPr>
                <w:rFonts w:cs="Arial"/>
                <w:i/>
                <w:iCs/>
                <w:szCs w:val="16"/>
              </w:rPr>
              <w:t>Anacardium</w:t>
            </w:r>
            <w:r>
              <w:rPr>
                <w:rFonts w:cs="Arial"/>
                <w:szCs w:val="16"/>
              </w:rPr>
              <w:t xml:space="preserve"> </w:t>
            </w:r>
            <w:r>
              <w:rPr>
                <w:rFonts w:cs="Arial"/>
                <w:i/>
                <w:iCs/>
                <w:szCs w:val="16"/>
              </w:rPr>
              <w:t>occidentale</w:t>
            </w:r>
            <w:r>
              <w:rPr>
                <w:rFonts w:cs="Arial"/>
                <w:szCs w:val="16"/>
              </w:rPr>
              <w:t xml:space="preserve"> (cashew), </w:t>
            </w:r>
            <w:r>
              <w:rPr>
                <w:rFonts w:cs="Arial"/>
                <w:i/>
                <w:iCs/>
                <w:szCs w:val="16"/>
              </w:rPr>
              <w:t>Mangifera</w:t>
            </w:r>
            <w:r>
              <w:rPr>
                <w:rFonts w:cs="Arial"/>
                <w:szCs w:val="16"/>
              </w:rPr>
              <w:t xml:space="preserve"> </w:t>
            </w:r>
            <w:r>
              <w:rPr>
                <w:rFonts w:cs="Arial"/>
                <w:i/>
                <w:iCs/>
                <w:szCs w:val="16"/>
              </w:rPr>
              <w:t xml:space="preserve">indica </w:t>
            </w:r>
            <w:r>
              <w:rPr>
                <w:rFonts w:cs="Arial"/>
                <w:iCs/>
                <w:szCs w:val="16"/>
              </w:rPr>
              <w:t>(mango)</w:t>
            </w:r>
            <w:r>
              <w:rPr>
                <w:rFonts w:cs="Arial"/>
                <w:szCs w:val="16"/>
              </w:rPr>
              <w:t xml:space="preserve">, </w:t>
            </w:r>
            <w:r>
              <w:rPr>
                <w:rFonts w:cs="Arial"/>
                <w:i/>
                <w:iCs/>
                <w:szCs w:val="16"/>
              </w:rPr>
              <w:t>Cocos</w:t>
            </w:r>
            <w:r>
              <w:rPr>
                <w:rFonts w:cs="Arial"/>
                <w:szCs w:val="16"/>
              </w:rPr>
              <w:t xml:space="preserve"> </w:t>
            </w:r>
            <w:r>
              <w:rPr>
                <w:rFonts w:cs="Arial"/>
                <w:i/>
                <w:iCs/>
                <w:szCs w:val="16"/>
              </w:rPr>
              <w:t>nucifera</w:t>
            </w:r>
            <w:r>
              <w:rPr>
                <w:rFonts w:cs="Arial"/>
                <w:szCs w:val="16"/>
              </w:rPr>
              <w:t xml:space="preserve"> (coconut palm), </w:t>
            </w:r>
            <w:r>
              <w:rPr>
                <w:rFonts w:cs="Arial"/>
                <w:i/>
                <w:iCs/>
                <w:szCs w:val="16"/>
              </w:rPr>
              <w:t>Artocarpus</w:t>
            </w:r>
            <w:r>
              <w:rPr>
                <w:rFonts w:cs="Arial"/>
                <w:szCs w:val="16"/>
              </w:rPr>
              <w:t xml:space="preserve"> </w:t>
            </w:r>
            <w:r>
              <w:rPr>
                <w:rFonts w:cs="Arial"/>
                <w:i/>
                <w:iCs/>
                <w:szCs w:val="16"/>
              </w:rPr>
              <w:t>altilis</w:t>
            </w:r>
            <w:r>
              <w:rPr>
                <w:rFonts w:cs="Arial"/>
                <w:szCs w:val="16"/>
              </w:rPr>
              <w:t xml:space="preserve"> (breadfruit), </w:t>
            </w:r>
            <w:r>
              <w:rPr>
                <w:rFonts w:cs="Arial"/>
                <w:i/>
                <w:iCs/>
                <w:szCs w:val="16"/>
              </w:rPr>
              <w:t>Artocarpus</w:t>
            </w:r>
            <w:r>
              <w:rPr>
                <w:rFonts w:cs="Arial"/>
                <w:szCs w:val="16"/>
              </w:rPr>
              <w:t xml:space="preserve"> </w:t>
            </w:r>
            <w:r>
              <w:rPr>
                <w:rFonts w:cs="Arial"/>
                <w:i/>
                <w:iCs/>
                <w:szCs w:val="16"/>
              </w:rPr>
              <w:t>heterophyllus</w:t>
            </w:r>
            <w:r>
              <w:rPr>
                <w:rFonts w:cs="Arial"/>
                <w:szCs w:val="16"/>
              </w:rPr>
              <w:t xml:space="preserve"> (jackfruit), </w:t>
            </w:r>
            <w:r>
              <w:rPr>
                <w:rFonts w:cs="Arial"/>
                <w:i/>
                <w:iCs/>
                <w:szCs w:val="16"/>
              </w:rPr>
              <w:t>Ficus</w:t>
            </w:r>
            <w:r>
              <w:rPr>
                <w:rFonts w:cs="Arial"/>
                <w:szCs w:val="16"/>
              </w:rPr>
              <w:t xml:space="preserve"> </w:t>
            </w:r>
            <w:r>
              <w:rPr>
                <w:rFonts w:cs="Arial"/>
                <w:i/>
                <w:iCs/>
                <w:szCs w:val="16"/>
              </w:rPr>
              <w:t>ampelas</w:t>
            </w:r>
            <w:r>
              <w:rPr>
                <w:rFonts w:cs="Arial"/>
                <w:szCs w:val="16"/>
              </w:rPr>
              <w:t xml:space="preserve"> (fig), </w:t>
            </w:r>
            <w:r>
              <w:rPr>
                <w:rFonts w:cs="Arial"/>
                <w:i/>
                <w:iCs/>
                <w:szCs w:val="16"/>
              </w:rPr>
              <w:t>Psidium</w:t>
            </w:r>
            <w:r>
              <w:rPr>
                <w:rFonts w:cs="Arial"/>
                <w:szCs w:val="16"/>
              </w:rPr>
              <w:t xml:space="preserve"> </w:t>
            </w:r>
            <w:r>
              <w:rPr>
                <w:rFonts w:cs="Arial"/>
                <w:i/>
                <w:iCs/>
                <w:szCs w:val="16"/>
              </w:rPr>
              <w:t>guajava</w:t>
            </w:r>
            <w:r>
              <w:rPr>
                <w:rFonts w:cs="Arial"/>
                <w:szCs w:val="16"/>
              </w:rPr>
              <w:t xml:space="preserve"> (guava), </w:t>
            </w:r>
            <w:r>
              <w:rPr>
                <w:rFonts w:cs="Arial"/>
                <w:i/>
                <w:iCs/>
                <w:szCs w:val="16"/>
              </w:rPr>
              <w:t>Coffea</w:t>
            </w:r>
            <w:r>
              <w:rPr>
                <w:rFonts w:cs="Arial"/>
                <w:szCs w:val="16"/>
              </w:rPr>
              <w:t xml:space="preserve"> (coffee) </w:t>
            </w:r>
            <w:r>
              <w:rPr>
                <w:rFonts w:cs="Arial"/>
                <w:i/>
                <w:iCs/>
                <w:szCs w:val="16"/>
              </w:rPr>
              <w:t>Citrus</w:t>
            </w:r>
            <w:r>
              <w:rPr>
                <w:rFonts w:cs="Arial"/>
                <w:szCs w:val="16"/>
              </w:rPr>
              <w:t xml:space="preserve"> (citrus) and </w:t>
            </w:r>
            <w:r>
              <w:rPr>
                <w:rFonts w:cs="Arial"/>
                <w:i/>
                <w:iCs/>
                <w:szCs w:val="16"/>
              </w:rPr>
              <w:t>Theobroma</w:t>
            </w:r>
            <w:r>
              <w:rPr>
                <w:rFonts w:cs="Arial"/>
                <w:szCs w:val="16"/>
              </w:rPr>
              <w:t xml:space="preserve"> </w:t>
            </w:r>
            <w:r>
              <w:rPr>
                <w:rFonts w:cs="Arial"/>
                <w:i/>
                <w:iCs/>
                <w:szCs w:val="16"/>
              </w:rPr>
              <w:t>cacao</w:t>
            </w:r>
            <w:r>
              <w:rPr>
                <w:rFonts w:cs="Arial"/>
                <w:szCs w:val="16"/>
              </w:rPr>
              <w:t xml:space="preserve"> (cacao tree). For a comprehensive list, see Ben-Dov (2011). </w:t>
            </w:r>
          </w:p>
        </w:tc>
      </w:tr>
      <w:tr w:rsidR="009D3DC8" w14:paraId="5C6E1ABA"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4FA243E2"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1F1309EC" w14:textId="77777777" w:rsidR="009D3DC8" w:rsidRDefault="009D3DC8">
            <w:pPr>
              <w:pStyle w:val="TableText"/>
              <w:rPr>
                <w:rFonts w:cs="Arial"/>
                <w:szCs w:val="16"/>
              </w:rPr>
            </w:pPr>
            <w:r>
              <w:rPr>
                <w:rFonts w:cs="Arial"/>
                <w:szCs w:val="16"/>
              </w:rPr>
              <w:t>Presence in Australia: No records found</w:t>
            </w:r>
          </w:p>
          <w:p w14:paraId="38706DE3" w14:textId="77777777" w:rsidR="009D3DC8" w:rsidRDefault="009D3DC8">
            <w:pPr>
              <w:pStyle w:val="TableText"/>
              <w:rPr>
                <w:rFonts w:cs="Arial"/>
                <w:szCs w:val="16"/>
              </w:rPr>
            </w:pPr>
            <w:r>
              <w:rPr>
                <w:rFonts w:cs="Arial"/>
                <w:szCs w:val="16"/>
              </w:rPr>
              <w:t>Presence in Indonesia: Yes (Ben-Dov 2011d)</w:t>
            </w:r>
          </w:p>
          <w:p w14:paraId="4C347E6C" w14:textId="77777777" w:rsidR="009D3DC8" w:rsidRDefault="009D3DC8">
            <w:pPr>
              <w:pStyle w:val="TableText"/>
              <w:rPr>
                <w:rFonts w:cs="Arial"/>
                <w:szCs w:val="16"/>
              </w:rPr>
            </w:pPr>
            <w:r>
              <w:rPr>
                <w:rFonts w:cs="Arial"/>
                <w:szCs w:val="16"/>
              </w:rPr>
              <w:t>Presence elsewhere: South and Southeast Asia (Ben-Dov 2011d)</w:t>
            </w:r>
          </w:p>
          <w:p w14:paraId="14E2D0BA" w14:textId="77777777" w:rsidR="009D3DC8" w:rsidRDefault="009D3DC8">
            <w:pPr>
              <w:pStyle w:val="TableText"/>
              <w:rPr>
                <w:rFonts w:cs="Arial"/>
                <w:szCs w:val="16"/>
              </w:rPr>
            </w:pPr>
            <w:r>
              <w:rPr>
                <w:rFonts w:cs="Arial"/>
                <w:szCs w:val="16"/>
              </w:rPr>
              <w:t>(Ito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tc>
      </w:tr>
      <w:tr w:rsidR="009D3DC8" w14:paraId="34828454"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07044364"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499A036F" w14:textId="77777777" w:rsidR="009D3DC8" w:rsidRDefault="009D3DC8">
            <w:pPr>
              <w:pStyle w:val="TableText"/>
              <w:rPr>
                <w:rFonts w:cs="Arial"/>
                <w:b/>
                <w:szCs w:val="16"/>
              </w:rPr>
            </w:pPr>
            <w:r>
              <w:rPr>
                <w:rFonts w:cs="Arial"/>
                <w:b/>
                <w:i/>
                <w:szCs w:val="16"/>
              </w:rPr>
              <w:t xml:space="preserve">Camponotus </w:t>
            </w:r>
            <w:r>
              <w:rPr>
                <w:rFonts w:cs="Arial"/>
                <w:b/>
                <w:szCs w:val="16"/>
              </w:rPr>
              <w:t>sp.</w:t>
            </w:r>
          </w:p>
        </w:tc>
      </w:tr>
      <w:tr w:rsidR="009D3DC8" w14:paraId="164AE34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E1B5D8A"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4AE03480" w14:textId="77777777" w:rsidR="009D3DC8" w:rsidRDefault="009D3DC8">
            <w:pPr>
              <w:pStyle w:val="TableText"/>
              <w:rPr>
                <w:rFonts w:cs="Arial"/>
                <w:szCs w:val="16"/>
              </w:rPr>
            </w:pPr>
            <w:r>
              <w:rPr>
                <w:rFonts w:cs="Arial"/>
                <w:szCs w:val="16"/>
              </w:rPr>
              <w:t>None</w:t>
            </w:r>
          </w:p>
        </w:tc>
      </w:tr>
      <w:tr w:rsidR="009D3DC8" w14:paraId="1EEAE8C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1FDC6ED"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0FC54B6A" w14:textId="77777777" w:rsidR="009D3DC8" w:rsidRDefault="009D3DC8">
            <w:pPr>
              <w:pStyle w:val="TableText"/>
              <w:rPr>
                <w:rFonts w:cs="Arial"/>
                <w:szCs w:val="16"/>
              </w:rPr>
            </w:pPr>
            <w:r>
              <w:rPr>
                <w:rFonts w:cs="Arial"/>
                <w:szCs w:val="16"/>
              </w:rPr>
              <w:t xml:space="preserve">Carpenter ant </w:t>
            </w:r>
          </w:p>
        </w:tc>
      </w:tr>
      <w:tr w:rsidR="009D3DC8" w14:paraId="298EFA0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4F07714"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81505DF"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0F652552"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6D1BADD8"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59E9319A"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Camponotus</w:t>
            </w:r>
            <w:r>
              <w:rPr>
                <w:rFonts w:cs="Arial"/>
                <w:szCs w:val="16"/>
              </w:rPr>
              <w:t xml:space="preserve"> are present in Australia. However, some individual species may not be present in Australia (CSIRO 2011).</w:t>
            </w:r>
          </w:p>
          <w:p w14:paraId="6220BDC8"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1D1D7D85" w14:textId="77777777" w:rsidR="009D3DC8" w:rsidRDefault="009D3DC8">
            <w:pPr>
              <w:pStyle w:val="TableText"/>
              <w:rPr>
                <w:rFonts w:cs="Arial"/>
                <w:szCs w:val="16"/>
              </w:rPr>
            </w:pPr>
            <w:r>
              <w:rPr>
                <w:rFonts w:cs="Arial"/>
                <w:szCs w:val="16"/>
              </w:rPr>
              <w:t>Presence elsewhere: The genus is present worldwide (Guénard</w:t>
            </w:r>
            <w:r>
              <w:rPr>
                <w:rFonts w:cs="Arial"/>
                <w:i/>
                <w:szCs w:val="16"/>
              </w:rPr>
              <w:t xml:space="preserve"> et al.</w:t>
            </w:r>
            <w:r>
              <w:rPr>
                <w:rFonts w:cs="Arial"/>
                <w:szCs w:val="16"/>
              </w:rPr>
              <w:t xml:space="preserve"> 2010)</w:t>
            </w:r>
          </w:p>
        </w:tc>
      </w:tr>
      <w:tr w:rsidR="009D3DC8" w14:paraId="0C6CF159"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365571A3"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06F5528F" w14:textId="77777777" w:rsidR="009D3DC8" w:rsidRDefault="009D3DC8">
            <w:pPr>
              <w:pStyle w:val="TableText"/>
              <w:rPr>
                <w:rFonts w:cs="Arial"/>
                <w:b/>
                <w:szCs w:val="16"/>
              </w:rPr>
            </w:pPr>
            <w:r>
              <w:rPr>
                <w:rFonts w:cs="Arial"/>
                <w:b/>
                <w:i/>
                <w:szCs w:val="16"/>
              </w:rPr>
              <w:t xml:space="preserve">Cardiocondyla </w:t>
            </w:r>
            <w:r>
              <w:rPr>
                <w:rFonts w:cs="Arial"/>
                <w:b/>
                <w:szCs w:val="16"/>
              </w:rPr>
              <w:t>sp.</w:t>
            </w:r>
          </w:p>
        </w:tc>
      </w:tr>
      <w:tr w:rsidR="009D3DC8" w14:paraId="579EBCBF"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A739C0D"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50368BD1" w14:textId="77777777" w:rsidR="009D3DC8" w:rsidRDefault="009D3DC8">
            <w:pPr>
              <w:pStyle w:val="TableText"/>
              <w:rPr>
                <w:rFonts w:cs="Arial"/>
                <w:szCs w:val="16"/>
              </w:rPr>
            </w:pPr>
            <w:r>
              <w:rPr>
                <w:rFonts w:cs="Arial"/>
                <w:szCs w:val="16"/>
              </w:rPr>
              <w:t>None</w:t>
            </w:r>
          </w:p>
        </w:tc>
      </w:tr>
      <w:tr w:rsidR="009D3DC8" w14:paraId="08C6E22C"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FBBD3D5"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63BA9A86" w14:textId="77777777" w:rsidR="009D3DC8" w:rsidRDefault="009D3DC8">
            <w:pPr>
              <w:pStyle w:val="TableText"/>
              <w:rPr>
                <w:rFonts w:cs="Arial"/>
                <w:szCs w:val="16"/>
              </w:rPr>
            </w:pPr>
          </w:p>
        </w:tc>
      </w:tr>
      <w:tr w:rsidR="009D3DC8" w14:paraId="73A56AA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0DF5D24"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24051FE5"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05133FD4"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2BF9A066"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228B3C27"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 xml:space="preserve">Cardiocondyla </w:t>
            </w:r>
            <w:r>
              <w:rPr>
                <w:rFonts w:cs="Arial"/>
                <w:szCs w:val="16"/>
              </w:rPr>
              <w:t>are present in Australia. However, some individual species may not be present in Australia (CSIRO 2011).</w:t>
            </w:r>
          </w:p>
          <w:p w14:paraId="528F6880"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62A8E983" w14:textId="77777777" w:rsidR="009D3DC8" w:rsidRDefault="009D3DC8">
            <w:pPr>
              <w:pStyle w:val="TableText"/>
              <w:rPr>
                <w:rFonts w:cs="Arial"/>
                <w:szCs w:val="16"/>
              </w:rPr>
            </w:pPr>
            <w:r>
              <w:rPr>
                <w:rFonts w:cs="Arial"/>
                <w:szCs w:val="16"/>
              </w:rPr>
              <w:t>Presence elsewhere: The genus is present worldwide, although absent from North America and exotic to Central and South America (Guénard</w:t>
            </w:r>
            <w:r>
              <w:rPr>
                <w:rFonts w:cs="Arial"/>
                <w:i/>
                <w:szCs w:val="16"/>
              </w:rPr>
              <w:t xml:space="preserve"> et al.</w:t>
            </w:r>
            <w:r>
              <w:rPr>
                <w:rFonts w:cs="Arial"/>
                <w:szCs w:val="16"/>
              </w:rPr>
              <w:t xml:space="preserve"> 2010).</w:t>
            </w:r>
          </w:p>
        </w:tc>
      </w:tr>
      <w:tr w:rsidR="009D3DC8" w14:paraId="297412B6"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4E845772"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461B896E" w14:textId="77777777" w:rsidR="009D3DC8" w:rsidRDefault="009D3DC8">
            <w:pPr>
              <w:pStyle w:val="TableText"/>
              <w:rPr>
                <w:rFonts w:cs="Arial"/>
                <w:b/>
                <w:szCs w:val="16"/>
              </w:rPr>
            </w:pPr>
            <w:r>
              <w:rPr>
                <w:rFonts w:cs="Arial"/>
                <w:b/>
                <w:i/>
                <w:szCs w:val="16"/>
              </w:rPr>
              <w:t xml:space="preserve">Crematogaster </w:t>
            </w:r>
            <w:r>
              <w:rPr>
                <w:rFonts w:cs="Arial"/>
                <w:b/>
                <w:szCs w:val="16"/>
              </w:rPr>
              <w:t>sp.</w:t>
            </w:r>
          </w:p>
        </w:tc>
      </w:tr>
      <w:tr w:rsidR="009D3DC8" w14:paraId="292713B5"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4FE8A1C"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40544A4" w14:textId="77777777" w:rsidR="009D3DC8" w:rsidRDefault="009D3DC8">
            <w:pPr>
              <w:pStyle w:val="TableText"/>
              <w:rPr>
                <w:rFonts w:cs="Arial"/>
                <w:szCs w:val="16"/>
              </w:rPr>
            </w:pPr>
            <w:r>
              <w:rPr>
                <w:rFonts w:cs="Arial"/>
                <w:szCs w:val="16"/>
              </w:rPr>
              <w:t>None</w:t>
            </w:r>
          </w:p>
        </w:tc>
      </w:tr>
      <w:tr w:rsidR="009D3DC8" w14:paraId="69B02595"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B2BCF35"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3AB916E5" w14:textId="77777777" w:rsidR="009D3DC8" w:rsidRDefault="009D3DC8">
            <w:pPr>
              <w:pStyle w:val="TableText"/>
              <w:rPr>
                <w:rFonts w:cs="Arial"/>
                <w:szCs w:val="16"/>
              </w:rPr>
            </w:pPr>
            <w:r>
              <w:rPr>
                <w:rFonts w:cs="Arial"/>
                <w:szCs w:val="16"/>
              </w:rPr>
              <w:t>Semut kripik</w:t>
            </w:r>
          </w:p>
        </w:tc>
      </w:tr>
      <w:tr w:rsidR="009D3DC8" w14:paraId="208DDF6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59EAF87" w14:textId="77777777" w:rsidR="009D3DC8" w:rsidRDefault="009D3DC8">
            <w:pPr>
              <w:pStyle w:val="TableText"/>
              <w:rPr>
                <w:rFonts w:cs="Arial"/>
                <w:b/>
                <w:szCs w:val="16"/>
              </w:rPr>
            </w:pPr>
            <w:r>
              <w:rPr>
                <w:rFonts w:cs="Arial"/>
                <w:b/>
                <w:szCs w:val="16"/>
              </w:rPr>
              <w:lastRenderedPageBreak/>
              <w:t>Main hosts</w:t>
            </w:r>
          </w:p>
        </w:tc>
        <w:tc>
          <w:tcPr>
            <w:tcW w:w="7199" w:type="dxa"/>
            <w:tcBorders>
              <w:top w:val="single" w:sz="8" w:space="0" w:color="C0C0C0"/>
              <w:left w:val="single" w:sz="4" w:space="0" w:color="auto"/>
              <w:bottom w:val="single" w:sz="8" w:space="0" w:color="C0C0C0"/>
              <w:right w:val="single" w:sz="8" w:space="0" w:color="auto"/>
            </w:tcBorders>
          </w:tcPr>
          <w:p w14:paraId="53C0A52F"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638CE7A0"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7DC15340"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7CA3CBB6"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Crematogaster</w:t>
            </w:r>
            <w:r>
              <w:rPr>
                <w:rFonts w:cs="Arial"/>
                <w:b/>
                <w:i/>
                <w:szCs w:val="16"/>
              </w:rPr>
              <w:t xml:space="preserve"> </w:t>
            </w:r>
            <w:r>
              <w:rPr>
                <w:rFonts w:cs="Arial"/>
                <w:szCs w:val="16"/>
              </w:rPr>
              <w:t>are present in Australia. However, some individual species may not be present in Australia (CSIRO 2011)</w:t>
            </w:r>
          </w:p>
          <w:p w14:paraId="32CB02EC" w14:textId="77777777" w:rsidR="009D3DC8" w:rsidRDefault="009D3DC8">
            <w:pPr>
              <w:pStyle w:val="TableText"/>
              <w:rPr>
                <w:rFonts w:cs="Arial"/>
                <w:szCs w:val="16"/>
              </w:rPr>
            </w:pPr>
            <w:r>
              <w:rPr>
                <w:rFonts w:cs="Arial"/>
                <w:szCs w:val="16"/>
              </w:rPr>
              <w:t>Presence in Indonesia: Genus present (Kalshoven 1981;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313BF0AD" w14:textId="77777777" w:rsidR="009D3DC8" w:rsidRDefault="009D3DC8">
            <w:pPr>
              <w:pStyle w:val="TableText"/>
              <w:rPr>
                <w:rFonts w:cs="Arial"/>
                <w:szCs w:val="16"/>
              </w:rPr>
            </w:pPr>
            <w:r>
              <w:rPr>
                <w:rFonts w:cs="Arial"/>
                <w:szCs w:val="16"/>
              </w:rPr>
              <w:t>Presence elsewhere: The genus is present worldwide (Guénard</w:t>
            </w:r>
            <w:r>
              <w:rPr>
                <w:rFonts w:cs="Arial"/>
                <w:i/>
                <w:szCs w:val="16"/>
              </w:rPr>
              <w:t xml:space="preserve"> et al.</w:t>
            </w:r>
            <w:r>
              <w:rPr>
                <w:rFonts w:cs="Arial"/>
                <w:szCs w:val="16"/>
              </w:rPr>
              <w:t xml:space="preserve"> 2010).</w:t>
            </w:r>
          </w:p>
        </w:tc>
      </w:tr>
      <w:tr w:rsidR="009D3DC8" w14:paraId="64CC9448"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2F9EC99B"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79A90909" w14:textId="77777777" w:rsidR="009D3DC8" w:rsidRDefault="009D3DC8">
            <w:pPr>
              <w:pStyle w:val="TableText"/>
              <w:rPr>
                <w:rFonts w:cs="Arial"/>
                <w:b/>
                <w:i/>
                <w:szCs w:val="16"/>
                <w:vertAlign w:val="superscript"/>
              </w:rPr>
            </w:pPr>
            <w:r>
              <w:rPr>
                <w:rFonts w:cs="Arial"/>
                <w:b/>
                <w:i/>
                <w:szCs w:val="16"/>
              </w:rPr>
              <w:t>Dolichoderus</w:t>
            </w:r>
            <w:r>
              <w:rPr>
                <w:rFonts w:cs="Arial"/>
                <w:b/>
                <w:szCs w:val="16"/>
              </w:rPr>
              <w:t xml:space="preserve"> sp</w:t>
            </w:r>
            <w:r>
              <w:rPr>
                <w:rFonts w:cs="Arial"/>
                <w:b/>
                <w:i/>
                <w:szCs w:val="16"/>
              </w:rPr>
              <w:t xml:space="preserve">. </w:t>
            </w:r>
            <w:r>
              <w:rPr>
                <w:rFonts w:cs="Arial"/>
                <w:b/>
                <w:szCs w:val="16"/>
                <w:vertAlign w:val="superscript"/>
              </w:rPr>
              <w:t>EP</w:t>
            </w:r>
          </w:p>
        </w:tc>
      </w:tr>
      <w:tr w:rsidR="009D3DC8" w14:paraId="2171AA4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7616B4B"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0F5DED9F" w14:textId="77777777" w:rsidR="009D3DC8" w:rsidRDefault="009D3DC8">
            <w:pPr>
              <w:pStyle w:val="TableText"/>
              <w:rPr>
                <w:rFonts w:cs="Arial"/>
                <w:szCs w:val="16"/>
              </w:rPr>
            </w:pPr>
            <w:r>
              <w:rPr>
                <w:rFonts w:cs="Arial"/>
                <w:szCs w:val="16"/>
              </w:rPr>
              <w:t>None</w:t>
            </w:r>
          </w:p>
        </w:tc>
      </w:tr>
      <w:tr w:rsidR="009D3DC8" w14:paraId="6ACDFFF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09E4481"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72B6D31D" w14:textId="77777777" w:rsidR="009D3DC8" w:rsidRDefault="009D3DC8">
            <w:pPr>
              <w:pStyle w:val="TableText"/>
              <w:rPr>
                <w:rFonts w:cs="Arial"/>
                <w:szCs w:val="16"/>
              </w:rPr>
            </w:pPr>
          </w:p>
        </w:tc>
      </w:tr>
      <w:tr w:rsidR="009D3DC8" w14:paraId="673A86A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BE16717"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113CDEC3"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57C620A9"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4B4B9346"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2D5DB488"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Dolichoderus</w:t>
            </w:r>
            <w:r>
              <w:rPr>
                <w:rFonts w:cs="Arial"/>
                <w:b/>
                <w:szCs w:val="16"/>
              </w:rPr>
              <w:t xml:space="preserve"> </w:t>
            </w:r>
            <w:r>
              <w:rPr>
                <w:rFonts w:cs="Arial"/>
                <w:szCs w:val="16"/>
              </w:rPr>
              <w:t>are present in Australia. However, some individual species may not be present in Australia (CSIRO 2011).</w:t>
            </w:r>
          </w:p>
          <w:p w14:paraId="7EE37F8C"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78A11C43" w14:textId="77777777" w:rsidR="009D3DC8" w:rsidRDefault="009D3DC8">
            <w:pPr>
              <w:pStyle w:val="TableText"/>
              <w:rPr>
                <w:rFonts w:cs="Arial"/>
                <w:szCs w:val="16"/>
              </w:rPr>
            </w:pPr>
            <w:r>
              <w:rPr>
                <w:rFonts w:cs="Arial"/>
                <w:szCs w:val="16"/>
              </w:rPr>
              <w:t>Presence elsewhere: The genus is present worldwide, although absent from Central and Southern Africa (Guénard</w:t>
            </w:r>
            <w:r>
              <w:rPr>
                <w:rFonts w:cs="Arial"/>
                <w:i/>
                <w:szCs w:val="16"/>
              </w:rPr>
              <w:t xml:space="preserve"> et al.</w:t>
            </w:r>
            <w:r>
              <w:rPr>
                <w:rFonts w:cs="Arial"/>
                <w:szCs w:val="16"/>
              </w:rPr>
              <w:t xml:space="preserve"> 2010).</w:t>
            </w:r>
          </w:p>
        </w:tc>
      </w:tr>
      <w:tr w:rsidR="009D3DC8" w14:paraId="0B74D300"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66DFEA01"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372116CF" w14:textId="77777777" w:rsidR="009D3DC8" w:rsidRDefault="009D3DC8">
            <w:pPr>
              <w:pStyle w:val="TableText"/>
              <w:rPr>
                <w:rFonts w:cs="Arial"/>
                <w:b/>
                <w:szCs w:val="16"/>
              </w:rPr>
            </w:pPr>
            <w:r>
              <w:rPr>
                <w:rFonts w:cs="Arial"/>
                <w:b/>
                <w:i/>
                <w:szCs w:val="16"/>
              </w:rPr>
              <w:t xml:space="preserve">Iridomyrmex </w:t>
            </w:r>
            <w:r>
              <w:rPr>
                <w:rFonts w:cs="Arial"/>
                <w:b/>
                <w:szCs w:val="16"/>
              </w:rPr>
              <w:t>sp.</w:t>
            </w:r>
          </w:p>
        </w:tc>
      </w:tr>
      <w:tr w:rsidR="009D3DC8" w14:paraId="497161A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BCF6BA3"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7F610E5F" w14:textId="77777777" w:rsidR="009D3DC8" w:rsidRDefault="009D3DC8">
            <w:pPr>
              <w:pStyle w:val="TableText"/>
              <w:rPr>
                <w:rFonts w:cs="Arial"/>
                <w:szCs w:val="16"/>
              </w:rPr>
            </w:pPr>
            <w:r>
              <w:rPr>
                <w:rFonts w:cs="Arial"/>
                <w:szCs w:val="16"/>
              </w:rPr>
              <w:t>None</w:t>
            </w:r>
          </w:p>
        </w:tc>
      </w:tr>
      <w:tr w:rsidR="009D3DC8" w14:paraId="7BB6FD4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DBB0E92"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2C2AA98B" w14:textId="77777777" w:rsidR="009D3DC8" w:rsidRDefault="009D3DC8">
            <w:pPr>
              <w:pStyle w:val="TableText"/>
              <w:rPr>
                <w:rFonts w:cs="Arial"/>
                <w:szCs w:val="16"/>
              </w:rPr>
            </w:pPr>
          </w:p>
        </w:tc>
      </w:tr>
      <w:tr w:rsidR="009D3DC8" w14:paraId="7619B0A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62081F0"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18259D8C"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6000E526"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529B5B6C"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2D0F2D34"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Iridomyrmex</w:t>
            </w:r>
            <w:r>
              <w:rPr>
                <w:rFonts w:cs="Arial"/>
                <w:b/>
                <w:i/>
                <w:szCs w:val="16"/>
              </w:rPr>
              <w:t xml:space="preserve"> </w:t>
            </w:r>
            <w:r>
              <w:rPr>
                <w:rFonts w:cs="Arial"/>
                <w:szCs w:val="16"/>
              </w:rPr>
              <w:t>are present in Australia. However, some individual species may not be present in Australia (CSIRO 2011).</w:t>
            </w:r>
          </w:p>
          <w:p w14:paraId="3A45FE1B" w14:textId="77777777" w:rsidR="009D3DC8" w:rsidRDefault="009D3DC8">
            <w:pPr>
              <w:pStyle w:val="TableText"/>
              <w:rPr>
                <w:rFonts w:cs="Arial"/>
                <w:szCs w:val="16"/>
              </w:rPr>
            </w:pPr>
            <w:r>
              <w:rPr>
                <w:rFonts w:cs="Arial"/>
                <w:szCs w:val="16"/>
              </w:rPr>
              <w:t>Presence in Indonesia: Genus present (Guénard</w:t>
            </w:r>
            <w:r>
              <w:rPr>
                <w:rFonts w:cs="Arial"/>
                <w:i/>
                <w:szCs w:val="16"/>
              </w:rPr>
              <w:t xml:space="preserve"> et al.</w:t>
            </w:r>
            <w:r>
              <w:rPr>
                <w:rFonts w:cs="Arial"/>
                <w:szCs w:val="16"/>
              </w:rPr>
              <w:t xml:space="preserve"> 2010)</w:t>
            </w:r>
          </w:p>
          <w:p w14:paraId="2A321FF6" w14:textId="77777777" w:rsidR="009D3DC8" w:rsidRDefault="009D3DC8">
            <w:pPr>
              <w:pStyle w:val="TableText"/>
              <w:rPr>
                <w:rFonts w:cs="Arial"/>
                <w:szCs w:val="16"/>
              </w:rPr>
            </w:pPr>
            <w:r>
              <w:rPr>
                <w:rFonts w:cs="Arial"/>
                <w:szCs w:val="16"/>
              </w:rPr>
              <w:t>Presence elsewhere: The genus is present in South Asia, Southeast Asia and China (Guénard</w:t>
            </w:r>
            <w:r>
              <w:rPr>
                <w:rFonts w:cs="Arial"/>
                <w:i/>
                <w:szCs w:val="16"/>
              </w:rPr>
              <w:t xml:space="preserve"> et al.</w:t>
            </w:r>
            <w:r>
              <w:rPr>
                <w:rFonts w:cs="Arial"/>
                <w:szCs w:val="16"/>
              </w:rPr>
              <w:t xml:space="preserve"> 2010).</w:t>
            </w:r>
          </w:p>
        </w:tc>
      </w:tr>
      <w:tr w:rsidR="009D3DC8" w14:paraId="10967DA9"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1D63D945"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1A92E637" w14:textId="77777777" w:rsidR="009D3DC8" w:rsidRDefault="009D3DC8">
            <w:pPr>
              <w:pStyle w:val="TableText"/>
              <w:rPr>
                <w:rFonts w:cs="Arial"/>
                <w:b/>
                <w:szCs w:val="16"/>
              </w:rPr>
            </w:pPr>
            <w:r>
              <w:rPr>
                <w:rFonts w:cs="Arial"/>
                <w:b/>
                <w:i/>
                <w:szCs w:val="16"/>
              </w:rPr>
              <w:t>Monomorium</w:t>
            </w:r>
            <w:r>
              <w:rPr>
                <w:rFonts w:cs="Arial"/>
                <w:b/>
                <w:szCs w:val="16"/>
              </w:rPr>
              <w:t xml:space="preserve"> sp.</w:t>
            </w:r>
          </w:p>
        </w:tc>
      </w:tr>
      <w:tr w:rsidR="009D3DC8" w14:paraId="76F89C1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85F8047"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02C9135E" w14:textId="77777777" w:rsidR="009D3DC8" w:rsidRDefault="009D3DC8">
            <w:pPr>
              <w:pStyle w:val="TableText"/>
              <w:rPr>
                <w:rFonts w:cs="Arial"/>
                <w:szCs w:val="16"/>
              </w:rPr>
            </w:pPr>
            <w:r>
              <w:rPr>
                <w:rFonts w:cs="Arial"/>
                <w:szCs w:val="16"/>
              </w:rPr>
              <w:t>None</w:t>
            </w:r>
          </w:p>
        </w:tc>
      </w:tr>
      <w:tr w:rsidR="009D3DC8" w14:paraId="02AD2F5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A891F3C"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39801B89" w14:textId="77777777" w:rsidR="009D3DC8" w:rsidRDefault="009D3DC8">
            <w:pPr>
              <w:pStyle w:val="TableText"/>
              <w:rPr>
                <w:rFonts w:cs="Arial"/>
                <w:szCs w:val="16"/>
              </w:rPr>
            </w:pPr>
          </w:p>
        </w:tc>
      </w:tr>
      <w:tr w:rsidR="009D3DC8" w14:paraId="5A0BD23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8FDC48B"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4A69DB38"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3CACF066"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128BED16"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1D131074"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Monomorium</w:t>
            </w:r>
            <w:r>
              <w:rPr>
                <w:rFonts w:cs="Arial"/>
                <w:b/>
                <w:szCs w:val="16"/>
              </w:rPr>
              <w:t xml:space="preserve"> </w:t>
            </w:r>
            <w:r>
              <w:rPr>
                <w:rFonts w:cs="Arial"/>
                <w:szCs w:val="16"/>
              </w:rPr>
              <w:t>are present in Australia. However, some individual species may not be present in Australia (CSIRO 2011).</w:t>
            </w:r>
          </w:p>
          <w:p w14:paraId="7F6AF31A"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44FD18CB" w14:textId="77777777" w:rsidR="009D3DC8" w:rsidRDefault="009D3DC8">
            <w:pPr>
              <w:pStyle w:val="TableText"/>
              <w:rPr>
                <w:rFonts w:cs="Arial"/>
                <w:szCs w:val="16"/>
              </w:rPr>
            </w:pPr>
            <w:r>
              <w:rPr>
                <w:rFonts w:cs="Arial"/>
                <w:szCs w:val="16"/>
              </w:rPr>
              <w:t>Presence elsewhere: The genus is present worldwide (Guénard</w:t>
            </w:r>
            <w:r>
              <w:rPr>
                <w:rFonts w:cs="Arial"/>
                <w:i/>
                <w:szCs w:val="16"/>
              </w:rPr>
              <w:t xml:space="preserve"> et al.</w:t>
            </w:r>
            <w:r>
              <w:rPr>
                <w:rFonts w:cs="Arial"/>
                <w:szCs w:val="16"/>
              </w:rPr>
              <w:t xml:space="preserve"> 2010).</w:t>
            </w:r>
          </w:p>
        </w:tc>
      </w:tr>
      <w:tr w:rsidR="009D3DC8" w14:paraId="71D63BD7"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518F4BED"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016098E5" w14:textId="77777777" w:rsidR="009D3DC8" w:rsidRDefault="009D3DC8">
            <w:pPr>
              <w:pStyle w:val="TableText"/>
              <w:rPr>
                <w:rFonts w:cs="Arial"/>
                <w:b/>
                <w:szCs w:val="16"/>
              </w:rPr>
            </w:pPr>
            <w:r>
              <w:rPr>
                <w:rFonts w:cs="Arial"/>
                <w:b/>
                <w:i/>
                <w:szCs w:val="16"/>
              </w:rPr>
              <w:t xml:space="preserve">Paratrechina </w:t>
            </w:r>
            <w:r>
              <w:rPr>
                <w:rFonts w:cs="Arial"/>
                <w:b/>
                <w:szCs w:val="16"/>
              </w:rPr>
              <w:t>sp.</w:t>
            </w:r>
          </w:p>
        </w:tc>
      </w:tr>
      <w:tr w:rsidR="009D3DC8" w14:paraId="51291CAA"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42C29F38"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3F62ECF4" w14:textId="77777777" w:rsidR="009D3DC8" w:rsidRDefault="009D3DC8">
            <w:pPr>
              <w:pStyle w:val="TableText"/>
              <w:rPr>
                <w:rFonts w:cs="Arial"/>
                <w:szCs w:val="16"/>
              </w:rPr>
            </w:pPr>
            <w:r>
              <w:rPr>
                <w:rFonts w:cs="Arial"/>
                <w:szCs w:val="16"/>
              </w:rPr>
              <w:t>None</w:t>
            </w:r>
          </w:p>
        </w:tc>
      </w:tr>
      <w:tr w:rsidR="009D3DC8" w14:paraId="5D5F0970"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13D7F4C"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1F4962C6" w14:textId="77777777" w:rsidR="009D3DC8" w:rsidRDefault="009D3DC8">
            <w:pPr>
              <w:pStyle w:val="TableText"/>
              <w:rPr>
                <w:rFonts w:cs="Arial"/>
                <w:szCs w:val="16"/>
              </w:rPr>
            </w:pPr>
          </w:p>
        </w:tc>
      </w:tr>
      <w:tr w:rsidR="009D3DC8" w14:paraId="0E64660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1FA00C8"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EFCAC23"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7408576F"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3CAACD92"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7F9D2843"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Paratrechina</w:t>
            </w:r>
            <w:r>
              <w:rPr>
                <w:rFonts w:cs="Arial"/>
                <w:b/>
                <w:i/>
                <w:szCs w:val="16"/>
              </w:rPr>
              <w:t xml:space="preserve"> </w:t>
            </w:r>
            <w:r>
              <w:rPr>
                <w:rFonts w:cs="Arial"/>
                <w:szCs w:val="16"/>
              </w:rPr>
              <w:t>are present in Australia. However, some individual species may not be present in Australia (CSIRO 2011).</w:t>
            </w:r>
          </w:p>
          <w:p w14:paraId="4B1E8475"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6CCC488E" w14:textId="77777777" w:rsidR="009D3DC8" w:rsidRDefault="009D3DC8">
            <w:pPr>
              <w:pStyle w:val="TableText"/>
              <w:rPr>
                <w:rFonts w:cs="Arial"/>
                <w:szCs w:val="16"/>
              </w:rPr>
            </w:pPr>
            <w:r>
              <w:rPr>
                <w:rFonts w:cs="Arial"/>
                <w:szCs w:val="16"/>
              </w:rPr>
              <w:t>Presence elsewhere: The genus is present worldwide (Guénard</w:t>
            </w:r>
            <w:r>
              <w:rPr>
                <w:rFonts w:cs="Arial"/>
                <w:i/>
                <w:szCs w:val="16"/>
              </w:rPr>
              <w:t xml:space="preserve"> et al.</w:t>
            </w:r>
            <w:r>
              <w:rPr>
                <w:rFonts w:cs="Arial"/>
                <w:szCs w:val="16"/>
              </w:rPr>
              <w:t xml:space="preserve"> 2010).</w:t>
            </w:r>
          </w:p>
        </w:tc>
      </w:tr>
      <w:tr w:rsidR="009D3DC8" w14:paraId="79D91C5F"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7F0F343B"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0553C5D4" w14:textId="77777777" w:rsidR="009D3DC8" w:rsidRDefault="009D3DC8">
            <w:pPr>
              <w:pStyle w:val="TableText"/>
              <w:rPr>
                <w:rFonts w:cs="Arial"/>
                <w:b/>
                <w:szCs w:val="16"/>
              </w:rPr>
            </w:pPr>
            <w:r>
              <w:rPr>
                <w:rFonts w:cs="Arial"/>
                <w:b/>
                <w:i/>
                <w:szCs w:val="16"/>
              </w:rPr>
              <w:t xml:space="preserve">Pheidole </w:t>
            </w:r>
            <w:r>
              <w:rPr>
                <w:rFonts w:cs="Arial"/>
                <w:b/>
                <w:szCs w:val="16"/>
              </w:rPr>
              <w:t>sp.</w:t>
            </w:r>
          </w:p>
        </w:tc>
      </w:tr>
      <w:tr w:rsidR="009D3DC8" w14:paraId="40D38DE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92257DC"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55914366" w14:textId="77777777" w:rsidR="009D3DC8" w:rsidRDefault="009D3DC8">
            <w:pPr>
              <w:pStyle w:val="TableText"/>
              <w:rPr>
                <w:rFonts w:cs="Arial"/>
                <w:szCs w:val="16"/>
              </w:rPr>
            </w:pPr>
            <w:r>
              <w:rPr>
                <w:rFonts w:cs="Arial"/>
                <w:szCs w:val="16"/>
              </w:rPr>
              <w:t>None</w:t>
            </w:r>
          </w:p>
        </w:tc>
      </w:tr>
      <w:tr w:rsidR="009D3DC8" w14:paraId="75E02B35"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EF79556"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B28C37B" w14:textId="77777777" w:rsidR="009D3DC8" w:rsidRDefault="009D3DC8">
            <w:pPr>
              <w:pStyle w:val="TableText"/>
              <w:rPr>
                <w:rFonts w:cs="Arial"/>
                <w:szCs w:val="16"/>
              </w:rPr>
            </w:pPr>
          </w:p>
        </w:tc>
      </w:tr>
      <w:tr w:rsidR="009D3DC8" w14:paraId="0227289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3E6952E"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2FF5C22E"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67642CF9"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334D0671" w14:textId="77777777" w:rsidR="009D3DC8" w:rsidRDefault="009D3DC8">
            <w:pPr>
              <w:pStyle w:val="TableText"/>
              <w:rPr>
                <w:rFonts w:cs="Arial"/>
                <w:b/>
                <w:szCs w:val="16"/>
              </w:rPr>
            </w:pPr>
            <w:r>
              <w:rPr>
                <w:rFonts w:cs="Arial"/>
                <w:b/>
                <w:szCs w:val="16"/>
              </w:rPr>
              <w:lastRenderedPageBreak/>
              <w:t>Distribution</w:t>
            </w:r>
          </w:p>
        </w:tc>
        <w:tc>
          <w:tcPr>
            <w:tcW w:w="7199" w:type="dxa"/>
            <w:tcBorders>
              <w:top w:val="single" w:sz="8" w:space="0" w:color="C0C0C0"/>
              <w:left w:val="single" w:sz="4" w:space="0" w:color="auto"/>
              <w:bottom w:val="single" w:sz="4" w:space="0" w:color="auto"/>
              <w:right w:val="single" w:sz="8" w:space="0" w:color="auto"/>
            </w:tcBorders>
          </w:tcPr>
          <w:p w14:paraId="2CFCF1E0"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Pheidole</w:t>
            </w:r>
            <w:r>
              <w:rPr>
                <w:rFonts w:cs="Arial"/>
                <w:b/>
                <w:i/>
                <w:szCs w:val="16"/>
              </w:rPr>
              <w:t xml:space="preserve"> </w:t>
            </w:r>
            <w:r>
              <w:rPr>
                <w:rFonts w:cs="Arial"/>
                <w:szCs w:val="16"/>
              </w:rPr>
              <w:t>are present in Australia. However, some individual species may not be present in Australia (CSIRO 2011).</w:t>
            </w:r>
          </w:p>
          <w:p w14:paraId="7ED7DA2A"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39D97B83" w14:textId="77777777" w:rsidR="009D3DC8" w:rsidRDefault="009D3DC8">
            <w:pPr>
              <w:pStyle w:val="TableText"/>
              <w:rPr>
                <w:rFonts w:cs="Arial"/>
                <w:szCs w:val="16"/>
              </w:rPr>
            </w:pPr>
            <w:r>
              <w:rPr>
                <w:rFonts w:cs="Arial"/>
                <w:szCs w:val="16"/>
              </w:rPr>
              <w:t>Presence elsewhere: The genus is present worldwide (Guénard</w:t>
            </w:r>
            <w:r>
              <w:rPr>
                <w:rFonts w:cs="Arial"/>
                <w:i/>
                <w:szCs w:val="16"/>
              </w:rPr>
              <w:t xml:space="preserve"> et al.</w:t>
            </w:r>
            <w:r>
              <w:rPr>
                <w:rFonts w:cs="Arial"/>
                <w:szCs w:val="16"/>
              </w:rPr>
              <w:t xml:space="preserve"> 2010).</w:t>
            </w:r>
          </w:p>
        </w:tc>
      </w:tr>
      <w:tr w:rsidR="009D3DC8" w14:paraId="2D14A6A5"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091E4B3D"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6A392385" w14:textId="77777777" w:rsidR="009D3DC8" w:rsidRDefault="009D3DC8">
            <w:pPr>
              <w:pStyle w:val="TableText"/>
              <w:rPr>
                <w:rFonts w:cs="Arial"/>
                <w:b/>
                <w:szCs w:val="16"/>
              </w:rPr>
            </w:pPr>
            <w:r>
              <w:rPr>
                <w:rFonts w:cs="Arial"/>
                <w:b/>
                <w:i/>
                <w:szCs w:val="16"/>
              </w:rPr>
              <w:t xml:space="preserve">Plagiolepis </w:t>
            </w:r>
            <w:r>
              <w:rPr>
                <w:rFonts w:cs="Arial"/>
                <w:b/>
                <w:szCs w:val="16"/>
              </w:rPr>
              <w:t>sp.</w:t>
            </w:r>
          </w:p>
        </w:tc>
      </w:tr>
      <w:tr w:rsidR="009D3DC8" w14:paraId="32FC123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C49CF0D"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0698E7AA" w14:textId="77777777" w:rsidR="009D3DC8" w:rsidRDefault="009D3DC8">
            <w:pPr>
              <w:pStyle w:val="TableText"/>
              <w:rPr>
                <w:rFonts w:cs="Arial"/>
                <w:szCs w:val="16"/>
              </w:rPr>
            </w:pPr>
            <w:r>
              <w:rPr>
                <w:rFonts w:cs="Arial"/>
                <w:szCs w:val="16"/>
              </w:rPr>
              <w:t>None</w:t>
            </w:r>
          </w:p>
        </w:tc>
      </w:tr>
      <w:tr w:rsidR="009D3DC8" w14:paraId="09A3848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B5491D1"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66AC8BB" w14:textId="77777777" w:rsidR="009D3DC8" w:rsidRDefault="009D3DC8">
            <w:pPr>
              <w:pStyle w:val="TableText"/>
              <w:rPr>
                <w:rFonts w:cs="Arial"/>
                <w:szCs w:val="16"/>
              </w:rPr>
            </w:pPr>
          </w:p>
        </w:tc>
      </w:tr>
      <w:tr w:rsidR="009D3DC8" w14:paraId="6AD219BF"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6120EE29"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475D8C09"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0EAD9EA5"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1932A47B"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46DCD255"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Plagiolepis</w:t>
            </w:r>
            <w:r>
              <w:rPr>
                <w:rFonts w:cs="Arial"/>
                <w:b/>
                <w:i/>
                <w:szCs w:val="16"/>
              </w:rPr>
              <w:t xml:space="preserve"> </w:t>
            </w:r>
            <w:r>
              <w:rPr>
                <w:rFonts w:cs="Arial"/>
                <w:szCs w:val="16"/>
              </w:rPr>
              <w:t>are present in Australia. However, some individual species may not be present in Australia (CSIRO 2011).</w:t>
            </w:r>
          </w:p>
          <w:p w14:paraId="207DE3F1" w14:textId="77777777" w:rsidR="009D3DC8" w:rsidRDefault="009D3DC8">
            <w:pPr>
              <w:pStyle w:val="TableText"/>
              <w:rPr>
                <w:rFonts w:cs="Arial"/>
                <w:szCs w:val="16"/>
              </w:rPr>
            </w:pPr>
            <w:r>
              <w:rPr>
                <w:rFonts w:cs="Arial"/>
                <w:szCs w:val="16"/>
              </w:rPr>
              <w:t>Presence in Indonesia: Genus present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189E5EF5" w14:textId="77777777" w:rsidR="009D3DC8" w:rsidRDefault="009D3DC8">
            <w:pPr>
              <w:pStyle w:val="TableText"/>
              <w:rPr>
                <w:rFonts w:cs="Arial"/>
                <w:szCs w:val="16"/>
              </w:rPr>
            </w:pPr>
            <w:r>
              <w:rPr>
                <w:rFonts w:cs="Arial"/>
                <w:szCs w:val="16"/>
              </w:rPr>
              <w:t>Presence elsewhere: The genus is present worldwide, although absent from northern Europe, North and South America (Guénard</w:t>
            </w:r>
            <w:r>
              <w:rPr>
                <w:rFonts w:cs="Arial"/>
                <w:i/>
                <w:szCs w:val="16"/>
              </w:rPr>
              <w:t xml:space="preserve"> et al.</w:t>
            </w:r>
            <w:r>
              <w:rPr>
                <w:rFonts w:cs="Arial"/>
                <w:szCs w:val="16"/>
              </w:rPr>
              <w:t xml:space="preserve"> 2010).</w:t>
            </w:r>
          </w:p>
        </w:tc>
      </w:tr>
      <w:tr w:rsidR="009D3DC8" w14:paraId="01295C54"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35ABD7EA"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1C86F9C9" w14:textId="77777777" w:rsidR="009D3DC8" w:rsidRDefault="009D3DC8">
            <w:pPr>
              <w:pStyle w:val="TableText"/>
              <w:rPr>
                <w:rFonts w:cs="Arial"/>
                <w:b/>
                <w:szCs w:val="16"/>
              </w:rPr>
            </w:pPr>
            <w:r>
              <w:rPr>
                <w:rFonts w:cs="Arial"/>
                <w:b/>
                <w:i/>
                <w:szCs w:val="16"/>
              </w:rPr>
              <w:t xml:space="preserve">Polyrhachis </w:t>
            </w:r>
            <w:r>
              <w:rPr>
                <w:rFonts w:cs="Arial"/>
                <w:b/>
                <w:szCs w:val="16"/>
              </w:rPr>
              <w:t>sp.</w:t>
            </w:r>
          </w:p>
        </w:tc>
      </w:tr>
      <w:tr w:rsidR="009D3DC8" w14:paraId="1262FCF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AC7C0DC"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4C3E7032" w14:textId="77777777" w:rsidR="009D3DC8" w:rsidRDefault="009D3DC8">
            <w:pPr>
              <w:pStyle w:val="TableText"/>
              <w:rPr>
                <w:rFonts w:cs="Arial"/>
                <w:szCs w:val="16"/>
              </w:rPr>
            </w:pPr>
            <w:r>
              <w:rPr>
                <w:rFonts w:cs="Arial"/>
                <w:szCs w:val="16"/>
              </w:rPr>
              <w:t>None</w:t>
            </w:r>
          </w:p>
        </w:tc>
      </w:tr>
      <w:tr w:rsidR="009D3DC8" w14:paraId="5794C0D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A8EE312"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56AA1FDA" w14:textId="77777777" w:rsidR="009D3DC8" w:rsidRDefault="009D3DC8">
            <w:pPr>
              <w:pStyle w:val="TableText"/>
              <w:rPr>
                <w:rFonts w:cs="Arial"/>
                <w:szCs w:val="16"/>
              </w:rPr>
            </w:pPr>
          </w:p>
        </w:tc>
      </w:tr>
      <w:tr w:rsidR="009D3DC8" w14:paraId="5729184F"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00B6DF5C"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2A38B71"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51421A7C"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5E96851F"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4F7DCF80"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Polyrhachis</w:t>
            </w:r>
            <w:r>
              <w:rPr>
                <w:rFonts w:cs="Arial"/>
                <w:b/>
                <w:i/>
                <w:szCs w:val="16"/>
              </w:rPr>
              <w:t xml:space="preserve"> </w:t>
            </w:r>
            <w:r>
              <w:rPr>
                <w:rFonts w:cs="Arial"/>
                <w:szCs w:val="16"/>
              </w:rPr>
              <w:t>are present in Australia. However, some individual species may not be present in Australia (CSIRO 2011).</w:t>
            </w:r>
          </w:p>
          <w:p w14:paraId="288E4827"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7572D429" w14:textId="77777777" w:rsidR="009D3DC8" w:rsidRDefault="009D3DC8">
            <w:pPr>
              <w:pStyle w:val="TableText"/>
              <w:rPr>
                <w:rFonts w:cs="Arial"/>
                <w:szCs w:val="16"/>
              </w:rPr>
            </w:pPr>
            <w:r>
              <w:rPr>
                <w:rFonts w:cs="Arial"/>
                <w:szCs w:val="16"/>
              </w:rPr>
              <w:t>Presence elsewhere: The genus is present in Africa, Middle East, South and Central Asia, Southeast Asia, China, and New Guinea (Guénard</w:t>
            </w:r>
            <w:r>
              <w:rPr>
                <w:rFonts w:cs="Arial"/>
                <w:i/>
                <w:szCs w:val="16"/>
              </w:rPr>
              <w:t xml:space="preserve"> et al.</w:t>
            </w:r>
            <w:r>
              <w:rPr>
                <w:rFonts w:cs="Arial"/>
                <w:szCs w:val="16"/>
              </w:rPr>
              <w:t xml:space="preserve"> 2010).</w:t>
            </w:r>
          </w:p>
        </w:tc>
      </w:tr>
      <w:tr w:rsidR="009D3DC8" w14:paraId="250D79B3"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6FFEEEF8"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22229DD3" w14:textId="77777777" w:rsidR="009D3DC8" w:rsidRDefault="009D3DC8">
            <w:pPr>
              <w:pStyle w:val="TableText"/>
              <w:rPr>
                <w:rFonts w:cs="Arial"/>
                <w:b/>
                <w:szCs w:val="16"/>
              </w:rPr>
            </w:pPr>
            <w:r>
              <w:rPr>
                <w:rFonts w:cs="Arial"/>
                <w:b/>
                <w:i/>
                <w:szCs w:val="16"/>
              </w:rPr>
              <w:t xml:space="preserve">Tapinoma </w:t>
            </w:r>
            <w:r>
              <w:rPr>
                <w:rFonts w:cs="Arial"/>
                <w:b/>
                <w:szCs w:val="16"/>
              </w:rPr>
              <w:t>sp.</w:t>
            </w:r>
          </w:p>
        </w:tc>
      </w:tr>
      <w:tr w:rsidR="009D3DC8" w14:paraId="68749DF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1029DE6"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2C703A2D" w14:textId="77777777" w:rsidR="009D3DC8" w:rsidRDefault="009D3DC8">
            <w:pPr>
              <w:pStyle w:val="TableText"/>
              <w:rPr>
                <w:rFonts w:cs="Arial"/>
                <w:szCs w:val="16"/>
              </w:rPr>
            </w:pPr>
            <w:r>
              <w:rPr>
                <w:rFonts w:cs="Arial"/>
                <w:szCs w:val="16"/>
              </w:rPr>
              <w:t>None</w:t>
            </w:r>
          </w:p>
        </w:tc>
      </w:tr>
      <w:tr w:rsidR="009D3DC8" w14:paraId="7162FD7C"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CDD3A30"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2E0E3062" w14:textId="77777777" w:rsidR="009D3DC8" w:rsidRDefault="009D3DC8">
            <w:pPr>
              <w:pStyle w:val="TableText"/>
              <w:rPr>
                <w:rFonts w:cs="Arial"/>
                <w:szCs w:val="16"/>
              </w:rPr>
            </w:pPr>
          </w:p>
        </w:tc>
      </w:tr>
      <w:tr w:rsidR="009D3DC8" w14:paraId="76384DD4"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DA36EBC"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01DC29B2"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0AD936EF"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690EB8C0"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74D27C88"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Tapinoma</w:t>
            </w:r>
            <w:r>
              <w:rPr>
                <w:rFonts w:cs="Arial"/>
                <w:b/>
                <w:i/>
                <w:szCs w:val="16"/>
              </w:rPr>
              <w:t xml:space="preserve"> </w:t>
            </w:r>
            <w:r>
              <w:rPr>
                <w:rFonts w:cs="Arial"/>
                <w:szCs w:val="16"/>
              </w:rPr>
              <w:t>are present in Australia. However, some individual species may not be present in Australia (CSIRO 2011)</w:t>
            </w:r>
          </w:p>
          <w:p w14:paraId="4A0064FE" w14:textId="77777777" w:rsidR="009D3DC8" w:rsidRDefault="009D3DC8">
            <w:pPr>
              <w:pStyle w:val="TableText"/>
              <w:rPr>
                <w:rFonts w:cs="Arial"/>
                <w:szCs w:val="16"/>
              </w:rPr>
            </w:pPr>
            <w:r>
              <w:rPr>
                <w:rFonts w:cs="Arial"/>
                <w:szCs w:val="16"/>
              </w:rPr>
              <w:t>Presence in Indonesia: Genus present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0C2F3A38" w14:textId="77777777" w:rsidR="009D3DC8" w:rsidRDefault="009D3DC8">
            <w:pPr>
              <w:pStyle w:val="TableText"/>
              <w:rPr>
                <w:rFonts w:cs="Arial"/>
                <w:szCs w:val="16"/>
              </w:rPr>
            </w:pPr>
            <w:r>
              <w:rPr>
                <w:rFonts w:cs="Arial"/>
                <w:szCs w:val="16"/>
              </w:rPr>
              <w:t>Presence elsewhere: The genus is present worldwide (Guénard</w:t>
            </w:r>
            <w:r>
              <w:rPr>
                <w:rFonts w:cs="Arial"/>
                <w:i/>
                <w:szCs w:val="16"/>
              </w:rPr>
              <w:t xml:space="preserve"> et al.</w:t>
            </w:r>
            <w:r>
              <w:rPr>
                <w:rFonts w:cs="Arial"/>
                <w:szCs w:val="16"/>
              </w:rPr>
              <w:t xml:space="preserve"> 2010).</w:t>
            </w:r>
          </w:p>
        </w:tc>
      </w:tr>
      <w:tr w:rsidR="009D3DC8" w14:paraId="4657F030"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4A1D3854"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5E06CF9F" w14:textId="77777777" w:rsidR="009D3DC8" w:rsidRDefault="009D3DC8">
            <w:pPr>
              <w:pStyle w:val="TableText"/>
              <w:rPr>
                <w:rFonts w:cs="Arial"/>
                <w:b/>
                <w:szCs w:val="16"/>
                <w:vertAlign w:val="superscript"/>
              </w:rPr>
            </w:pPr>
            <w:r>
              <w:rPr>
                <w:rFonts w:cs="Arial"/>
                <w:b/>
                <w:i/>
                <w:szCs w:val="16"/>
              </w:rPr>
              <w:t xml:space="preserve">Technomyrmex </w:t>
            </w:r>
            <w:r>
              <w:rPr>
                <w:rFonts w:cs="Arial"/>
                <w:b/>
                <w:szCs w:val="16"/>
              </w:rPr>
              <w:t xml:space="preserve">sp. </w:t>
            </w:r>
            <w:r>
              <w:rPr>
                <w:rFonts w:cs="Arial"/>
                <w:b/>
                <w:szCs w:val="16"/>
                <w:vertAlign w:val="superscript"/>
              </w:rPr>
              <w:t>EP</w:t>
            </w:r>
          </w:p>
        </w:tc>
      </w:tr>
      <w:tr w:rsidR="009D3DC8" w14:paraId="624C18C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6A62AB8"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1FC1A10C" w14:textId="77777777" w:rsidR="009D3DC8" w:rsidRDefault="009D3DC8">
            <w:pPr>
              <w:pStyle w:val="TableText"/>
              <w:rPr>
                <w:rFonts w:cs="Arial"/>
                <w:szCs w:val="16"/>
              </w:rPr>
            </w:pPr>
            <w:r>
              <w:rPr>
                <w:rFonts w:cs="Arial"/>
                <w:szCs w:val="16"/>
              </w:rPr>
              <w:t>None</w:t>
            </w:r>
          </w:p>
        </w:tc>
      </w:tr>
      <w:tr w:rsidR="009D3DC8" w14:paraId="59C3376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1C5F9F2E"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1B6A581E" w14:textId="77777777" w:rsidR="009D3DC8" w:rsidRDefault="009D3DC8">
            <w:pPr>
              <w:pStyle w:val="TableText"/>
              <w:rPr>
                <w:rFonts w:cs="Arial"/>
                <w:szCs w:val="16"/>
              </w:rPr>
            </w:pPr>
          </w:p>
        </w:tc>
      </w:tr>
      <w:tr w:rsidR="009D3DC8" w14:paraId="3B1692C2"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131A00C"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57D5AB39"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780D9B9E"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6C08E947"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2CEA299A"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Technomyrmex</w:t>
            </w:r>
            <w:r>
              <w:rPr>
                <w:rFonts w:cs="Arial"/>
                <w:b/>
                <w:i/>
                <w:szCs w:val="16"/>
              </w:rPr>
              <w:t xml:space="preserve"> </w:t>
            </w:r>
            <w:r>
              <w:rPr>
                <w:rFonts w:cs="Arial"/>
                <w:szCs w:val="16"/>
              </w:rPr>
              <w:t>are present in Australia. However, some individual species may not be present in Australia (CSIRO 2011).</w:t>
            </w:r>
          </w:p>
          <w:p w14:paraId="2E4AC67F"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w:t>
            </w:r>
          </w:p>
          <w:p w14:paraId="05ADCFE8" w14:textId="77777777" w:rsidR="009D3DC8" w:rsidRDefault="009D3DC8">
            <w:pPr>
              <w:pStyle w:val="TableText"/>
              <w:rPr>
                <w:rFonts w:cs="Arial"/>
                <w:szCs w:val="16"/>
              </w:rPr>
            </w:pPr>
            <w:r>
              <w:rPr>
                <w:rFonts w:cs="Arial"/>
                <w:szCs w:val="16"/>
              </w:rPr>
              <w:t>Presence elsewhere: The genus is present in central and northern South America, Africa, Middle East, south and central Asia, Southeast Asia, China, and New Guinea (Guénard</w:t>
            </w:r>
            <w:r>
              <w:rPr>
                <w:rFonts w:cs="Arial"/>
                <w:i/>
                <w:szCs w:val="16"/>
              </w:rPr>
              <w:t xml:space="preserve"> et al.</w:t>
            </w:r>
            <w:r>
              <w:rPr>
                <w:rFonts w:cs="Arial"/>
                <w:szCs w:val="16"/>
              </w:rPr>
              <w:t xml:space="preserve"> 2010).</w:t>
            </w:r>
          </w:p>
        </w:tc>
      </w:tr>
      <w:tr w:rsidR="009D3DC8" w14:paraId="1787D86F"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3D180046"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5CCF4B47" w14:textId="77777777" w:rsidR="009D3DC8" w:rsidRDefault="009D3DC8">
            <w:pPr>
              <w:pStyle w:val="TableText"/>
              <w:rPr>
                <w:rFonts w:cs="Arial"/>
                <w:b/>
                <w:szCs w:val="16"/>
              </w:rPr>
            </w:pPr>
            <w:r>
              <w:rPr>
                <w:rFonts w:cs="Arial"/>
                <w:b/>
                <w:i/>
                <w:szCs w:val="16"/>
              </w:rPr>
              <w:t xml:space="preserve">Tetramorium </w:t>
            </w:r>
            <w:r>
              <w:rPr>
                <w:rFonts w:cs="Arial"/>
                <w:b/>
                <w:szCs w:val="16"/>
              </w:rPr>
              <w:t>sp.</w:t>
            </w:r>
          </w:p>
        </w:tc>
      </w:tr>
      <w:tr w:rsidR="009D3DC8" w14:paraId="3050B5FE"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5186D48B"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3C94B781" w14:textId="77777777" w:rsidR="009D3DC8" w:rsidRDefault="009D3DC8">
            <w:pPr>
              <w:pStyle w:val="TableText"/>
              <w:rPr>
                <w:rFonts w:cs="Arial"/>
                <w:szCs w:val="16"/>
              </w:rPr>
            </w:pPr>
            <w:r>
              <w:rPr>
                <w:rFonts w:cs="Arial"/>
                <w:szCs w:val="16"/>
              </w:rPr>
              <w:t>None</w:t>
            </w:r>
          </w:p>
        </w:tc>
      </w:tr>
      <w:tr w:rsidR="009D3DC8" w14:paraId="38948D5F"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23629ADB"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18DB8546" w14:textId="77777777" w:rsidR="009D3DC8" w:rsidRDefault="009D3DC8">
            <w:pPr>
              <w:pStyle w:val="TableText"/>
              <w:rPr>
                <w:rFonts w:cs="Arial"/>
                <w:szCs w:val="16"/>
              </w:rPr>
            </w:pPr>
          </w:p>
        </w:tc>
      </w:tr>
      <w:tr w:rsidR="009D3DC8" w14:paraId="6164F427"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6003F2B"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42841D4D"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107FF84B"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78F76C8F" w14:textId="77777777" w:rsidR="009D3DC8" w:rsidRDefault="009D3DC8">
            <w:pPr>
              <w:pStyle w:val="TableText"/>
              <w:rPr>
                <w:rFonts w:cs="Arial"/>
                <w:b/>
                <w:szCs w:val="16"/>
              </w:rPr>
            </w:pPr>
            <w:r>
              <w:rPr>
                <w:rFonts w:cs="Arial"/>
                <w:b/>
                <w:szCs w:val="16"/>
              </w:rPr>
              <w:lastRenderedPageBreak/>
              <w:t>Distribution</w:t>
            </w:r>
          </w:p>
        </w:tc>
        <w:tc>
          <w:tcPr>
            <w:tcW w:w="7199" w:type="dxa"/>
            <w:tcBorders>
              <w:top w:val="single" w:sz="8" w:space="0" w:color="C0C0C0"/>
              <w:left w:val="single" w:sz="4" w:space="0" w:color="auto"/>
              <w:bottom w:val="single" w:sz="4" w:space="0" w:color="auto"/>
              <w:right w:val="single" w:sz="8" w:space="0" w:color="auto"/>
            </w:tcBorders>
          </w:tcPr>
          <w:p w14:paraId="470C9579" w14:textId="77777777" w:rsidR="009D3DC8" w:rsidRDefault="009D3DC8">
            <w:pPr>
              <w:pStyle w:val="TableText"/>
              <w:rPr>
                <w:rFonts w:cs="Arial"/>
                <w:szCs w:val="16"/>
              </w:rPr>
            </w:pPr>
            <w:r>
              <w:rPr>
                <w:rFonts w:cs="Arial"/>
                <w:szCs w:val="16"/>
              </w:rPr>
              <w:t xml:space="preserve">Presence in Australia: Species of the genus </w:t>
            </w:r>
            <w:r>
              <w:rPr>
                <w:rFonts w:cs="Arial"/>
                <w:i/>
                <w:szCs w:val="16"/>
              </w:rPr>
              <w:t>Tetramorium</w:t>
            </w:r>
            <w:r>
              <w:rPr>
                <w:rFonts w:cs="Arial"/>
                <w:b/>
                <w:i/>
                <w:szCs w:val="16"/>
              </w:rPr>
              <w:t xml:space="preserve"> </w:t>
            </w:r>
            <w:r>
              <w:rPr>
                <w:rFonts w:cs="Arial"/>
                <w:szCs w:val="16"/>
              </w:rPr>
              <w:t>are present in Australia. However, some individual species may not be present in Australia (CSIRO 2011).</w:t>
            </w:r>
          </w:p>
          <w:p w14:paraId="48CF0F9C" w14:textId="77777777" w:rsidR="009D3DC8" w:rsidRDefault="009D3DC8">
            <w:pPr>
              <w:pStyle w:val="TableText"/>
              <w:rPr>
                <w:rFonts w:cs="Arial"/>
                <w:szCs w:val="16"/>
              </w:rPr>
            </w:pPr>
            <w:r>
              <w:rPr>
                <w:rFonts w:cs="Arial"/>
                <w:szCs w:val="16"/>
              </w:rPr>
              <w:t>Presence in Indonesia: Genus present (Ito</w:t>
            </w:r>
            <w:r>
              <w:rPr>
                <w:rFonts w:cs="Arial"/>
                <w:i/>
                <w:szCs w:val="16"/>
              </w:rPr>
              <w:t xml:space="preserve"> et al.</w:t>
            </w:r>
            <w:r>
              <w:rPr>
                <w:rFonts w:cs="Arial"/>
                <w:szCs w:val="16"/>
              </w:rPr>
              <w:t xml:space="preserve"> 2001; Rizali</w:t>
            </w:r>
            <w:r>
              <w:rPr>
                <w:rFonts w:cs="Arial"/>
                <w:i/>
                <w:szCs w:val="16"/>
              </w:rPr>
              <w:t xml:space="preserve"> et al.</w:t>
            </w:r>
            <w:r>
              <w:rPr>
                <w:rFonts w:cs="Arial"/>
                <w:szCs w:val="16"/>
              </w:rPr>
              <w:t xml:space="preserve"> 2008; Guénard</w:t>
            </w:r>
            <w:r>
              <w:rPr>
                <w:rFonts w:cs="Arial"/>
                <w:i/>
                <w:szCs w:val="16"/>
              </w:rPr>
              <w:t xml:space="preserve"> et al.</w:t>
            </w:r>
            <w:r>
              <w:rPr>
                <w:rFonts w:cs="Arial"/>
                <w:szCs w:val="16"/>
              </w:rPr>
              <w:t xml:space="preserve"> 2010). </w:t>
            </w:r>
          </w:p>
          <w:p w14:paraId="4A96A68B" w14:textId="77777777" w:rsidR="009D3DC8" w:rsidRDefault="009D3DC8">
            <w:pPr>
              <w:pStyle w:val="TableText"/>
              <w:rPr>
                <w:rFonts w:cs="Arial"/>
                <w:szCs w:val="16"/>
              </w:rPr>
            </w:pPr>
            <w:r>
              <w:rPr>
                <w:rFonts w:cs="Arial"/>
                <w:szCs w:val="16"/>
              </w:rPr>
              <w:t>Presence elsewhere: The genus is present in worldwide, although absent from western Canada and Alaska (Guénard</w:t>
            </w:r>
            <w:r>
              <w:rPr>
                <w:rFonts w:cs="Arial"/>
                <w:i/>
                <w:szCs w:val="16"/>
              </w:rPr>
              <w:t xml:space="preserve"> et al.</w:t>
            </w:r>
            <w:r>
              <w:rPr>
                <w:rFonts w:cs="Arial"/>
                <w:szCs w:val="16"/>
              </w:rPr>
              <w:t xml:space="preserve"> 2010).</w:t>
            </w:r>
          </w:p>
        </w:tc>
      </w:tr>
      <w:tr w:rsidR="009D3DC8" w14:paraId="76996E54" w14:textId="77777777">
        <w:trPr>
          <w:cantSplit/>
        </w:trPr>
        <w:tc>
          <w:tcPr>
            <w:tcW w:w="2089" w:type="dxa"/>
            <w:tcBorders>
              <w:top w:val="single" w:sz="4" w:space="0" w:color="auto"/>
              <w:left w:val="single" w:sz="8" w:space="0" w:color="auto"/>
              <w:bottom w:val="single" w:sz="8" w:space="0" w:color="C0C0C0"/>
              <w:right w:val="single" w:sz="4" w:space="0" w:color="auto"/>
            </w:tcBorders>
            <w:shd w:val="clear" w:color="auto" w:fill="D9D9D9"/>
          </w:tcPr>
          <w:p w14:paraId="186507E6" w14:textId="77777777" w:rsidR="009D3DC8" w:rsidRDefault="009D3DC8">
            <w:pPr>
              <w:pStyle w:val="TableText"/>
              <w:rPr>
                <w:rFonts w:cs="Arial"/>
                <w:b/>
                <w:szCs w:val="16"/>
              </w:rPr>
            </w:pPr>
            <w:r>
              <w:rPr>
                <w:rFonts w:cs="Arial"/>
                <w:b/>
                <w:szCs w:val="16"/>
              </w:rPr>
              <w:t>Quarantine pest</w:t>
            </w:r>
          </w:p>
        </w:tc>
        <w:tc>
          <w:tcPr>
            <w:tcW w:w="7199" w:type="dxa"/>
            <w:tcBorders>
              <w:top w:val="single" w:sz="4" w:space="0" w:color="auto"/>
              <w:left w:val="single" w:sz="4" w:space="0" w:color="auto"/>
              <w:bottom w:val="single" w:sz="8" w:space="0" w:color="C0C0C0"/>
              <w:right w:val="single" w:sz="8" w:space="0" w:color="auto"/>
            </w:tcBorders>
            <w:shd w:val="clear" w:color="auto" w:fill="D9D9D9"/>
          </w:tcPr>
          <w:p w14:paraId="76ECD44C" w14:textId="77777777" w:rsidR="009D3DC8" w:rsidRDefault="009D3DC8">
            <w:pPr>
              <w:pStyle w:val="TableText"/>
              <w:rPr>
                <w:rFonts w:cs="Arial"/>
                <w:b/>
                <w:szCs w:val="16"/>
                <w:vertAlign w:val="superscript"/>
              </w:rPr>
            </w:pPr>
            <w:r>
              <w:rPr>
                <w:rFonts w:cs="Arial"/>
                <w:b/>
                <w:i/>
                <w:szCs w:val="16"/>
              </w:rPr>
              <w:t xml:space="preserve">Wasmannia auropunctata </w:t>
            </w:r>
            <w:r>
              <w:rPr>
                <w:rFonts w:cs="Arial"/>
                <w:b/>
                <w:szCs w:val="16"/>
              </w:rPr>
              <w:t xml:space="preserve">(Roger, 1863) </w:t>
            </w:r>
            <w:r>
              <w:rPr>
                <w:rFonts w:cs="Arial"/>
                <w:b/>
                <w:szCs w:val="16"/>
                <w:vertAlign w:val="superscript"/>
              </w:rPr>
              <w:t>EP</w:t>
            </w:r>
          </w:p>
        </w:tc>
      </w:tr>
      <w:tr w:rsidR="009D3DC8" w14:paraId="752A5259"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72A7D21" w14:textId="77777777" w:rsidR="009D3DC8" w:rsidRDefault="009D3DC8">
            <w:pPr>
              <w:pStyle w:val="TableText"/>
              <w:rPr>
                <w:rFonts w:cs="Arial"/>
                <w:b/>
                <w:szCs w:val="16"/>
              </w:rPr>
            </w:pPr>
            <w:r>
              <w:rPr>
                <w:rFonts w:cs="Arial"/>
                <w:b/>
                <w:szCs w:val="16"/>
              </w:rPr>
              <w:t>Synonyms</w:t>
            </w:r>
          </w:p>
        </w:tc>
        <w:tc>
          <w:tcPr>
            <w:tcW w:w="7199" w:type="dxa"/>
            <w:tcBorders>
              <w:top w:val="single" w:sz="8" w:space="0" w:color="C0C0C0"/>
              <w:left w:val="single" w:sz="4" w:space="0" w:color="auto"/>
              <w:bottom w:val="single" w:sz="8" w:space="0" w:color="C0C0C0"/>
              <w:right w:val="single" w:sz="8" w:space="0" w:color="auto"/>
            </w:tcBorders>
          </w:tcPr>
          <w:p w14:paraId="340F5B7E" w14:textId="77777777" w:rsidR="009D3DC8" w:rsidRDefault="009D3DC8">
            <w:pPr>
              <w:pStyle w:val="TableText"/>
              <w:rPr>
                <w:rStyle w:val="info1"/>
                <w:rFonts w:ascii="Arial" w:hAnsi="Arial" w:cs="Arial"/>
                <w:sz w:val="16"/>
                <w:szCs w:val="16"/>
              </w:rPr>
            </w:pPr>
            <w:r>
              <w:rPr>
                <w:rStyle w:val="info1"/>
                <w:rFonts w:ascii="Arial" w:hAnsi="Arial" w:cs="Arial"/>
                <w:sz w:val="16"/>
                <w:szCs w:val="16"/>
              </w:rPr>
              <w:t>Hercynia panamana Enzmann, 1947</w:t>
            </w:r>
          </w:p>
          <w:p w14:paraId="4C35B808" w14:textId="77777777" w:rsidR="009D3DC8" w:rsidRDefault="009D3DC8">
            <w:pPr>
              <w:pStyle w:val="TableText"/>
              <w:rPr>
                <w:rStyle w:val="info1"/>
                <w:rFonts w:ascii="Arial" w:hAnsi="Arial" w:cs="Arial"/>
                <w:iCs/>
                <w:sz w:val="16"/>
                <w:szCs w:val="16"/>
              </w:rPr>
            </w:pPr>
            <w:r>
              <w:rPr>
                <w:rStyle w:val="info1"/>
                <w:rFonts w:ascii="Arial" w:hAnsi="Arial" w:cs="Arial"/>
                <w:sz w:val="16"/>
                <w:szCs w:val="16"/>
              </w:rPr>
              <w:t>Ochetomyrmex auropunctata (Forel, 1886)</w:t>
            </w:r>
          </w:p>
          <w:p w14:paraId="43E1DAC8" w14:textId="77777777" w:rsidR="009D3DC8" w:rsidRDefault="009D3DC8">
            <w:pPr>
              <w:pStyle w:val="TableText"/>
              <w:rPr>
                <w:rStyle w:val="info1"/>
                <w:rFonts w:ascii="Arial" w:hAnsi="Arial" w:cs="Arial"/>
                <w:sz w:val="16"/>
                <w:szCs w:val="16"/>
              </w:rPr>
            </w:pPr>
            <w:r>
              <w:rPr>
                <w:rStyle w:val="info1"/>
                <w:rFonts w:ascii="Arial" w:hAnsi="Arial" w:cs="Arial"/>
                <w:sz w:val="16"/>
                <w:szCs w:val="16"/>
              </w:rPr>
              <w:t>Ochetomyrmex auropunctatum (Forel, 1886)</w:t>
            </w:r>
          </w:p>
          <w:p w14:paraId="4A92F642" w14:textId="77777777" w:rsidR="009D3DC8" w:rsidRDefault="009D3DC8">
            <w:pPr>
              <w:pStyle w:val="TableText"/>
              <w:rPr>
                <w:rStyle w:val="info1"/>
                <w:rFonts w:ascii="Arial" w:hAnsi="Arial" w:cs="Arial"/>
                <w:i/>
                <w:iCs/>
                <w:sz w:val="16"/>
                <w:szCs w:val="16"/>
              </w:rPr>
            </w:pPr>
            <w:r>
              <w:rPr>
                <w:rStyle w:val="info1"/>
                <w:rFonts w:ascii="Arial" w:hAnsi="Arial" w:cs="Arial"/>
                <w:sz w:val="16"/>
                <w:szCs w:val="16"/>
              </w:rPr>
              <w:t>Ochetomyrmex auropunctatus (Roger, 1863)</w:t>
            </w:r>
          </w:p>
          <w:p w14:paraId="02FE2662" w14:textId="77777777" w:rsidR="009D3DC8" w:rsidRDefault="009D3DC8">
            <w:pPr>
              <w:pStyle w:val="TableText"/>
              <w:rPr>
                <w:rStyle w:val="info1"/>
                <w:rFonts w:ascii="Arial" w:hAnsi="Arial" w:cs="Arial"/>
                <w:sz w:val="16"/>
                <w:szCs w:val="16"/>
              </w:rPr>
            </w:pPr>
            <w:r>
              <w:rPr>
                <w:rStyle w:val="info1"/>
                <w:rFonts w:ascii="Arial" w:hAnsi="Arial" w:cs="Arial"/>
                <w:sz w:val="16"/>
                <w:szCs w:val="16"/>
              </w:rPr>
              <w:t>Tetramorium auropunctatum Roger, 1863</w:t>
            </w:r>
          </w:p>
          <w:p w14:paraId="6B13405C" w14:textId="77777777" w:rsidR="009D3DC8" w:rsidRDefault="009D3DC8">
            <w:pPr>
              <w:pStyle w:val="TableText"/>
              <w:rPr>
                <w:rStyle w:val="info1"/>
                <w:rFonts w:ascii="Arial" w:hAnsi="Arial" w:cs="Arial"/>
                <w:sz w:val="16"/>
                <w:szCs w:val="16"/>
              </w:rPr>
            </w:pPr>
            <w:r>
              <w:rPr>
                <w:rStyle w:val="info1"/>
                <w:rFonts w:ascii="Arial" w:hAnsi="Arial" w:cs="Arial"/>
                <w:sz w:val="16"/>
                <w:szCs w:val="16"/>
              </w:rPr>
              <w:t>Wasmannia glabra Santschi, 1931</w:t>
            </w:r>
          </w:p>
          <w:p w14:paraId="5C99038E" w14:textId="77777777" w:rsidR="009D3DC8" w:rsidRDefault="009D3DC8">
            <w:pPr>
              <w:pStyle w:val="TableText"/>
              <w:rPr>
                <w:rFonts w:cs="Arial"/>
                <w:szCs w:val="16"/>
              </w:rPr>
            </w:pPr>
            <w:r>
              <w:rPr>
                <w:rStyle w:val="info1"/>
                <w:rFonts w:ascii="Arial" w:hAnsi="Arial" w:cs="Arial"/>
                <w:sz w:val="16"/>
                <w:szCs w:val="16"/>
              </w:rPr>
              <w:t>Xiphomyrmex atomum Santschi, 1914</w:t>
            </w:r>
          </w:p>
        </w:tc>
      </w:tr>
      <w:tr w:rsidR="009D3DC8" w14:paraId="2F10E3F6"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73A61285" w14:textId="77777777" w:rsidR="009D3DC8" w:rsidRDefault="009D3DC8">
            <w:pPr>
              <w:pStyle w:val="TableText"/>
              <w:rPr>
                <w:rFonts w:cs="Arial"/>
                <w:b/>
                <w:szCs w:val="16"/>
              </w:rPr>
            </w:pPr>
            <w:r>
              <w:rPr>
                <w:rFonts w:cs="Arial"/>
                <w:b/>
                <w:szCs w:val="16"/>
              </w:rPr>
              <w:t>Common name(s)</w:t>
            </w:r>
          </w:p>
        </w:tc>
        <w:tc>
          <w:tcPr>
            <w:tcW w:w="7199" w:type="dxa"/>
            <w:tcBorders>
              <w:top w:val="single" w:sz="8" w:space="0" w:color="C0C0C0"/>
              <w:left w:val="single" w:sz="4" w:space="0" w:color="auto"/>
              <w:bottom w:val="single" w:sz="8" w:space="0" w:color="C0C0C0"/>
              <w:right w:val="single" w:sz="8" w:space="0" w:color="auto"/>
            </w:tcBorders>
          </w:tcPr>
          <w:p w14:paraId="452171A0" w14:textId="77777777" w:rsidR="009D3DC8" w:rsidRDefault="009D3DC8">
            <w:pPr>
              <w:pStyle w:val="TableText"/>
              <w:rPr>
                <w:rFonts w:cs="Arial"/>
                <w:szCs w:val="16"/>
              </w:rPr>
            </w:pPr>
            <w:r>
              <w:rPr>
                <w:rFonts w:cs="Arial"/>
                <w:szCs w:val="16"/>
              </w:rPr>
              <w:t>Little fire ant; Electric ant</w:t>
            </w:r>
          </w:p>
        </w:tc>
      </w:tr>
      <w:tr w:rsidR="009D3DC8" w14:paraId="74C42088" w14:textId="77777777">
        <w:trPr>
          <w:cantSplit/>
        </w:trPr>
        <w:tc>
          <w:tcPr>
            <w:tcW w:w="2089" w:type="dxa"/>
            <w:tcBorders>
              <w:top w:val="single" w:sz="8" w:space="0" w:color="C0C0C0"/>
              <w:left w:val="single" w:sz="8" w:space="0" w:color="auto"/>
              <w:bottom w:val="single" w:sz="8" w:space="0" w:color="C0C0C0"/>
              <w:right w:val="single" w:sz="4" w:space="0" w:color="auto"/>
            </w:tcBorders>
          </w:tcPr>
          <w:p w14:paraId="3606303B" w14:textId="77777777" w:rsidR="009D3DC8" w:rsidRDefault="009D3DC8">
            <w:pPr>
              <w:pStyle w:val="TableText"/>
              <w:rPr>
                <w:rFonts w:cs="Arial"/>
                <w:b/>
                <w:szCs w:val="16"/>
              </w:rPr>
            </w:pPr>
            <w:r>
              <w:rPr>
                <w:rFonts w:cs="Arial"/>
                <w:b/>
                <w:szCs w:val="16"/>
              </w:rPr>
              <w:t>Main hosts</w:t>
            </w:r>
          </w:p>
        </w:tc>
        <w:tc>
          <w:tcPr>
            <w:tcW w:w="7199" w:type="dxa"/>
            <w:tcBorders>
              <w:top w:val="single" w:sz="8" w:space="0" w:color="C0C0C0"/>
              <w:left w:val="single" w:sz="4" w:space="0" w:color="auto"/>
              <w:bottom w:val="single" w:sz="8" w:space="0" w:color="C0C0C0"/>
              <w:right w:val="single" w:sz="8" w:space="0" w:color="auto"/>
            </w:tcBorders>
          </w:tcPr>
          <w:p w14:paraId="26751570" w14:textId="77777777" w:rsidR="009D3DC8" w:rsidRDefault="009D3DC8">
            <w:pPr>
              <w:pStyle w:val="TableText"/>
              <w:rPr>
                <w:rFonts w:cs="Arial"/>
                <w:szCs w:val="16"/>
              </w:rPr>
            </w:pPr>
            <w:r>
              <w:rPr>
                <w:rFonts w:cs="Arial"/>
                <w:szCs w:val="16"/>
              </w:rPr>
              <w:t>Ants are known “hitch-hikers” that tend several groups of sucking insects that are found under the calyces of mangosteens, such as Coccidae and Pseudococcidae, for their honeydew.</w:t>
            </w:r>
          </w:p>
        </w:tc>
      </w:tr>
      <w:tr w:rsidR="009D3DC8" w14:paraId="3627DFF5" w14:textId="77777777">
        <w:trPr>
          <w:cantSplit/>
        </w:trPr>
        <w:tc>
          <w:tcPr>
            <w:tcW w:w="2089" w:type="dxa"/>
            <w:tcBorders>
              <w:top w:val="single" w:sz="8" w:space="0" w:color="C0C0C0"/>
              <w:left w:val="single" w:sz="8" w:space="0" w:color="auto"/>
              <w:bottom w:val="single" w:sz="4" w:space="0" w:color="auto"/>
              <w:right w:val="single" w:sz="4" w:space="0" w:color="auto"/>
            </w:tcBorders>
          </w:tcPr>
          <w:p w14:paraId="2321001D" w14:textId="77777777" w:rsidR="009D3DC8" w:rsidRDefault="009D3DC8">
            <w:pPr>
              <w:pStyle w:val="TableText"/>
              <w:rPr>
                <w:rFonts w:cs="Arial"/>
                <w:b/>
                <w:szCs w:val="16"/>
              </w:rPr>
            </w:pPr>
            <w:r>
              <w:rPr>
                <w:rFonts w:cs="Arial"/>
                <w:b/>
                <w:szCs w:val="16"/>
              </w:rPr>
              <w:t>Distribution</w:t>
            </w:r>
          </w:p>
        </w:tc>
        <w:tc>
          <w:tcPr>
            <w:tcW w:w="7199" w:type="dxa"/>
            <w:tcBorders>
              <w:top w:val="single" w:sz="8" w:space="0" w:color="C0C0C0"/>
              <w:left w:val="single" w:sz="4" w:space="0" w:color="auto"/>
              <w:bottom w:val="single" w:sz="4" w:space="0" w:color="auto"/>
              <w:right w:val="single" w:sz="8" w:space="0" w:color="auto"/>
            </w:tcBorders>
          </w:tcPr>
          <w:p w14:paraId="440E1201" w14:textId="77777777" w:rsidR="009D3DC8" w:rsidRDefault="009D3DC8">
            <w:pPr>
              <w:pStyle w:val="TableText"/>
              <w:rPr>
                <w:rFonts w:cs="Arial"/>
                <w:szCs w:val="16"/>
              </w:rPr>
            </w:pPr>
            <w:r>
              <w:rPr>
                <w:rFonts w:cs="Arial"/>
                <w:szCs w:val="16"/>
              </w:rPr>
              <w:t>Presence in Australia: Yes. Queensland: a declared pest and under official control (Windle 2011).</w:t>
            </w:r>
          </w:p>
          <w:p w14:paraId="6AD5966A" w14:textId="77777777" w:rsidR="009D3DC8" w:rsidRDefault="009D3DC8">
            <w:pPr>
              <w:pStyle w:val="TableText"/>
              <w:rPr>
                <w:rFonts w:cs="Arial"/>
                <w:szCs w:val="16"/>
              </w:rPr>
            </w:pPr>
            <w:r>
              <w:rPr>
                <w:rFonts w:cs="Arial"/>
                <w:szCs w:val="16"/>
              </w:rPr>
              <w:t>Presence in Indonesia: Yes (Wetterer and Porter 2003; Guénard</w:t>
            </w:r>
            <w:r>
              <w:rPr>
                <w:rFonts w:cs="Arial"/>
                <w:i/>
                <w:szCs w:val="16"/>
              </w:rPr>
              <w:t xml:space="preserve"> et al.</w:t>
            </w:r>
            <w:r>
              <w:rPr>
                <w:rFonts w:cs="Arial"/>
                <w:szCs w:val="16"/>
              </w:rPr>
              <w:t xml:space="preserve"> 2010).</w:t>
            </w:r>
          </w:p>
          <w:p w14:paraId="1EF8497C" w14:textId="77777777" w:rsidR="009D3DC8" w:rsidRDefault="009D3DC8">
            <w:pPr>
              <w:pStyle w:val="TableText"/>
              <w:rPr>
                <w:rFonts w:cs="Arial"/>
                <w:szCs w:val="16"/>
              </w:rPr>
            </w:pPr>
            <w:r>
              <w:rPr>
                <w:rFonts w:cs="Arial"/>
                <w:szCs w:val="16"/>
              </w:rPr>
              <w:t>Presence elsewhere: Native to South and Central America and introduced to several Pacific island groups including Fiji, French Polynesia, Galapagos Islands, Hawaii, New Caledonia, Solomon Islands, Tuvalu, Vanuatu, Wallis and Futuna (Wetterer and Porter 2003), mainland USA (Florida and California), the Caribbean, Gabon and Cameroon (Wetterer</w:t>
            </w:r>
            <w:r>
              <w:rPr>
                <w:rFonts w:cs="Arial"/>
                <w:i/>
                <w:szCs w:val="16"/>
              </w:rPr>
              <w:t xml:space="preserve"> et al.</w:t>
            </w:r>
            <w:r>
              <w:rPr>
                <w:rFonts w:cs="Arial"/>
                <w:szCs w:val="16"/>
              </w:rPr>
              <w:t xml:space="preserve"> 1999), Canada, Ecuador, Israel, and Papua New Guinea (GISD 2009).</w:t>
            </w:r>
          </w:p>
        </w:tc>
      </w:tr>
    </w:tbl>
    <w:p w14:paraId="32C77F8A" w14:textId="77777777" w:rsidR="009D3DC8" w:rsidRDefault="009D3DC8">
      <w:pPr>
        <w:rPr>
          <w:highlight w:val="yellow"/>
        </w:rPr>
      </w:pPr>
    </w:p>
    <w:p w14:paraId="2A749A31" w14:textId="77777777" w:rsidR="009D3DC8" w:rsidRDefault="009D3DC8">
      <w:pPr>
        <w:pStyle w:val="Heading1"/>
        <w:numPr>
          <w:ilvl w:val="0"/>
          <w:numId w:val="8"/>
        </w:numPr>
        <w:spacing w:line="240" w:lineRule="auto"/>
        <w:rPr>
          <w:highlight w:val="yellow"/>
        </w:rPr>
        <w:sectPr w:rsidR="009D3DC8">
          <w:headerReference w:type="default" r:id="rId59"/>
          <w:type w:val="oddPage"/>
          <w:pgSz w:w="11906" w:h="16838"/>
          <w:pgMar w:top="1440" w:right="1440" w:bottom="1440" w:left="1440" w:header="708" w:footer="708" w:gutter="0"/>
          <w:cols w:space="708"/>
          <w:docGrid w:linePitch="360"/>
        </w:sectPr>
      </w:pPr>
      <w:bookmarkStart w:id="108" w:name="_Toc522091168"/>
      <w:bookmarkStart w:id="109" w:name="_Toc524315820"/>
      <w:bookmarkStart w:id="110" w:name="_Toc28146232"/>
      <w:bookmarkStart w:id="111" w:name="_Toc28146476"/>
      <w:bookmarkStart w:id="112" w:name="_Toc28146611"/>
      <w:bookmarkStart w:id="113" w:name="_Toc29953263"/>
      <w:bookmarkStart w:id="114" w:name="_Toc31732294"/>
      <w:bookmarkStart w:id="115" w:name="_Toc36287079"/>
      <w:bookmarkStart w:id="116" w:name="_Toc36287180"/>
      <w:bookmarkStart w:id="117" w:name="_Toc36287990"/>
      <w:bookmarkStart w:id="118" w:name="_Toc39405203"/>
      <w:bookmarkStart w:id="119" w:name="_Toc41820670"/>
      <w:bookmarkStart w:id="120" w:name="_Toc159248126"/>
      <w:bookmarkStart w:id="121" w:name="_Toc174975054"/>
      <w:bookmarkStart w:id="122" w:name="_Toc189039099"/>
      <w:bookmarkStart w:id="123" w:name="_Toc261004345"/>
    </w:p>
    <w:p w14:paraId="564C0119" w14:textId="77777777" w:rsidR="009D3DC8" w:rsidRDefault="009D3DC8">
      <w:pPr>
        <w:pStyle w:val="Heading1"/>
        <w:numPr>
          <w:ilvl w:val="0"/>
          <w:numId w:val="0"/>
        </w:numPr>
        <w:spacing w:before="120"/>
        <w:ind w:left="2268" w:hanging="2268"/>
        <w:rPr>
          <w:szCs w:val="32"/>
        </w:rPr>
      </w:pPr>
      <w:bookmarkStart w:id="124" w:name="_Toc325618457"/>
      <w:r>
        <w:rPr>
          <w:szCs w:val="32"/>
        </w:rPr>
        <w:lastRenderedPageBreak/>
        <w:t>Appendix C</w:t>
      </w:r>
      <w:r>
        <w:rPr>
          <w:szCs w:val="32"/>
        </w:rPr>
        <w:tab/>
        <w:t>Scientific issues raised in stakeholder comments</w:t>
      </w:r>
      <w:bookmarkEnd w:id="124"/>
    </w:p>
    <w:p w14:paraId="3CD2F7DF"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A summary of major stakeholder issues and how they were considered in the final report is given below.</w:t>
      </w:r>
    </w:p>
    <w:p w14:paraId="047BED0C" w14:textId="77777777" w:rsidR="009D3DC8" w:rsidRDefault="009D3DC8">
      <w:pPr>
        <w:spacing w:before="180" w:line="280" w:lineRule="atLeast"/>
        <w:rPr>
          <w:rFonts w:ascii="Times New Roman" w:hAnsi="Times New Roman"/>
          <w:i/>
          <w:sz w:val="24"/>
          <w:szCs w:val="24"/>
        </w:rPr>
      </w:pPr>
      <w:r>
        <w:rPr>
          <w:rFonts w:ascii="Times New Roman" w:hAnsi="Times New Roman"/>
          <w:i/>
          <w:sz w:val="24"/>
          <w:szCs w:val="24"/>
        </w:rPr>
        <w:t xml:space="preserve">Issue 1: One stakeholder wrote that the pest risk assessment (PRA) process for fruit flies was conducted using unpublished reports and ignored published information and expert comments. </w:t>
      </w:r>
    </w:p>
    <w:p w14:paraId="2141A055"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 xml:space="preserve">DAFF Biosecurity has considered all available published and unpublished references regarding the host status of mangosteen for fruit flies. This information is included in the PRA for the fruit flies </w:t>
      </w:r>
      <w:r>
        <w:rPr>
          <w:rFonts w:ascii="Times New Roman" w:hAnsi="Times New Roman"/>
          <w:i/>
          <w:sz w:val="24"/>
          <w:szCs w:val="24"/>
        </w:rPr>
        <w:t xml:space="preserve">Bactrocera papayae </w:t>
      </w:r>
      <w:r>
        <w:rPr>
          <w:rFonts w:ascii="Times New Roman" w:hAnsi="Times New Roman"/>
          <w:sz w:val="24"/>
          <w:szCs w:val="24"/>
        </w:rPr>
        <w:t xml:space="preserve">and </w:t>
      </w:r>
      <w:r>
        <w:rPr>
          <w:rFonts w:ascii="Times New Roman" w:hAnsi="Times New Roman"/>
          <w:i/>
          <w:sz w:val="24"/>
          <w:szCs w:val="24"/>
        </w:rPr>
        <w:t>B.carambolae</w:t>
      </w:r>
      <w:r>
        <w:rPr>
          <w:rFonts w:ascii="Times New Roman" w:hAnsi="Times New Roman"/>
          <w:sz w:val="24"/>
          <w:szCs w:val="24"/>
        </w:rPr>
        <w:t>. In addition, national and international fruit fly experts were consulted on the host status of mangosteens for fruit flies, and their comments were carefully considered. Based on the available evidence, DAFF Biosecurity concluded that mangosteen fruit are conditional non-hosts when undamaged and at specific maturity levels.</w:t>
      </w:r>
    </w:p>
    <w:p w14:paraId="6DB08E7B" w14:textId="77777777" w:rsidR="009D3DC8" w:rsidRDefault="009D3DC8">
      <w:pPr>
        <w:spacing w:before="180" w:line="280" w:lineRule="atLeast"/>
        <w:rPr>
          <w:rFonts w:ascii="Times New Roman" w:hAnsi="Times New Roman"/>
          <w:i/>
          <w:sz w:val="24"/>
          <w:szCs w:val="24"/>
        </w:rPr>
      </w:pPr>
      <w:r>
        <w:rPr>
          <w:rFonts w:ascii="Times New Roman" w:hAnsi="Times New Roman"/>
          <w:i/>
          <w:sz w:val="24"/>
          <w:szCs w:val="24"/>
        </w:rPr>
        <w:t>Issue 2: One stakeholder asked for a re-examination of the risk assessment for fruit flies and mealybugs.</w:t>
      </w:r>
    </w:p>
    <w:p w14:paraId="2956E7F7" w14:textId="77777777" w:rsidR="009D3DC8" w:rsidRDefault="009D3DC8">
      <w:pPr>
        <w:spacing w:before="180" w:line="280" w:lineRule="atLeast"/>
        <w:rPr>
          <w:rFonts w:ascii="Times New Roman" w:hAnsi="Times New Roman"/>
          <w:sz w:val="24"/>
          <w:szCs w:val="24"/>
        </w:rPr>
      </w:pPr>
      <w:r>
        <w:rPr>
          <w:rFonts w:ascii="Times New Roman" w:hAnsi="Times New Roman"/>
          <w:sz w:val="24"/>
          <w:szCs w:val="24"/>
        </w:rPr>
        <w:t xml:space="preserve">All relevant references and expert comments were carefully considered again, and in the absence of any new information, changes to the risk assessment for fruit flies and mealybugs were not justified. The risk management measures recommended in this report are considered appropriate to reduce the risk for all identified quarantine pests to achieve Australia’s appropriate level of protection (ALOP).  </w:t>
      </w:r>
    </w:p>
    <w:p w14:paraId="060DBC23" w14:textId="77777777" w:rsidR="009D3DC8" w:rsidRDefault="009D3DC8">
      <w:pPr>
        <w:rPr>
          <w:rFonts w:ascii="Times New Roman" w:hAnsi="Times New Roman"/>
          <w:sz w:val="24"/>
          <w:szCs w:val="24"/>
        </w:rPr>
      </w:pPr>
      <w:r>
        <w:rPr>
          <w:rFonts w:ascii="Times New Roman" w:hAnsi="Times New Roman"/>
          <w:sz w:val="24"/>
          <w:szCs w:val="24"/>
        </w:rPr>
        <w:t xml:space="preserve">  </w:t>
      </w:r>
    </w:p>
    <w:p w14:paraId="57F7302E" w14:textId="77777777" w:rsidR="009D3DC8" w:rsidRDefault="009D3DC8">
      <w:pPr>
        <w:rPr>
          <w:highlight w:val="yellow"/>
        </w:rPr>
      </w:pPr>
    </w:p>
    <w:p w14:paraId="410027A8" w14:textId="77777777" w:rsidR="009D3DC8" w:rsidRDefault="009D3DC8">
      <w:pPr>
        <w:rPr>
          <w:highlight w:val="yellow"/>
        </w:rPr>
        <w:sectPr w:rsidR="009D3DC8">
          <w:headerReference w:type="default" r:id="rId60"/>
          <w:type w:val="oddPage"/>
          <w:pgSz w:w="11906" w:h="16838"/>
          <w:pgMar w:top="1440" w:right="1440" w:bottom="1440" w:left="1440" w:header="708" w:footer="708" w:gutter="0"/>
          <w:cols w:space="708"/>
          <w:docGrid w:linePitch="360"/>
        </w:sectPr>
      </w:pPr>
    </w:p>
    <w:p w14:paraId="3DFE34CB" w14:textId="77777777" w:rsidR="009D3DC8" w:rsidRDefault="009D3DC8">
      <w:pPr>
        <w:pStyle w:val="Heading1"/>
        <w:numPr>
          <w:ilvl w:val="0"/>
          <w:numId w:val="0"/>
        </w:numPr>
        <w:spacing w:before="120"/>
      </w:pPr>
      <w:bookmarkStart w:id="125" w:name="_Toc325618458"/>
      <w:r>
        <w:lastRenderedPageBreak/>
        <w:t>Appendix D</w:t>
      </w:r>
      <w:r>
        <w:tab/>
        <w:t xml:space="preserve">Biosecurity </w:t>
      </w:r>
      <w:bookmarkEnd w:id="108"/>
      <w:bookmarkEnd w:id="109"/>
      <w:bookmarkEnd w:id="110"/>
      <w:bookmarkEnd w:id="111"/>
      <w:bookmarkEnd w:id="112"/>
      <w:bookmarkEnd w:id="113"/>
      <w:bookmarkEnd w:id="114"/>
      <w:bookmarkEnd w:id="115"/>
      <w:bookmarkEnd w:id="116"/>
      <w:bookmarkEnd w:id="117"/>
      <w:bookmarkEnd w:id="118"/>
      <w:bookmarkEnd w:id="119"/>
      <w:bookmarkEnd w:id="120"/>
      <w:r>
        <w:t>framework</w:t>
      </w:r>
      <w:bookmarkEnd w:id="121"/>
      <w:bookmarkEnd w:id="122"/>
      <w:bookmarkEnd w:id="123"/>
      <w:bookmarkEnd w:id="125"/>
    </w:p>
    <w:p w14:paraId="5C3C24A3" w14:textId="77777777" w:rsidR="009D3DC8" w:rsidRDefault="009D3DC8">
      <w:pPr>
        <w:pStyle w:val="Heading2a"/>
      </w:pPr>
      <w:r>
        <w:t>Australia’s biosecurity policies</w:t>
      </w:r>
    </w:p>
    <w:p w14:paraId="0A5679B4" w14:textId="77777777" w:rsidR="009D3DC8" w:rsidRDefault="009D3DC8">
      <w:pPr>
        <w:spacing w:before="180" w:line="280" w:lineRule="atLeast"/>
        <w:rPr>
          <w:rFonts w:ascii="Times New Roman" w:hAnsi="Times New Roman"/>
          <w:sz w:val="24"/>
        </w:rPr>
      </w:pPr>
      <w:r>
        <w:rPr>
          <w:rFonts w:ascii="Times New Roman" w:hAnsi="Times New Roman"/>
          <w:sz w:val="24"/>
        </w:rPr>
        <w:t>The objective of Australia’s biosecurity policies and risk management measures is the prevention or control of the entry, establishment or spread of pests and diseases that could cause significant harm to people, animals, plants and other aspects of the environment.</w:t>
      </w:r>
    </w:p>
    <w:p w14:paraId="3287A4DD" w14:textId="77777777" w:rsidR="009D3DC8" w:rsidRDefault="009D3DC8">
      <w:pPr>
        <w:spacing w:before="180" w:line="280" w:lineRule="atLeast"/>
        <w:rPr>
          <w:rFonts w:ascii="Times New Roman" w:hAnsi="Times New Roman"/>
          <w:sz w:val="24"/>
        </w:rPr>
      </w:pPr>
      <w:r>
        <w:rPr>
          <w:rFonts w:ascii="Times New Roman" w:hAnsi="Times New Roman"/>
          <w:sz w:val="24"/>
        </w:rPr>
        <w:t>Australia has diverse native flora and fauna and a large agricultural sector, and is relatively free from the more significant pests and diseases present in other countries. Therefore, successive Australian Governments have maintained a conservative, but not a zero-risk, approach to the management of biosecurity risks. This approach is consistent with the World Trade Organization’s (WTO’s) Agreement on the Application of Sanitary and Phytosanitary Measures (SPS Agreement).</w:t>
      </w:r>
    </w:p>
    <w:p w14:paraId="18CC8E26" w14:textId="77777777" w:rsidR="009D3DC8" w:rsidRDefault="009D3DC8">
      <w:pPr>
        <w:spacing w:before="180" w:line="280" w:lineRule="atLeast"/>
        <w:rPr>
          <w:rFonts w:ascii="Times New Roman" w:hAnsi="Times New Roman"/>
          <w:sz w:val="24"/>
        </w:rPr>
      </w:pPr>
      <w:r>
        <w:rPr>
          <w:rFonts w:ascii="Times New Roman" w:hAnsi="Times New Roman"/>
          <w:sz w:val="24"/>
        </w:rPr>
        <w:t>The SPS Agreement defines the concept of an ‘appropriate level of protection’ (ALOP) as the level of protection deemed appropriate by a WTO Member establishing a sanitary or phytosanitary measure to protect human, animal or plant life or health within its territory. Among a number of obligations, a WTO Member should take into account the objective of minimising negative trade effects in setting its ALOP.</w:t>
      </w:r>
    </w:p>
    <w:p w14:paraId="7A7615CD" w14:textId="77777777" w:rsidR="009D3DC8" w:rsidRDefault="009D3DC8">
      <w:pPr>
        <w:spacing w:before="180" w:line="280" w:lineRule="atLeast"/>
        <w:rPr>
          <w:rFonts w:ascii="Times New Roman" w:hAnsi="Times New Roman"/>
          <w:sz w:val="24"/>
        </w:rPr>
      </w:pPr>
      <w:r>
        <w:rPr>
          <w:rFonts w:ascii="Times New Roman" w:hAnsi="Times New Roman"/>
          <w:sz w:val="24"/>
        </w:rPr>
        <w:t>Like many other countries, Australia expresses its ALOP in qualitative terms. Australia’s ALOP, which reflects community expectations through Australian Government policy, is currently expressed as providing a high level of sanitary and phytosanitary protection, aimed at reducing risk to a very low level, but not to zero.</w:t>
      </w:r>
    </w:p>
    <w:p w14:paraId="1F2F5D0D" w14:textId="77777777" w:rsidR="009D3DC8" w:rsidRDefault="009D3DC8">
      <w:pPr>
        <w:spacing w:before="180" w:line="280" w:lineRule="atLeast"/>
        <w:rPr>
          <w:rFonts w:ascii="Times New Roman" w:hAnsi="Times New Roman"/>
          <w:sz w:val="24"/>
        </w:rPr>
      </w:pPr>
      <w:r>
        <w:rPr>
          <w:rFonts w:ascii="Times New Roman" w:hAnsi="Times New Roman"/>
          <w:sz w:val="24"/>
        </w:rPr>
        <w:t>Consistent with the SPS Agreement, in conducting risk analyses Australia takes into account as relevant economic factors:</w:t>
      </w:r>
    </w:p>
    <w:p w14:paraId="77116DB2" w14:textId="77777777" w:rsidR="009D3DC8" w:rsidRDefault="009D3DC8">
      <w:pPr>
        <w:pStyle w:val="Bullets"/>
        <w:numPr>
          <w:ilvl w:val="0"/>
          <w:numId w:val="9"/>
        </w:numPr>
        <w:spacing w:before="120"/>
        <w:jc w:val="left"/>
      </w:pPr>
      <w:r>
        <w:t>the potential damage in terms of loss of production or sales in the event of the entry, establishment or spread of a pest or disease in the territory of Australia</w:t>
      </w:r>
    </w:p>
    <w:p w14:paraId="72AA4BC8" w14:textId="77777777" w:rsidR="009D3DC8" w:rsidRDefault="009D3DC8">
      <w:pPr>
        <w:pStyle w:val="Bullets"/>
        <w:numPr>
          <w:ilvl w:val="0"/>
          <w:numId w:val="9"/>
        </w:numPr>
        <w:spacing w:before="120"/>
        <w:jc w:val="left"/>
      </w:pPr>
      <w:r>
        <w:t>the costs of control or eradication of a pest or disease</w:t>
      </w:r>
    </w:p>
    <w:p w14:paraId="0A2A3D42" w14:textId="77777777" w:rsidR="009D3DC8" w:rsidRDefault="009D3DC8">
      <w:pPr>
        <w:pStyle w:val="Bullets"/>
        <w:numPr>
          <w:ilvl w:val="0"/>
          <w:numId w:val="9"/>
        </w:numPr>
        <w:spacing w:before="120"/>
        <w:jc w:val="left"/>
      </w:pPr>
      <w:r>
        <w:t>and the relative cost-effectiveness of alternative approaches to limiting risks.</w:t>
      </w:r>
    </w:p>
    <w:p w14:paraId="117CBB5C" w14:textId="77777777" w:rsidR="009D3DC8" w:rsidRDefault="009D3DC8">
      <w:pPr>
        <w:pStyle w:val="Heading2a"/>
      </w:pPr>
      <w:bookmarkStart w:id="126" w:name="_Toc522091169"/>
      <w:bookmarkStart w:id="127" w:name="_Toc524315821"/>
      <w:bookmarkStart w:id="128" w:name="_Toc28146237"/>
      <w:bookmarkStart w:id="129" w:name="_Toc28146481"/>
      <w:bookmarkStart w:id="130" w:name="_Toc28146616"/>
      <w:bookmarkStart w:id="131" w:name="_Toc29953268"/>
      <w:bookmarkStart w:id="132" w:name="_Toc522091171"/>
      <w:bookmarkStart w:id="133" w:name="_Toc524315823"/>
      <w:r>
        <w:t xml:space="preserve">Roles and responsibilities within </w:t>
      </w:r>
      <w:smartTag w:uri="urn:schemas-microsoft-com:office:smarttags" w:element="country-region">
        <w:smartTag w:uri="urn:schemas-microsoft-com:office:smarttags" w:element="place">
          <w:r>
            <w:t>Australia</w:t>
          </w:r>
        </w:smartTag>
      </w:smartTag>
      <w:r>
        <w:t>’s quarantine system</w:t>
      </w:r>
    </w:p>
    <w:p w14:paraId="792C7C9A" w14:textId="77777777" w:rsidR="009D3DC8" w:rsidRDefault="009D3DC8">
      <w:pPr>
        <w:spacing w:before="180" w:line="280" w:lineRule="atLeast"/>
        <w:rPr>
          <w:rFonts w:ascii="Times New Roman" w:hAnsi="Times New Roman"/>
          <w:sz w:val="24"/>
        </w:rPr>
      </w:pPr>
      <w:r>
        <w:rPr>
          <w:rFonts w:ascii="Times New Roman" w:hAnsi="Times New Roman"/>
          <w:sz w:val="24"/>
        </w:rPr>
        <w:t>Australia protects its human</w:t>
      </w:r>
      <w:r>
        <w:rPr>
          <w:rFonts w:ascii="Times New Roman" w:hAnsi="Times New Roman"/>
          <w:sz w:val="24"/>
          <w:vertAlign w:val="superscript"/>
        </w:rPr>
        <w:footnoteReference w:id="6"/>
      </w:r>
      <w:r>
        <w:rPr>
          <w:rFonts w:ascii="Times New Roman" w:hAnsi="Times New Roman"/>
          <w:sz w:val="24"/>
        </w:rPr>
        <w:t>, animal and plant life or health through a comprehensive quarantine system that covers the quarantine continuum, from pre-border to border and post-border activities.</w:t>
      </w:r>
    </w:p>
    <w:p w14:paraId="3AB52B63" w14:textId="77777777" w:rsidR="009D3DC8" w:rsidRDefault="009D3DC8">
      <w:pPr>
        <w:spacing w:before="180" w:line="280" w:lineRule="atLeast"/>
        <w:rPr>
          <w:rFonts w:ascii="Times New Roman" w:hAnsi="Times New Roman"/>
          <w:sz w:val="24"/>
        </w:rPr>
      </w:pPr>
      <w:r>
        <w:rPr>
          <w:rFonts w:ascii="Times New Roman" w:hAnsi="Times New Roman"/>
          <w:sz w:val="24"/>
        </w:rPr>
        <w:t>Pre-border, Australia participates in international standard-setting bodies, undertakes risk analyses, develops offshore quarantine arrangements where appropriate, and engages with our neighbours to counter the spread of exotic pests and diseases.</w:t>
      </w:r>
    </w:p>
    <w:p w14:paraId="534E5027" w14:textId="77777777" w:rsidR="009D3DC8" w:rsidRDefault="009D3DC8">
      <w:pPr>
        <w:spacing w:before="180" w:line="280" w:lineRule="atLeast"/>
        <w:rPr>
          <w:rFonts w:ascii="Times New Roman" w:hAnsi="Times New Roman"/>
          <w:sz w:val="24"/>
        </w:rPr>
      </w:pPr>
      <w:r>
        <w:rPr>
          <w:rFonts w:ascii="Times New Roman" w:hAnsi="Times New Roman"/>
          <w:sz w:val="24"/>
        </w:rPr>
        <w:t>At the border, Australia screens vessels (including aircraft), people and goods entering the country to detect potential threats to Australian human, animal and plant health.</w:t>
      </w:r>
    </w:p>
    <w:p w14:paraId="7E65C42D"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The Australian Government also undertakes targeted measures at the immediate post-border level within Australia. This includes national co-ordination of emergency responses to pest and disease incursions. The movement of goods of quarantine concern within Australia’s border is the responsibility of relevant state and territory authorities, which undertake inter- and intra-state quarantine operations that reflect regional differences in pest and disease status, as a part of their wider plant and animal health responsibilities.</w:t>
      </w:r>
    </w:p>
    <w:p w14:paraId="2123F4A6" w14:textId="77777777" w:rsidR="009D3DC8" w:rsidRDefault="009D3DC8">
      <w:pPr>
        <w:pStyle w:val="Heading2a"/>
      </w:pPr>
      <w:r>
        <w:t>Roles and responsibilities within the Department</w:t>
      </w:r>
    </w:p>
    <w:p w14:paraId="7B6D5958"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Australian Government Department of Agriculture, Fisheries and Forestry is responsible for the Australian Government’s animal and plant biosecurity policy development and the establishment of risk management measures. The Secretary of the Department is appointed as the Director of Animal and Plant Quarantine under the </w:t>
      </w:r>
      <w:r>
        <w:rPr>
          <w:rFonts w:ascii="Times New Roman" w:hAnsi="Times New Roman"/>
          <w:i/>
          <w:sz w:val="24"/>
        </w:rPr>
        <w:t>Quarantine Act 1908</w:t>
      </w:r>
      <w:r>
        <w:rPr>
          <w:rFonts w:ascii="Times New Roman" w:hAnsi="Times New Roman"/>
          <w:sz w:val="24"/>
        </w:rPr>
        <w:t xml:space="preserve"> (the Act).</w:t>
      </w:r>
    </w:p>
    <w:p w14:paraId="2D098B64" w14:textId="77777777" w:rsidR="009D3DC8" w:rsidRDefault="009D3DC8">
      <w:pPr>
        <w:spacing w:before="180" w:line="280" w:lineRule="atLeast"/>
        <w:rPr>
          <w:rFonts w:ascii="Times New Roman" w:hAnsi="Times New Roman"/>
          <w:sz w:val="24"/>
        </w:rPr>
      </w:pPr>
      <w:r>
        <w:rPr>
          <w:rFonts w:ascii="Times New Roman" w:hAnsi="Times New Roman"/>
          <w:sz w:val="24"/>
        </w:rPr>
        <w:t>The Department takes the lead in biosecurity and quarantine policy development and the establishment and implementation of risk management measures across the biosecurity continuum, and:</w:t>
      </w:r>
    </w:p>
    <w:p w14:paraId="62355012" w14:textId="77777777" w:rsidR="009D3DC8" w:rsidRDefault="009D3DC8">
      <w:pPr>
        <w:pStyle w:val="Bullets"/>
        <w:numPr>
          <w:ilvl w:val="0"/>
          <w:numId w:val="9"/>
        </w:numPr>
        <w:spacing w:before="120"/>
        <w:jc w:val="left"/>
      </w:pPr>
      <w:r>
        <w:rPr>
          <w:b/>
        </w:rPr>
        <w:t>Pre-border</w:t>
      </w:r>
      <w:r>
        <w:t xml:space="preserve"> conducts risk analyses, including IRAs, and develops recommendations for biosecurity policy as well as providing quarantine policy advice to the Director of Animal and Plant Quarantine</w:t>
      </w:r>
    </w:p>
    <w:p w14:paraId="324DAD17" w14:textId="77777777" w:rsidR="009D3DC8" w:rsidRDefault="009D3DC8">
      <w:pPr>
        <w:pStyle w:val="Bullets"/>
        <w:numPr>
          <w:ilvl w:val="0"/>
          <w:numId w:val="9"/>
        </w:numPr>
        <w:spacing w:before="120"/>
        <w:jc w:val="left"/>
      </w:pPr>
      <w:r>
        <w:rPr>
          <w:b/>
        </w:rPr>
        <w:t>At the border</w:t>
      </w:r>
      <w:r>
        <w:t xml:space="preserve"> develops operational procedures, makes a range of quarantine decisions under the Act (including import permit decisions under delegation from the Director of Animal and Plant Quarantine) and delivers quarantine services</w:t>
      </w:r>
    </w:p>
    <w:p w14:paraId="68F60A11" w14:textId="77777777" w:rsidR="009D3DC8" w:rsidRDefault="009D3DC8">
      <w:pPr>
        <w:pStyle w:val="Bullets"/>
        <w:numPr>
          <w:ilvl w:val="0"/>
          <w:numId w:val="9"/>
        </w:numPr>
        <w:spacing w:before="120"/>
        <w:jc w:val="left"/>
      </w:pPr>
      <w:r>
        <w:rPr>
          <w:b/>
        </w:rPr>
        <w:t>Post-border</w:t>
      </w:r>
      <w:r>
        <w:t xml:space="preserve"> coordinates pest and disease preparedness, emergency responses and liaison on inter- and intra-state quarantine arrangements for the Australian Government, in conjunction with Australia’s state and territory governments.</w:t>
      </w:r>
    </w:p>
    <w:p w14:paraId="41ED2FA7" w14:textId="77777777" w:rsidR="009D3DC8" w:rsidRDefault="009D3DC8">
      <w:pPr>
        <w:pStyle w:val="Heading2a"/>
      </w:pPr>
      <w:r>
        <w:t xml:space="preserve">Roles and responsibilities of </w:t>
      </w:r>
      <w:bookmarkEnd w:id="126"/>
      <w:bookmarkEnd w:id="127"/>
      <w:bookmarkEnd w:id="128"/>
      <w:bookmarkEnd w:id="129"/>
      <w:bookmarkEnd w:id="130"/>
      <w:bookmarkEnd w:id="131"/>
      <w:r>
        <w:t xml:space="preserve">other government agencies </w:t>
      </w:r>
    </w:p>
    <w:p w14:paraId="4349EEB6" w14:textId="77777777" w:rsidR="009D3DC8" w:rsidRDefault="009D3DC8">
      <w:pPr>
        <w:spacing w:before="180" w:line="280" w:lineRule="atLeast"/>
        <w:rPr>
          <w:rFonts w:ascii="Times New Roman" w:hAnsi="Times New Roman"/>
          <w:sz w:val="24"/>
        </w:rPr>
      </w:pPr>
      <w:r>
        <w:rPr>
          <w:rFonts w:ascii="Times New Roman" w:hAnsi="Times New Roman"/>
          <w:sz w:val="24"/>
        </w:rPr>
        <w:t>State and territory governments play a vital role in the quarantine continuum. The Department works in partnership with state and territory governments to address regional differences in pest and disease status and risk within Australia, and develops appropriate sanitary and phytosanitary measures to account for those differences. Australia’s partnership approach to quarantine is supported by a formal Memorandum of Understanding that provides for consultation between the Australian Government and the state and territory governments.</w:t>
      </w:r>
    </w:p>
    <w:p w14:paraId="06579C2E" w14:textId="77777777" w:rsidR="009D3DC8" w:rsidRDefault="009D3DC8">
      <w:pPr>
        <w:spacing w:before="180" w:line="280" w:lineRule="atLeast"/>
        <w:rPr>
          <w:rFonts w:ascii="Times New Roman" w:hAnsi="Times New Roman"/>
          <w:sz w:val="24"/>
        </w:rPr>
      </w:pPr>
      <w:r>
        <w:rPr>
          <w:rFonts w:ascii="Times New Roman" w:hAnsi="Times New Roman"/>
          <w:sz w:val="24"/>
        </w:rPr>
        <w:t>Depending on the nature of the good being imported or proposed for importation, DAFF Biosecurity may consult other Australian Government authorities or agencies in developing its recommendations and providing advice.</w:t>
      </w:r>
    </w:p>
    <w:p w14:paraId="6A0F3EF1" w14:textId="77777777" w:rsidR="009D3DC8" w:rsidRDefault="009D3DC8">
      <w:pPr>
        <w:spacing w:before="180" w:line="280" w:lineRule="atLeast"/>
        <w:rPr>
          <w:rFonts w:ascii="Times New Roman" w:hAnsi="Times New Roman"/>
          <w:sz w:val="24"/>
        </w:rPr>
      </w:pPr>
      <w:r>
        <w:rPr>
          <w:rFonts w:ascii="Times New Roman" w:hAnsi="Times New Roman"/>
          <w:sz w:val="24"/>
        </w:rPr>
        <w:t>As well as a Director of Animal and Plant Quarantine, the Act provides for a Director of Human Quarantine. The Australian Government Department of Health and Ageing is responsible for human health aspects of quarantine and Australia’s Chief Medical Officer within that Department holds the position of Director of Human Quarantine. DAFF Biosecurity may, where appropriate, consult with that Department on relevant matters that may have implications for human health.</w:t>
      </w:r>
    </w:p>
    <w:p w14:paraId="65EE8029" w14:textId="77777777" w:rsidR="009D3DC8" w:rsidRDefault="009D3DC8">
      <w:pPr>
        <w:spacing w:before="180" w:line="280" w:lineRule="atLeast"/>
        <w:rPr>
          <w:rFonts w:ascii="Times New Roman" w:hAnsi="Times New Roman"/>
          <w:sz w:val="24"/>
        </w:rPr>
      </w:pPr>
      <w:r>
        <w:rPr>
          <w:rFonts w:ascii="Times New Roman" w:hAnsi="Times New Roman"/>
          <w:sz w:val="24"/>
        </w:rPr>
        <w:lastRenderedPageBreak/>
        <w:t>The Act also requires the Director of Animal and Plant Quarantine, before making certain decisions, to request advice from the Environment Minister and to take the advice into account when making those decisions. The Australian Government Department of Sustainability, Environment, Water, Population and Communities (DSEWPaC) is responsible under the Environment Protection and Biodiversity Conservation Act 1999 for assessing the environmental impact associated with proposals to import live species. Anyone proposing to import such material should contact DSEWPaC directly for further information.</w:t>
      </w:r>
    </w:p>
    <w:p w14:paraId="09B79238" w14:textId="77777777" w:rsidR="009D3DC8" w:rsidRDefault="009D3DC8">
      <w:pPr>
        <w:spacing w:before="180" w:line="280" w:lineRule="atLeast"/>
        <w:rPr>
          <w:rFonts w:ascii="Times New Roman" w:hAnsi="Times New Roman"/>
          <w:sz w:val="24"/>
        </w:rPr>
      </w:pPr>
      <w:r>
        <w:rPr>
          <w:rFonts w:ascii="Times New Roman" w:hAnsi="Times New Roman"/>
          <w:sz w:val="24"/>
        </w:rPr>
        <w:t>When undertaking risk analyses, DAFF Biosecurity consults with DSEWPaC about environmental issues and may use or refer to DSEWPaC’s assessment.</w:t>
      </w:r>
    </w:p>
    <w:p w14:paraId="62712258" w14:textId="77777777" w:rsidR="009D3DC8" w:rsidRDefault="009D3DC8">
      <w:pPr>
        <w:pStyle w:val="Heading2a"/>
      </w:pPr>
      <w:bookmarkStart w:id="134" w:name="_Toc522091176"/>
      <w:bookmarkStart w:id="135" w:name="_Toc524315829"/>
      <w:r>
        <w:t>Australian quarantine legislation</w:t>
      </w:r>
    </w:p>
    <w:p w14:paraId="293F660F" w14:textId="77777777" w:rsidR="009D3DC8" w:rsidRDefault="009D3DC8">
      <w:pPr>
        <w:spacing w:before="180" w:line="280" w:lineRule="atLeast"/>
        <w:rPr>
          <w:rFonts w:ascii="Times New Roman" w:hAnsi="Times New Roman"/>
          <w:sz w:val="24"/>
        </w:rPr>
      </w:pPr>
      <w:r>
        <w:rPr>
          <w:rFonts w:ascii="Times New Roman" w:hAnsi="Times New Roman"/>
          <w:sz w:val="24"/>
        </w:rPr>
        <w:t>The Australian quarantine system is supported by Commonwealth, state and territory quarantine laws. Under the Australian Constitution, the Commonwealth Government does not have exclusive power to make laws in relation to quarantine, and as a result, Commonwealth and state quarantine laws can co-exist.</w:t>
      </w:r>
    </w:p>
    <w:p w14:paraId="003B09FF"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Commonwealth quarantine laws are contained in the </w:t>
      </w:r>
      <w:r>
        <w:rPr>
          <w:rFonts w:ascii="Times New Roman" w:hAnsi="Times New Roman"/>
          <w:i/>
          <w:sz w:val="24"/>
        </w:rPr>
        <w:t>Quarantine Act 1908</w:t>
      </w:r>
      <w:r>
        <w:rPr>
          <w:rFonts w:ascii="Times New Roman" w:hAnsi="Times New Roman"/>
          <w:sz w:val="24"/>
        </w:rPr>
        <w:t xml:space="preserve"> and subordinate legislation including the Quarantine Regulations 2000, the Quarantine Proclamation 1998, the Quarantine (Cocos Islands) Proclamation 2004 and the Quarantine (Christmas Island) Proclamation 2004.</w:t>
      </w:r>
    </w:p>
    <w:p w14:paraId="73FB261E" w14:textId="77777777" w:rsidR="009D3DC8" w:rsidRDefault="009D3DC8">
      <w:pPr>
        <w:spacing w:before="180" w:line="280" w:lineRule="atLeast"/>
        <w:rPr>
          <w:rFonts w:ascii="Times New Roman" w:hAnsi="Times New Roman"/>
          <w:sz w:val="24"/>
        </w:rPr>
      </w:pPr>
      <w:r>
        <w:rPr>
          <w:rFonts w:ascii="Times New Roman" w:hAnsi="Times New Roman"/>
          <w:sz w:val="24"/>
        </w:rPr>
        <w:t>The quarantine proclamations identify goods, which cannot be imported, into Australia, the Cocos Islands and or Christmas Island unless the Director of Animal and Plant Quarantine or delegate grants an import permit or unless they comply with other conditions specified in the proclamations. Section 70 of the Quarantine Proclamation 1998, section 34 of the Quarantine (Cocos Islands) Proclamation 2004</w:t>
      </w:r>
      <w:r>
        <w:rPr>
          <w:rFonts w:ascii="Times New Roman" w:hAnsi="Times New Roman"/>
          <w:i/>
          <w:sz w:val="24"/>
        </w:rPr>
        <w:t xml:space="preserve"> </w:t>
      </w:r>
      <w:r>
        <w:rPr>
          <w:rFonts w:ascii="Times New Roman" w:hAnsi="Times New Roman"/>
          <w:sz w:val="24"/>
        </w:rPr>
        <w:t>and section 34 of the Quarantine (Christmas Island) Proclamation 2004 specify the things a Director of Animal and Plant Quarantine must take into account when deciding whether to grant a permit.</w:t>
      </w:r>
    </w:p>
    <w:p w14:paraId="04F24CBB" w14:textId="77777777" w:rsidR="009D3DC8" w:rsidRDefault="009D3DC8">
      <w:pPr>
        <w:spacing w:before="180" w:line="280" w:lineRule="atLeast"/>
        <w:rPr>
          <w:rFonts w:ascii="Times New Roman" w:hAnsi="Times New Roman"/>
          <w:sz w:val="24"/>
        </w:rPr>
      </w:pPr>
      <w:r>
        <w:rPr>
          <w:rFonts w:ascii="Times New Roman" w:hAnsi="Times New Roman"/>
          <w:sz w:val="24"/>
        </w:rPr>
        <w:t>In particular, a Director of Animal and Plant Quarantine (or delegate):</w:t>
      </w:r>
    </w:p>
    <w:p w14:paraId="5E765F26" w14:textId="77777777" w:rsidR="009D3DC8" w:rsidRDefault="009D3DC8">
      <w:pPr>
        <w:pStyle w:val="Bullets"/>
        <w:numPr>
          <w:ilvl w:val="0"/>
          <w:numId w:val="9"/>
        </w:numPr>
        <w:spacing w:before="120"/>
        <w:jc w:val="left"/>
      </w:pPr>
      <w:r>
        <w:t>must consider the level of quarantine risk if the permit were granted, and</w:t>
      </w:r>
    </w:p>
    <w:p w14:paraId="7E2D1E00" w14:textId="77777777" w:rsidR="009D3DC8" w:rsidRDefault="009D3DC8">
      <w:pPr>
        <w:pStyle w:val="Bullets"/>
        <w:numPr>
          <w:ilvl w:val="0"/>
          <w:numId w:val="9"/>
        </w:numPr>
        <w:spacing w:before="120"/>
        <w:jc w:val="left"/>
      </w:pPr>
      <w:r>
        <w:t>must consider whether, if the permit were granted, the imposition of conditions would be necessary to limit the level of quarantine risk to one that is acceptably low, and</w:t>
      </w:r>
    </w:p>
    <w:p w14:paraId="23E4E71A" w14:textId="77777777" w:rsidR="009D3DC8" w:rsidRDefault="009D3DC8">
      <w:pPr>
        <w:pStyle w:val="Bullets"/>
        <w:numPr>
          <w:ilvl w:val="0"/>
          <w:numId w:val="9"/>
        </w:numPr>
        <w:spacing w:before="120"/>
        <w:jc w:val="left"/>
      </w:pPr>
      <w:r>
        <w:t xml:space="preserve">for a permit to import a seed of a plant that was produced by genetic manipulation – must take into account any risk assessment prepared, and any decision made, in relation to the seed under the Gene Technology Act, and </w:t>
      </w:r>
    </w:p>
    <w:p w14:paraId="1F82A916" w14:textId="77777777" w:rsidR="009D3DC8" w:rsidRDefault="009D3DC8">
      <w:pPr>
        <w:pStyle w:val="Bullets"/>
        <w:numPr>
          <w:ilvl w:val="0"/>
          <w:numId w:val="9"/>
        </w:numPr>
        <w:spacing w:before="120"/>
        <w:jc w:val="left"/>
      </w:pPr>
      <w:r>
        <w:t>may take into account anything else that he or she knows is relevant.</w:t>
      </w:r>
    </w:p>
    <w:p w14:paraId="729D8642" w14:textId="77777777" w:rsidR="009D3DC8" w:rsidRDefault="009D3DC8">
      <w:pPr>
        <w:spacing w:before="180" w:line="280" w:lineRule="atLeast"/>
        <w:rPr>
          <w:rFonts w:ascii="Times New Roman" w:hAnsi="Times New Roman"/>
          <w:snapToGrid w:val="0"/>
          <w:sz w:val="24"/>
        </w:rPr>
      </w:pPr>
      <w:r>
        <w:rPr>
          <w:rFonts w:ascii="Times New Roman" w:hAnsi="Times New Roman"/>
          <w:sz w:val="24"/>
        </w:rPr>
        <w:t>The</w:t>
      </w:r>
      <w:r>
        <w:rPr>
          <w:rFonts w:ascii="Times New Roman" w:hAnsi="Times New Roman"/>
          <w:snapToGrid w:val="0"/>
          <w:sz w:val="24"/>
        </w:rPr>
        <w:t xml:space="preserve"> level of quarantine risk is defined in section 5D of the </w:t>
      </w:r>
      <w:r>
        <w:rPr>
          <w:rFonts w:ascii="Times New Roman" w:hAnsi="Times New Roman"/>
          <w:i/>
          <w:snapToGrid w:val="0"/>
          <w:sz w:val="24"/>
        </w:rPr>
        <w:t>Quarantine Act 1908</w:t>
      </w:r>
      <w:r>
        <w:rPr>
          <w:rFonts w:ascii="Times New Roman" w:hAnsi="Times New Roman"/>
          <w:snapToGrid w:val="0"/>
          <w:sz w:val="24"/>
        </w:rPr>
        <w:t>. The definition is as follows:</w:t>
      </w:r>
    </w:p>
    <w:p w14:paraId="203486F1" w14:textId="77777777" w:rsidR="009D3DC8" w:rsidRDefault="009D3DC8">
      <w:pPr>
        <w:pStyle w:val="Quote"/>
        <w:spacing w:before="180" w:after="0" w:line="280" w:lineRule="atLeast"/>
        <w:rPr>
          <w:rFonts w:ascii="Times New Roman" w:hAnsi="Times New Roman"/>
          <w:sz w:val="24"/>
        </w:rPr>
      </w:pPr>
      <w:r>
        <w:rPr>
          <w:rFonts w:ascii="Times New Roman" w:hAnsi="Times New Roman"/>
          <w:sz w:val="24"/>
        </w:rPr>
        <w:t xml:space="preserve">reference in this Act to a </w:t>
      </w:r>
      <w:r>
        <w:rPr>
          <w:rFonts w:ascii="Times New Roman" w:hAnsi="Times New Roman"/>
          <w:i/>
          <w:sz w:val="24"/>
        </w:rPr>
        <w:t>level of quarantine risk</w:t>
      </w:r>
      <w:r>
        <w:rPr>
          <w:rFonts w:ascii="Times New Roman" w:hAnsi="Times New Roman"/>
          <w:sz w:val="24"/>
        </w:rPr>
        <w:t xml:space="preserve"> is a reference to:</w:t>
      </w:r>
    </w:p>
    <w:p w14:paraId="1A2993DC" w14:textId="77777777" w:rsidR="009D3DC8" w:rsidRDefault="009D3DC8">
      <w:pPr>
        <w:pStyle w:val="Quote"/>
        <w:spacing w:before="120" w:after="120"/>
        <w:rPr>
          <w:rFonts w:ascii="Times New Roman" w:hAnsi="Times New Roman"/>
          <w:sz w:val="24"/>
        </w:rPr>
      </w:pPr>
      <w:bookmarkStart w:id="136" w:name="_Toc165806231"/>
      <w:bookmarkStart w:id="137" w:name="_Toc165806317"/>
      <w:bookmarkStart w:id="138" w:name="_Toc165806370"/>
      <w:bookmarkStart w:id="139" w:name="_Toc166307290"/>
      <w:bookmarkStart w:id="140" w:name="_Toc167500923"/>
      <w:bookmarkStart w:id="141" w:name="_Toc167501115"/>
      <w:bookmarkStart w:id="142" w:name="_Toc167501202"/>
      <w:bookmarkStart w:id="143" w:name="_Toc167535226"/>
      <w:bookmarkStart w:id="144" w:name="_Toc168033027"/>
      <w:r>
        <w:rPr>
          <w:rFonts w:ascii="Times New Roman" w:hAnsi="Times New Roman"/>
          <w:sz w:val="24"/>
        </w:rPr>
        <w:t>(a)</w:t>
      </w:r>
      <w:r>
        <w:rPr>
          <w:rFonts w:ascii="Times New Roman" w:hAnsi="Times New Roman"/>
          <w:sz w:val="24"/>
        </w:rPr>
        <w:tab/>
        <w:t>the probability of:</w:t>
      </w:r>
      <w:bookmarkEnd w:id="136"/>
      <w:bookmarkEnd w:id="137"/>
      <w:bookmarkEnd w:id="138"/>
      <w:bookmarkEnd w:id="139"/>
      <w:bookmarkEnd w:id="140"/>
      <w:bookmarkEnd w:id="141"/>
      <w:bookmarkEnd w:id="142"/>
      <w:bookmarkEnd w:id="143"/>
      <w:bookmarkEnd w:id="144"/>
    </w:p>
    <w:p w14:paraId="481A1D43" w14:textId="77777777" w:rsidR="009D3DC8" w:rsidRDefault="009D3DC8">
      <w:pPr>
        <w:pStyle w:val="Quote"/>
        <w:spacing w:before="120" w:after="120"/>
        <w:ind w:left="2160" w:hanging="720"/>
        <w:rPr>
          <w:rFonts w:ascii="Times New Roman" w:hAnsi="Times New Roman"/>
          <w:sz w:val="24"/>
        </w:rPr>
      </w:pPr>
      <w:r>
        <w:rPr>
          <w:rFonts w:ascii="Times New Roman" w:hAnsi="Times New Roman"/>
          <w:sz w:val="24"/>
        </w:rPr>
        <w:t>(i)</w:t>
      </w:r>
      <w:r>
        <w:rPr>
          <w:rFonts w:ascii="Times New Roman" w:hAnsi="Times New Roman"/>
          <w:sz w:val="24"/>
        </w:rPr>
        <w:tab/>
        <w:t>a disease or pest being introduced, established or spread in Australia, the Cocos Islands or Christmas Island; and</w:t>
      </w:r>
    </w:p>
    <w:p w14:paraId="2CE171FA" w14:textId="77777777" w:rsidR="009D3DC8" w:rsidRDefault="009D3DC8">
      <w:pPr>
        <w:pStyle w:val="Quote"/>
        <w:spacing w:before="120" w:after="120"/>
        <w:ind w:left="2160" w:hanging="720"/>
        <w:rPr>
          <w:rFonts w:ascii="Times New Roman" w:hAnsi="Times New Roman"/>
          <w:sz w:val="24"/>
        </w:rPr>
      </w:pPr>
      <w:r>
        <w:rPr>
          <w:rFonts w:ascii="Times New Roman" w:hAnsi="Times New Roman"/>
          <w:sz w:val="24"/>
        </w:rPr>
        <w:lastRenderedPageBreak/>
        <w:t>(ii)</w:t>
      </w:r>
      <w:r>
        <w:rPr>
          <w:rFonts w:ascii="Times New Roman" w:hAnsi="Times New Roman"/>
          <w:sz w:val="24"/>
        </w:rPr>
        <w:tab/>
        <w:t>the disease or pest causing harm to human beings, animals, plants, other aspects of the environment, or economic activities; and</w:t>
      </w:r>
    </w:p>
    <w:p w14:paraId="5FDE471B" w14:textId="77777777" w:rsidR="009D3DC8" w:rsidRDefault="009D3DC8">
      <w:pPr>
        <w:pStyle w:val="Quote"/>
        <w:spacing w:before="120" w:after="120"/>
        <w:rPr>
          <w:rFonts w:ascii="Times New Roman" w:hAnsi="Times New Roman"/>
          <w:sz w:val="24"/>
        </w:rPr>
      </w:pPr>
      <w:r>
        <w:rPr>
          <w:rFonts w:ascii="Times New Roman" w:hAnsi="Times New Roman"/>
          <w:sz w:val="24"/>
        </w:rPr>
        <w:t>(b)</w:t>
      </w:r>
      <w:r>
        <w:rPr>
          <w:rFonts w:ascii="Times New Roman" w:hAnsi="Times New Roman"/>
          <w:sz w:val="24"/>
        </w:rPr>
        <w:tab/>
        <w:t>the probable extent of the harm.</w:t>
      </w:r>
    </w:p>
    <w:p w14:paraId="6D5AB4FE" w14:textId="77777777" w:rsidR="009D3DC8" w:rsidRDefault="009D3DC8">
      <w:pPr>
        <w:spacing w:before="180" w:line="280" w:lineRule="atLeast"/>
        <w:rPr>
          <w:rFonts w:ascii="Times New Roman" w:hAnsi="Times New Roman"/>
          <w:sz w:val="24"/>
        </w:rPr>
      </w:pPr>
      <w:r>
        <w:rPr>
          <w:rFonts w:ascii="Times New Roman" w:hAnsi="Times New Roman"/>
          <w:sz w:val="24"/>
        </w:rPr>
        <w:t>The Quarantine Regulations 2000 were amended in 2007 to regulate keys steps of the import risk analysis process. The Regulations:</w:t>
      </w:r>
    </w:p>
    <w:p w14:paraId="4BDE5A7A" w14:textId="77777777" w:rsidR="009D3DC8" w:rsidRDefault="009D3DC8">
      <w:pPr>
        <w:pStyle w:val="Bullets"/>
        <w:numPr>
          <w:ilvl w:val="0"/>
          <w:numId w:val="9"/>
        </w:numPr>
        <w:spacing w:before="120"/>
        <w:jc w:val="left"/>
      </w:pPr>
      <w:r>
        <w:t>define both a standard and an expanded IRA;</w:t>
      </w:r>
    </w:p>
    <w:p w14:paraId="2C41CADF" w14:textId="77777777" w:rsidR="009D3DC8" w:rsidRDefault="009D3DC8">
      <w:pPr>
        <w:pStyle w:val="Bullets"/>
        <w:numPr>
          <w:ilvl w:val="0"/>
          <w:numId w:val="9"/>
        </w:numPr>
        <w:spacing w:before="120"/>
        <w:jc w:val="left"/>
      </w:pPr>
      <w:r>
        <w:t>identify certain steps, which must be included in each type of IRA;</w:t>
      </w:r>
    </w:p>
    <w:p w14:paraId="73108A9A" w14:textId="77777777" w:rsidR="009D3DC8" w:rsidRDefault="009D3DC8">
      <w:pPr>
        <w:pStyle w:val="Bullets"/>
        <w:numPr>
          <w:ilvl w:val="0"/>
          <w:numId w:val="9"/>
        </w:numPr>
        <w:spacing w:before="120"/>
        <w:jc w:val="left"/>
      </w:pPr>
      <w:r>
        <w:t>specify time limits for certain steps and overall timeframes for the completion of IRAs (up to 24 months for a standard IRA and up to 30 months for an expanded IRA);</w:t>
      </w:r>
    </w:p>
    <w:p w14:paraId="5CA21B9F" w14:textId="77777777" w:rsidR="009D3DC8" w:rsidRDefault="009D3DC8">
      <w:pPr>
        <w:pStyle w:val="Bullets"/>
        <w:numPr>
          <w:ilvl w:val="0"/>
          <w:numId w:val="9"/>
        </w:numPr>
        <w:spacing w:before="120"/>
        <w:jc w:val="left"/>
      </w:pPr>
      <w:r>
        <w:t>specify publication requirements;</w:t>
      </w:r>
    </w:p>
    <w:p w14:paraId="520A8F55" w14:textId="77777777" w:rsidR="009D3DC8" w:rsidRDefault="009D3DC8">
      <w:pPr>
        <w:pStyle w:val="Bullets"/>
        <w:numPr>
          <w:ilvl w:val="0"/>
          <w:numId w:val="9"/>
        </w:numPr>
        <w:spacing w:before="120"/>
        <w:jc w:val="left"/>
      </w:pPr>
      <w:r>
        <w:t>make provision for termination of an IRA; and</w:t>
      </w:r>
    </w:p>
    <w:p w14:paraId="7A299148" w14:textId="77777777" w:rsidR="009D3DC8" w:rsidRDefault="009D3DC8">
      <w:pPr>
        <w:pStyle w:val="Bullets"/>
        <w:numPr>
          <w:ilvl w:val="0"/>
          <w:numId w:val="9"/>
        </w:numPr>
        <w:spacing w:before="120"/>
        <w:jc w:val="left"/>
      </w:pPr>
      <w:r>
        <w:t>allow for a partially completed risk analysis to be completed as an IRA under the Regulations.</w:t>
      </w:r>
    </w:p>
    <w:p w14:paraId="27B77C75" w14:textId="77777777" w:rsidR="009D3DC8" w:rsidRDefault="009D3DC8">
      <w:pPr>
        <w:spacing w:before="180" w:line="280" w:lineRule="atLeast"/>
        <w:rPr>
          <w:rFonts w:ascii="Times New Roman" w:hAnsi="Times New Roman"/>
          <w:sz w:val="24"/>
        </w:rPr>
      </w:pPr>
      <w:r>
        <w:rPr>
          <w:rFonts w:ascii="Times New Roman" w:hAnsi="Times New Roman"/>
          <w:sz w:val="24"/>
        </w:rPr>
        <w:t>The Regulations are available at http://www.comlaw.gov.au</w:t>
      </w:r>
    </w:p>
    <w:p w14:paraId="452E4D60" w14:textId="77777777" w:rsidR="009D3DC8" w:rsidRDefault="009D3DC8">
      <w:pPr>
        <w:pStyle w:val="Heading2a"/>
      </w:pPr>
      <w:bookmarkStart w:id="145" w:name="_Toc28146238"/>
      <w:bookmarkStart w:id="146" w:name="_Toc28146482"/>
      <w:bookmarkStart w:id="147" w:name="_Toc28146617"/>
      <w:bookmarkStart w:id="148" w:name="_Toc29953269"/>
      <w:r>
        <w:t>International agreements and standards</w:t>
      </w:r>
      <w:bookmarkEnd w:id="134"/>
      <w:bookmarkEnd w:id="135"/>
      <w:bookmarkEnd w:id="145"/>
      <w:bookmarkEnd w:id="146"/>
      <w:bookmarkEnd w:id="147"/>
      <w:bookmarkEnd w:id="148"/>
      <w:r>
        <w:t xml:space="preserve"> </w:t>
      </w:r>
    </w:p>
    <w:p w14:paraId="1C5B308C" w14:textId="77777777" w:rsidR="009D3DC8" w:rsidRDefault="009D3DC8">
      <w:pPr>
        <w:spacing w:before="180" w:line="280" w:lineRule="atLeast"/>
        <w:rPr>
          <w:rFonts w:ascii="Times New Roman" w:hAnsi="Times New Roman"/>
          <w:sz w:val="24"/>
        </w:rPr>
      </w:pPr>
      <w:r>
        <w:rPr>
          <w:rFonts w:ascii="Times New Roman" w:hAnsi="Times New Roman"/>
          <w:sz w:val="24"/>
        </w:rPr>
        <w:t xml:space="preserve">The process set out in the </w:t>
      </w:r>
      <w:r>
        <w:rPr>
          <w:rFonts w:ascii="Times New Roman" w:hAnsi="Times New Roman"/>
          <w:i/>
          <w:sz w:val="24"/>
        </w:rPr>
        <w:t>Import Risk Analysis Handbook 2011</w:t>
      </w:r>
      <w:r>
        <w:rPr>
          <w:rFonts w:ascii="Times New Roman" w:hAnsi="Times New Roman"/>
          <w:sz w:val="24"/>
        </w:rPr>
        <w:t xml:space="preserve"> is consistent with Australia’s international obligations under the SPS Agreement. It also takes into account relevant international standards on risk assessment developed under the International Plant Protection Convention (IPPC) and by the World Organisation for Animal Health (OIE).</w:t>
      </w:r>
    </w:p>
    <w:p w14:paraId="71622813" w14:textId="77777777" w:rsidR="009D3DC8" w:rsidRDefault="009D3DC8">
      <w:pPr>
        <w:spacing w:before="180" w:line="280" w:lineRule="atLeast"/>
        <w:rPr>
          <w:rFonts w:ascii="Times New Roman" w:hAnsi="Times New Roman"/>
          <w:sz w:val="24"/>
        </w:rPr>
      </w:pPr>
      <w:r>
        <w:rPr>
          <w:rFonts w:ascii="Times New Roman" w:hAnsi="Times New Roman"/>
          <w:sz w:val="24"/>
        </w:rPr>
        <w:t>Australia bases its national risk management measures on international standards where they exist and when they achieve Australia’s ALOP. Otherwise, Australia exercises its right under the SPS Agreement to apply science-based sanitary and phytosanitary measures that are not more trade restrictive than required to achieve Australia’s ALOP.</w:t>
      </w:r>
    </w:p>
    <w:p w14:paraId="5DA84A1A" w14:textId="77777777" w:rsidR="009D3DC8" w:rsidRDefault="009D3DC8">
      <w:pPr>
        <w:pStyle w:val="Heading2a"/>
      </w:pPr>
      <w:bookmarkStart w:id="149" w:name="_Toc524315832"/>
      <w:bookmarkStart w:id="150" w:name="_Toc28146240"/>
      <w:bookmarkStart w:id="151" w:name="_Toc28146484"/>
      <w:bookmarkStart w:id="152" w:name="_Toc28146618"/>
      <w:bookmarkStart w:id="153" w:name="_Toc29953270"/>
      <w:r>
        <w:t>Notification obligations</w:t>
      </w:r>
      <w:bookmarkEnd w:id="149"/>
      <w:bookmarkEnd w:id="150"/>
      <w:bookmarkEnd w:id="151"/>
      <w:bookmarkEnd w:id="152"/>
      <w:bookmarkEnd w:id="153"/>
    </w:p>
    <w:p w14:paraId="1C2FA230" w14:textId="77777777" w:rsidR="009D3DC8" w:rsidRDefault="009D3DC8">
      <w:pPr>
        <w:spacing w:before="180" w:line="280" w:lineRule="atLeast"/>
        <w:rPr>
          <w:rFonts w:ascii="Times New Roman" w:hAnsi="Times New Roman"/>
          <w:sz w:val="24"/>
        </w:rPr>
      </w:pPr>
      <w:r>
        <w:rPr>
          <w:rFonts w:ascii="Times New Roman" w:hAnsi="Times New Roman"/>
          <w:sz w:val="24"/>
        </w:rPr>
        <w:t>Under the transparency provisions of the SPS Agreement, WTO Members are required, among other things, to notify other members of proposed sanitary or phytosanitary regulations, or changes to existing regulations, that are not substantially the same as the content of an international standard and that may have a significant effect on trade of other WTO Members.</w:t>
      </w:r>
    </w:p>
    <w:bookmarkEnd w:id="132"/>
    <w:bookmarkEnd w:id="133"/>
    <w:p w14:paraId="6A6DBDA3" w14:textId="77777777" w:rsidR="009D3DC8" w:rsidRDefault="009D3DC8">
      <w:pPr>
        <w:pStyle w:val="Heading2a"/>
      </w:pPr>
      <w:r>
        <w:t>Risk analysis</w:t>
      </w:r>
    </w:p>
    <w:p w14:paraId="0F110AE2" w14:textId="77777777" w:rsidR="009D3DC8" w:rsidRDefault="009D3DC8">
      <w:pPr>
        <w:spacing w:before="180" w:line="280" w:lineRule="atLeast"/>
        <w:rPr>
          <w:rFonts w:ascii="Times New Roman" w:hAnsi="Times New Roman"/>
          <w:sz w:val="24"/>
        </w:rPr>
      </w:pPr>
      <w:r>
        <w:rPr>
          <w:rFonts w:ascii="Times New Roman" w:hAnsi="Times New Roman"/>
          <w:sz w:val="24"/>
        </w:rPr>
        <w:t>Within Australia’s quarantine framework, the Australian Government uses risk analyses to assist it in considering the level of quarantine risk that may be associated with the importation or proposed importation of animals, plants or other goods.</w:t>
      </w:r>
    </w:p>
    <w:p w14:paraId="1BDB2C76" w14:textId="77777777" w:rsidR="009D3DC8" w:rsidRDefault="009D3DC8">
      <w:pPr>
        <w:spacing w:before="180" w:line="280" w:lineRule="atLeast"/>
        <w:rPr>
          <w:rFonts w:ascii="Times New Roman" w:hAnsi="Times New Roman"/>
          <w:sz w:val="24"/>
        </w:rPr>
      </w:pPr>
      <w:r>
        <w:rPr>
          <w:rFonts w:ascii="Times New Roman" w:hAnsi="Times New Roman"/>
          <w:sz w:val="24"/>
        </w:rPr>
        <w:t>In conducting a risk analysis, DAFF Biosecurity:</w:t>
      </w:r>
    </w:p>
    <w:p w14:paraId="424572B9" w14:textId="77777777" w:rsidR="009D3DC8" w:rsidRDefault="009D3DC8">
      <w:pPr>
        <w:pStyle w:val="Bullets"/>
        <w:numPr>
          <w:ilvl w:val="0"/>
          <w:numId w:val="9"/>
        </w:numPr>
        <w:spacing w:before="120"/>
        <w:jc w:val="left"/>
      </w:pPr>
      <w:r>
        <w:t>identifies the pests and diseases of quarantine concern that may be carried by the good</w:t>
      </w:r>
    </w:p>
    <w:p w14:paraId="7D4F0476" w14:textId="77777777" w:rsidR="009D3DC8" w:rsidRDefault="009D3DC8">
      <w:pPr>
        <w:pStyle w:val="Bullets"/>
        <w:numPr>
          <w:ilvl w:val="0"/>
          <w:numId w:val="9"/>
        </w:numPr>
        <w:spacing w:before="120"/>
        <w:jc w:val="left"/>
      </w:pPr>
      <w:r>
        <w:lastRenderedPageBreak/>
        <w:t>assesses the likelihood that an identified pest or disease or pest would enter, establish or spread</w:t>
      </w:r>
    </w:p>
    <w:p w14:paraId="5B6B1A3A" w14:textId="77777777" w:rsidR="009D3DC8" w:rsidRDefault="009D3DC8">
      <w:pPr>
        <w:pStyle w:val="Bullets"/>
        <w:numPr>
          <w:ilvl w:val="0"/>
          <w:numId w:val="9"/>
        </w:numPr>
        <w:spacing w:before="120"/>
        <w:jc w:val="left"/>
      </w:pPr>
      <w:r>
        <w:t>assesses the probable extent of the harm that would result.</w:t>
      </w:r>
    </w:p>
    <w:p w14:paraId="36DA0A8C" w14:textId="77777777" w:rsidR="009D3DC8" w:rsidRDefault="009D3DC8">
      <w:pPr>
        <w:spacing w:before="180" w:line="280" w:lineRule="atLeast"/>
        <w:rPr>
          <w:rFonts w:ascii="Times New Roman" w:hAnsi="Times New Roman"/>
          <w:sz w:val="24"/>
        </w:rPr>
      </w:pPr>
      <w:r>
        <w:rPr>
          <w:rFonts w:ascii="Times New Roman" w:hAnsi="Times New Roman"/>
          <w:sz w:val="24"/>
        </w:rPr>
        <w:t>If the assessed level of quarantine risk exceeds Australia’s ALOP, DAFF Biosecurity will consider whether there are any risk management measures that will reduce quarantine risk to achieve the ALOP. If there are no risk management measures that reduce the risk to that level, trade will not be allowed.</w:t>
      </w:r>
    </w:p>
    <w:p w14:paraId="65D370C7" w14:textId="77777777" w:rsidR="009D3DC8" w:rsidRDefault="009D3DC8">
      <w:pPr>
        <w:spacing w:before="180" w:line="280" w:lineRule="atLeast"/>
        <w:rPr>
          <w:rFonts w:ascii="Times New Roman" w:hAnsi="Times New Roman"/>
          <w:sz w:val="24"/>
        </w:rPr>
      </w:pPr>
      <w:r>
        <w:rPr>
          <w:rFonts w:ascii="Times New Roman" w:hAnsi="Times New Roman"/>
          <w:sz w:val="24"/>
        </w:rPr>
        <w:t>Risk analyses may be carried out by DAFF Biosecurity’s specialists, but may also involve relevant experts from state and territory agencies, the Commonwealth Scientific and Industrial Research Organisation (CSIRO), universities and industry to access the technical expertise needed for a particular analysis.</w:t>
      </w:r>
    </w:p>
    <w:p w14:paraId="7B9A6CEA" w14:textId="77777777" w:rsidR="009D3DC8" w:rsidRDefault="009D3DC8">
      <w:pPr>
        <w:spacing w:before="180" w:line="280" w:lineRule="atLeast"/>
        <w:rPr>
          <w:i/>
          <w:sz w:val="24"/>
        </w:rPr>
        <w:sectPr w:rsidR="009D3DC8">
          <w:headerReference w:type="default" r:id="rId61"/>
          <w:type w:val="oddPage"/>
          <w:pgSz w:w="11906" w:h="16838"/>
          <w:pgMar w:top="1440" w:right="1440" w:bottom="1440" w:left="1440" w:header="708" w:footer="708" w:gutter="0"/>
          <w:cols w:space="708"/>
          <w:docGrid w:linePitch="360"/>
        </w:sectPr>
      </w:pPr>
      <w:r>
        <w:rPr>
          <w:rFonts w:ascii="Times New Roman" w:hAnsi="Times New Roman"/>
          <w:sz w:val="24"/>
        </w:rPr>
        <w:t xml:space="preserve">Risk analyses are conducted across a spectrum of scientific complexity and available scientific information. An IRA is a type of risk analysis with key steps regulated under the Quarantine Regulations 2000. DAFF Biosecurity’s assessment of risk may also take the form of a non-regulated analysis of existing policy or technical advice. Further information on the types of risk analysis is provided in the </w:t>
      </w:r>
      <w:r>
        <w:rPr>
          <w:rFonts w:ascii="Times New Roman" w:hAnsi="Times New Roman"/>
          <w:i/>
          <w:sz w:val="24"/>
        </w:rPr>
        <w:t>Import Risk Analysis Handbook 2011.</w:t>
      </w:r>
    </w:p>
    <w:p w14:paraId="6E51390D" w14:textId="77777777" w:rsidR="009D3DC8" w:rsidRDefault="009D3DC8">
      <w:pPr>
        <w:pStyle w:val="Heading1"/>
        <w:numPr>
          <w:ilvl w:val="0"/>
          <w:numId w:val="0"/>
        </w:numPr>
        <w:spacing w:before="120"/>
        <w:ind w:left="720" w:hanging="720"/>
      </w:pPr>
      <w:bookmarkStart w:id="154" w:name="_Toc189039100"/>
      <w:bookmarkStart w:id="155" w:name="_Toc214375741"/>
      <w:bookmarkStart w:id="156" w:name="_Toc261004346"/>
      <w:bookmarkStart w:id="157" w:name="_Toc325618459"/>
      <w:r>
        <w:lastRenderedPageBreak/>
        <w:t>Glossary</w:t>
      </w:r>
      <w:bookmarkEnd w:id="154"/>
      <w:bookmarkEnd w:id="155"/>
      <w:bookmarkEnd w:id="156"/>
      <w:bookmarkEnd w:id="157"/>
    </w:p>
    <w:tbl>
      <w:tblPr>
        <w:tblW w:w="5000" w:type="pct"/>
        <w:tblBorders>
          <w:top w:val="single" w:sz="4" w:space="0" w:color="000000"/>
          <w:left w:val="single" w:sz="4" w:space="0" w:color="auto"/>
          <w:bottom w:val="single" w:sz="4" w:space="0" w:color="000000"/>
          <w:right w:val="single" w:sz="4" w:space="0" w:color="auto"/>
          <w:insideH w:val="single" w:sz="8" w:space="0" w:color="C0C0C0"/>
          <w:insideV w:val="single" w:sz="8" w:space="0" w:color="C0C0C0"/>
        </w:tblBorders>
        <w:tblLayout w:type="fixed"/>
        <w:tblCellMar>
          <w:left w:w="115" w:type="dxa"/>
          <w:right w:w="115" w:type="dxa"/>
        </w:tblCellMar>
        <w:tblLook w:val="00BF" w:firstRow="1" w:lastRow="0" w:firstColumn="1" w:lastColumn="0" w:noHBand="0" w:noVBand="0"/>
      </w:tblPr>
      <w:tblGrid>
        <w:gridCol w:w="2223"/>
        <w:gridCol w:w="7033"/>
      </w:tblGrid>
      <w:tr w:rsidR="009D3DC8" w14:paraId="12F75AC4" w14:textId="77777777">
        <w:trPr>
          <w:cantSplit/>
          <w:tblHeader/>
        </w:trPr>
        <w:tc>
          <w:tcPr>
            <w:tcW w:w="2223" w:type="dxa"/>
            <w:shd w:val="clear" w:color="auto" w:fill="E6E6E6"/>
          </w:tcPr>
          <w:p w14:paraId="3D06A53A" w14:textId="77777777" w:rsidR="009D3DC8" w:rsidRDefault="009D3DC8">
            <w:pPr>
              <w:pStyle w:val="TableText1"/>
              <w:rPr>
                <w:rFonts w:ascii="Arial" w:hAnsi="Arial" w:cs="Arial"/>
                <w:b/>
                <w:bCs/>
              </w:rPr>
            </w:pPr>
            <w:r>
              <w:rPr>
                <w:rFonts w:ascii="Arial" w:hAnsi="Arial" w:cs="Arial"/>
                <w:b/>
                <w:bCs/>
              </w:rPr>
              <w:t>Term or abbreviation</w:t>
            </w:r>
          </w:p>
        </w:tc>
        <w:tc>
          <w:tcPr>
            <w:tcW w:w="7033" w:type="dxa"/>
            <w:shd w:val="clear" w:color="auto" w:fill="E6E6E6"/>
          </w:tcPr>
          <w:p w14:paraId="42FD8580" w14:textId="77777777" w:rsidR="009D3DC8" w:rsidRDefault="009D3DC8">
            <w:pPr>
              <w:pStyle w:val="TableText1"/>
              <w:rPr>
                <w:rFonts w:ascii="Arial" w:hAnsi="Arial" w:cs="Arial"/>
                <w:b/>
                <w:bCs/>
              </w:rPr>
            </w:pPr>
            <w:r>
              <w:rPr>
                <w:rFonts w:ascii="Arial" w:hAnsi="Arial" w:cs="Arial"/>
                <w:b/>
                <w:bCs/>
              </w:rPr>
              <w:t>Definition</w:t>
            </w:r>
          </w:p>
        </w:tc>
      </w:tr>
      <w:tr w:rsidR="009D3DC8" w14:paraId="682CE626" w14:textId="77777777">
        <w:trPr>
          <w:cantSplit/>
        </w:trPr>
        <w:tc>
          <w:tcPr>
            <w:tcW w:w="2223" w:type="dxa"/>
          </w:tcPr>
          <w:p w14:paraId="3661CDD2" w14:textId="77777777" w:rsidR="009D3DC8" w:rsidRDefault="009D3DC8">
            <w:pPr>
              <w:pStyle w:val="TableText1"/>
              <w:rPr>
                <w:rFonts w:ascii="Arial" w:hAnsi="Arial" w:cs="Arial"/>
                <w:b/>
                <w:bCs/>
              </w:rPr>
            </w:pPr>
            <w:r>
              <w:rPr>
                <w:rFonts w:ascii="Arial" w:hAnsi="Arial" w:cs="Arial"/>
                <w:b/>
                <w:bCs/>
              </w:rPr>
              <w:t>Additional declaration</w:t>
            </w:r>
          </w:p>
        </w:tc>
        <w:tc>
          <w:tcPr>
            <w:tcW w:w="7033" w:type="dxa"/>
          </w:tcPr>
          <w:p w14:paraId="6121C91A" w14:textId="77777777" w:rsidR="009D3DC8" w:rsidRDefault="009D3DC8">
            <w:pPr>
              <w:pStyle w:val="TableText1"/>
              <w:rPr>
                <w:rFonts w:ascii="Arial" w:hAnsi="Arial" w:cs="Arial"/>
              </w:rPr>
            </w:pPr>
            <w:r>
              <w:rPr>
                <w:rFonts w:ascii="Arial" w:hAnsi="Arial" w:cs="Arial"/>
              </w:rPr>
              <w:t>A statement that is required by an importing country to be entered on a phytosanitary certificate and which provides specific additional information on a consignment in relation to regulated pests (FAO 2009).</w:t>
            </w:r>
          </w:p>
        </w:tc>
      </w:tr>
      <w:tr w:rsidR="009D3DC8" w14:paraId="5F4EB4AD" w14:textId="77777777">
        <w:trPr>
          <w:cantSplit/>
        </w:trPr>
        <w:tc>
          <w:tcPr>
            <w:tcW w:w="2223" w:type="dxa"/>
          </w:tcPr>
          <w:p w14:paraId="1D863BBD" w14:textId="77777777" w:rsidR="009D3DC8" w:rsidRDefault="009D3DC8">
            <w:pPr>
              <w:pStyle w:val="TableText1"/>
              <w:rPr>
                <w:rFonts w:ascii="Arial" w:hAnsi="Arial" w:cs="Arial"/>
                <w:b/>
                <w:bCs/>
              </w:rPr>
            </w:pPr>
            <w:r>
              <w:rPr>
                <w:rFonts w:ascii="Arial" w:hAnsi="Arial" w:cs="Arial"/>
                <w:b/>
                <w:bCs/>
              </w:rPr>
              <w:t>Apomixis</w:t>
            </w:r>
          </w:p>
        </w:tc>
        <w:tc>
          <w:tcPr>
            <w:tcW w:w="7033" w:type="dxa"/>
          </w:tcPr>
          <w:p w14:paraId="41AE85C5" w14:textId="77777777" w:rsidR="009D3DC8" w:rsidRDefault="009D3DC8">
            <w:pPr>
              <w:pStyle w:val="TableText1"/>
              <w:rPr>
                <w:rFonts w:ascii="Arial" w:hAnsi="Arial" w:cs="Arial"/>
              </w:rPr>
            </w:pPr>
            <w:r>
              <w:rPr>
                <w:rFonts w:ascii="Arial" w:hAnsi="Arial" w:cs="Arial"/>
              </w:rPr>
              <w:t>Asexual reproduction of plants</w:t>
            </w:r>
          </w:p>
        </w:tc>
      </w:tr>
      <w:tr w:rsidR="009D3DC8" w14:paraId="2E3DC931" w14:textId="77777777">
        <w:trPr>
          <w:cantSplit/>
        </w:trPr>
        <w:tc>
          <w:tcPr>
            <w:tcW w:w="2223" w:type="dxa"/>
          </w:tcPr>
          <w:p w14:paraId="69763014" w14:textId="77777777" w:rsidR="009D3DC8" w:rsidRDefault="009D3DC8">
            <w:pPr>
              <w:pStyle w:val="TableText1"/>
              <w:rPr>
                <w:rFonts w:ascii="Arial" w:hAnsi="Arial" w:cs="Arial"/>
                <w:b/>
                <w:bCs/>
              </w:rPr>
            </w:pPr>
            <w:r>
              <w:rPr>
                <w:rFonts w:ascii="Arial" w:hAnsi="Arial" w:cs="Arial"/>
                <w:b/>
                <w:bCs/>
              </w:rPr>
              <w:t>Appropriate level of protection (ALOP)</w:t>
            </w:r>
          </w:p>
        </w:tc>
        <w:tc>
          <w:tcPr>
            <w:tcW w:w="7033" w:type="dxa"/>
          </w:tcPr>
          <w:p w14:paraId="761F6A4B" w14:textId="77777777" w:rsidR="009D3DC8" w:rsidRDefault="009D3DC8">
            <w:pPr>
              <w:pStyle w:val="TableText1"/>
              <w:rPr>
                <w:rFonts w:ascii="Arial" w:hAnsi="Arial" w:cs="Arial"/>
              </w:rPr>
            </w:pPr>
            <w:r>
              <w:rPr>
                <w:rFonts w:ascii="Arial" w:hAnsi="Arial" w:cs="Arial"/>
              </w:rPr>
              <w:t>The level of protection deemed appropriate by the Member establishing a sanitary or phytosanitary measure to protect human, animal or plant life or health within its territory (WTO 1995).</w:t>
            </w:r>
          </w:p>
        </w:tc>
      </w:tr>
      <w:tr w:rsidR="009D3DC8" w14:paraId="45C3F519" w14:textId="77777777">
        <w:trPr>
          <w:cantSplit/>
        </w:trPr>
        <w:tc>
          <w:tcPr>
            <w:tcW w:w="2223" w:type="dxa"/>
          </w:tcPr>
          <w:p w14:paraId="135C1FB7" w14:textId="77777777" w:rsidR="009D3DC8" w:rsidRDefault="009D3DC8">
            <w:pPr>
              <w:pStyle w:val="TableText1"/>
              <w:rPr>
                <w:rFonts w:ascii="Arial" w:hAnsi="Arial" w:cs="Arial"/>
                <w:b/>
                <w:bCs/>
              </w:rPr>
            </w:pPr>
            <w:r>
              <w:rPr>
                <w:rFonts w:ascii="Arial" w:hAnsi="Arial" w:cs="Arial"/>
                <w:b/>
                <w:bCs/>
              </w:rPr>
              <w:t>Area</w:t>
            </w:r>
          </w:p>
        </w:tc>
        <w:tc>
          <w:tcPr>
            <w:tcW w:w="7033" w:type="dxa"/>
          </w:tcPr>
          <w:p w14:paraId="50396AD3" w14:textId="77777777" w:rsidR="009D3DC8" w:rsidRDefault="009D3DC8">
            <w:pPr>
              <w:pStyle w:val="TableText1"/>
              <w:rPr>
                <w:rFonts w:ascii="Arial" w:hAnsi="Arial" w:cs="Arial"/>
              </w:rPr>
            </w:pPr>
            <w:r>
              <w:rPr>
                <w:rFonts w:ascii="Arial" w:hAnsi="Arial" w:cs="Arial"/>
              </w:rPr>
              <w:t>An officially defined country, part of a country or all or parts of several countries (FAO 2009).</w:t>
            </w:r>
          </w:p>
        </w:tc>
      </w:tr>
      <w:tr w:rsidR="009D3DC8" w14:paraId="3F170176" w14:textId="77777777">
        <w:trPr>
          <w:cantSplit/>
        </w:trPr>
        <w:tc>
          <w:tcPr>
            <w:tcW w:w="2223" w:type="dxa"/>
          </w:tcPr>
          <w:p w14:paraId="099E8EC3" w14:textId="77777777" w:rsidR="009D3DC8" w:rsidRDefault="009D3DC8">
            <w:pPr>
              <w:pStyle w:val="TableText1"/>
              <w:rPr>
                <w:rFonts w:ascii="Arial" w:hAnsi="Arial" w:cs="Arial"/>
                <w:b/>
                <w:bCs/>
              </w:rPr>
            </w:pPr>
            <w:r>
              <w:rPr>
                <w:rFonts w:ascii="Arial" w:hAnsi="Arial" w:cs="Arial"/>
                <w:b/>
                <w:bCs/>
              </w:rPr>
              <w:t>Area of low pest prevalence</w:t>
            </w:r>
          </w:p>
        </w:tc>
        <w:tc>
          <w:tcPr>
            <w:tcW w:w="7033" w:type="dxa"/>
          </w:tcPr>
          <w:p w14:paraId="22D777AE" w14:textId="77777777" w:rsidR="009D3DC8" w:rsidRDefault="009D3DC8">
            <w:pPr>
              <w:pStyle w:val="TableText1"/>
              <w:rPr>
                <w:rFonts w:ascii="Arial" w:hAnsi="Arial" w:cs="Arial"/>
              </w:rPr>
            </w:pPr>
            <w:r>
              <w:rPr>
                <w:rFonts w:ascii="Arial" w:hAnsi="Arial" w:cs="Arial"/>
              </w:rPr>
              <w:t>An area, whether all of a country, part of a country, or all parts of several countries, as identified by the competent authorities, in which a specific pest occurs at low levels and which is subject to effective surveillance, control or eradication measures (FAO 2009).</w:t>
            </w:r>
          </w:p>
        </w:tc>
      </w:tr>
      <w:tr w:rsidR="009D3DC8" w14:paraId="251CD395" w14:textId="77777777">
        <w:trPr>
          <w:cantSplit/>
        </w:trPr>
        <w:tc>
          <w:tcPr>
            <w:tcW w:w="2223" w:type="dxa"/>
          </w:tcPr>
          <w:p w14:paraId="709FEEFF" w14:textId="77777777" w:rsidR="009D3DC8" w:rsidRDefault="009D3DC8">
            <w:pPr>
              <w:pStyle w:val="TableText1"/>
              <w:rPr>
                <w:rFonts w:ascii="Arial" w:hAnsi="Arial" w:cs="Arial"/>
                <w:b/>
                <w:bCs/>
              </w:rPr>
            </w:pPr>
            <w:r>
              <w:rPr>
                <w:rFonts w:ascii="Arial" w:hAnsi="Arial" w:cs="Arial"/>
                <w:b/>
                <w:bCs/>
              </w:rPr>
              <w:t>Aril</w:t>
            </w:r>
          </w:p>
        </w:tc>
        <w:tc>
          <w:tcPr>
            <w:tcW w:w="7033" w:type="dxa"/>
          </w:tcPr>
          <w:p w14:paraId="42A09264" w14:textId="77777777" w:rsidR="009D3DC8" w:rsidRDefault="009D3DC8">
            <w:pPr>
              <w:pStyle w:val="TableText1"/>
              <w:rPr>
                <w:rFonts w:ascii="Arial" w:hAnsi="Arial" w:cs="Arial"/>
              </w:rPr>
            </w:pPr>
            <w:r>
              <w:rPr>
                <w:rFonts w:ascii="Arial" w:hAnsi="Arial" w:cs="Arial"/>
              </w:rPr>
              <w:t>A fleshy, usually brightly coloured cover of a seed</w:t>
            </w:r>
          </w:p>
        </w:tc>
      </w:tr>
      <w:tr w:rsidR="009D3DC8" w14:paraId="3C3B9260" w14:textId="77777777">
        <w:trPr>
          <w:cantSplit/>
        </w:trPr>
        <w:tc>
          <w:tcPr>
            <w:tcW w:w="2223" w:type="dxa"/>
          </w:tcPr>
          <w:p w14:paraId="5DEDB905" w14:textId="77777777" w:rsidR="009D3DC8" w:rsidRDefault="009D3DC8">
            <w:pPr>
              <w:pStyle w:val="TableText1"/>
              <w:rPr>
                <w:rFonts w:ascii="Arial" w:hAnsi="Arial" w:cs="Arial"/>
                <w:b/>
                <w:bCs/>
              </w:rPr>
            </w:pPr>
            <w:r>
              <w:rPr>
                <w:rFonts w:ascii="Arial" w:hAnsi="Arial" w:cs="Arial"/>
                <w:b/>
                <w:bCs/>
              </w:rPr>
              <w:t>Arthropod</w:t>
            </w:r>
          </w:p>
        </w:tc>
        <w:tc>
          <w:tcPr>
            <w:tcW w:w="7033" w:type="dxa"/>
          </w:tcPr>
          <w:p w14:paraId="03DFD002" w14:textId="77777777" w:rsidR="009D3DC8" w:rsidRDefault="009D3DC8">
            <w:pPr>
              <w:pStyle w:val="TableText1"/>
              <w:rPr>
                <w:rFonts w:ascii="Arial" w:hAnsi="Arial" w:cs="Arial"/>
              </w:rPr>
            </w:pPr>
            <w:r>
              <w:rPr>
                <w:rFonts w:ascii="Arial" w:hAnsi="Arial" w:cs="Arial"/>
              </w:rPr>
              <w:t>The largest phylum of animals, including the insects, arachnids and crustaceans</w:t>
            </w:r>
          </w:p>
        </w:tc>
      </w:tr>
      <w:tr w:rsidR="009D3DC8" w14:paraId="3680C27F" w14:textId="77777777">
        <w:trPr>
          <w:cantSplit/>
        </w:trPr>
        <w:tc>
          <w:tcPr>
            <w:tcW w:w="2223" w:type="dxa"/>
          </w:tcPr>
          <w:p w14:paraId="546B48D0" w14:textId="77777777" w:rsidR="009D3DC8" w:rsidRDefault="009D3DC8">
            <w:pPr>
              <w:pStyle w:val="TableText1"/>
              <w:rPr>
                <w:rFonts w:ascii="Arial" w:hAnsi="Arial" w:cs="Arial"/>
                <w:b/>
                <w:bCs/>
              </w:rPr>
            </w:pPr>
            <w:r>
              <w:rPr>
                <w:rFonts w:ascii="Arial" w:hAnsi="Arial" w:cs="Arial"/>
                <w:b/>
                <w:bCs/>
              </w:rPr>
              <w:t>Asexual reproduction</w:t>
            </w:r>
          </w:p>
        </w:tc>
        <w:tc>
          <w:tcPr>
            <w:tcW w:w="7033" w:type="dxa"/>
          </w:tcPr>
          <w:p w14:paraId="32D52888" w14:textId="77777777" w:rsidR="009D3DC8" w:rsidRDefault="009D3DC8">
            <w:pPr>
              <w:pStyle w:val="TableText1"/>
              <w:rPr>
                <w:rFonts w:ascii="Arial" w:hAnsi="Arial" w:cs="Arial"/>
              </w:rPr>
            </w:pPr>
            <w:r>
              <w:rPr>
                <w:rFonts w:ascii="Arial" w:hAnsi="Arial" w:cs="Arial"/>
              </w:rPr>
              <w:t>The development of new individual from a single cell or group of cells in the absence of meiosis</w:t>
            </w:r>
          </w:p>
        </w:tc>
      </w:tr>
      <w:tr w:rsidR="009D3DC8" w14:paraId="3F2C21CE" w14:textId="77777777">
        <w:trPr>
          <w:cantSplit/>
        </w:trPr>
        <w:tc>
          <w:tcPr>
            <w:tcW w:w="2223" w:type="dxa"/>
          </w:tcPr>
          <w:p w14:paraId="04B25ADB" w14:textId="77777777" w:rsidR="009D3DC8" w:rsidRDefault="009D3DC8">
            <w:pPr>
              <w:pStyle w:val="TableText1"/>
              <w:rPr>
                <w:rFonts w:ascii="Arial" w:hAnsi="Arial" w:cs="Arial"/>
                <w:b/>
                <w:bCs/>
              </w:rPr>
            </w:pPr>
            <w:r>
              <w:rPr>
                <w:rFonts w:ascii="Arial" w:hAnsi="Arial" w:cs="Arial"/>
                <w:b/>
                <w:bCs/>
              </w:rPr>
              <w:t xml:space="preserve">Biosecurity </w:t>
            </w:r>
            <w:smartTag w:uri="urn:schemas-microsoft-com:office:smarttags" w:element="country-region">
              <w:smartTag w:uri="urn:schemas-microsoft-com:office:smarttags" w:element="place">
                <w:r>
                  <w:rPr>
                    <w:rFonts w:ascii="Arial" w:hAnsi="Arial" w:cs="Arial"/>
                    <w:b/>
                    <w:bCs/>
                  </w:rPr>
                  <w:t>Australia</w:t>
                </w:r>
              </w:smartTag>
            </w:smartTag>
          </w:p>
        </w:tc>
        <w:tc>
          <w:tcPr>
            <w:tcW w:w="7033" w:type="dxa"/>
          </w:tcPr>
          <w:p w14:paraId="4954396F" w14:textId="77777777" w:rsidR="009D3DC8" w:rsidRDefault="009D3DC8">
            <w:pPr>
              <w:pStyle w:val="TableText1"/>
              <w:rPr>
                <w:rFonts w:ascii="Arial" w:hAnsi="Arial" w:cs="Arial"/>
              </w:rPr>
            </w:pPr>
            <w:r>
              <w:rPr>
                <w:rFonts w:ascii="Arial" w:hAnsi="Arial" w:cs="Arial"/>
                <w:lang w:val="en-GB"/>
              </w:rPr>
              <w:t>The unit, within the Department of Agriculture, Fisheries and Forestry, responsible for recommendations for the development of Australia’s biosecurity policy</w:t>
            </w:r>
            <w:r>
              <w:rPr>
                <w:rFonts w:ascii="Arial" w:hAnsi="Arial" w:cs="Arial"/>
              </w:rPr>
              <w:t>.</w:t>
            </w:r>
          </w:p>
        </w:tc>
      </w:tr>
      <w:tr w:rsidR="009D3DC8" w14:paraId="71F4C7DA" w14:textId="77777777">
        <w:trPr>
          <w:cantSplit/>
        </w:trPr>
        <w:tc>
          <w:tcPr>
            <w:tcW w:w="2223" w:type="dxa"/>
          </w:tcPr>
          <w:p w14:paraId="1B19A472" w14:textId="77777777" w:rsidR="009D3DC8" w:rsidRDefault="009D3DC8">
            <w:pPr>
              <w:pStyle w:val="TableText1"/>
              <w:rPr>
                <w:rFonts w:ascii="Arial" w:hAnsi="Arial" w:cs="Arial"/>
                <w:b/>
                <w:bCs/>
              </w:rPr>
            </w:pPr>
            <w:r>
              <w:rPr>
                <w:rFonts w:ascii="Arial" w:hAnsi="Arial" w:cs="Arial"/>
                <w:b/>
                <w:bCs/>
              </w:rPr>
              <w:t>Calyx</w:t>
            </w:r>
          </w:p>
        </w:tc>
        <w:tc>
          <w:tcPr>
            <w:tcW w:w="7033" w:type="dxa"/>
          </w:tcPr>
          <w:p w14:paraId="41C65D44" w14:textId="77777777" w:rsidR="009D3DC8" w:rsidRDefault="009D3DC8">
            <w:pPr>
              <w:pStyle w:val="TableText1"/>
              <w:rPr>
                <w:rFonts w:ascii="Arial" w:hAnsi="Arial" w:cs="Arial"/>
                <w:lang w:val="en-GB"/>
              </w:rPr>
            </w:pPr>
            <w:r>
              <w:rPr>
                <w:rFonts w:ascii="Arial" w:hAnsi="Arial" w:cs="Arial"/>
                <w:lang w:val="en-GB"/>
              </w:rPr>
              <w:t>A collective term referring to all of the sepals in a flower</w:t>
            </w:r>
          </w:p>
        </w:tc>
      </w:tr>
      <w:tr w:rsidR="009D3DC8" w14:paraId="324FD56D" w14:textId="77777777">
        <w:trPr>
          <w:cantSplit/>
        </w:trPr>
        <w:tc>
          <w:tcPr>
            <w:tcW w:w="2223" w:type="dxa"/>
          </w:tcPr>
          <w:p w14:paraId="56A3E157" w14:textId="77777777" w:rsidR="009D3DC8" w:rsidRDefault="009D3DC8">
            <w:pPr>
              <w:pStyle w:val="TableText1"/>
              <w:rPr>
                <w:rFonts w:ascii="Arial" w:hAnsi="Arial" w:cs="Arial"/>
                <w:b/>
                <w:bCs/>
              </w:rPr>
            </w:pPr>
            <w:r>
              <w:rPr>
                <w:rFonts w:ascii="Arial" w:hAnsi="Arial" w:cs="Arial"/>
                <w:b/>
                <w:bCs/>
              </w:rPr>
              <w:t>Certificate</w:t>
            </w:r>
          </w:p>
        </w:tc>
        <w:tc>
          <w:tcPr>
            <w:tcW w:w="7033" w:type="dxa"/>
          </w:tcPr>
          <w:p w14:paraId="6808BD37" w14:textId="77777777" w:rsidR="009D3DC8" w:rsidRDefault="009D3DC8">
            <w:pPr>
              <w:pStyle w:val="TableText1"/>
              <w:rPr>
                <w:rFonts w:ascii="Arial" w:hAnsi="Arial" w:cs="Arial"/>
                <w:snapToGrid w:val="0"/>
                <w:lang w:val="en-GB"/>
              </w:rPr>
            </w:pPr>
            <w:r>
              <w:rPr>
                <w:rFonts w:ascii="Arial" w:hAnsi="Arial" w:cs="Arial"/>
                <w:snapToGrid w:val="0"/>
                <w:lang w:val="en-GB"/>
              </w:rPr>
              <w:t>An official document which attests to the phytosanitary status of any consignment affected by phytosanitary regulations (FAO 2009).</w:t>
            </w:r>
          </w:p>
        </w:tc>
      </w:tr>
      <w:tr w:rsidR="009D3DC8" w14:paraId="70703776" w14:textId="77777777">
        <w:trPr>
          <w:cantSplit/>
        </w:trPr>
        <w:tc>
          <w:tcPr>
            <w:tcW w:w="2223" w:type="dxa"/>
          </w:tcPr>
          <w:p w14:paraId="3BBB8666" w14:textId="77777777" w:rsidR="009D3DC8" w:rsidRDefault="009D3DC8">
            <w:pPr>
              <w:pStyle w:val="TableText1"/>
              <w:rPr>
                <w:rFonts w:ascii="Arial" w:hAnsi="Arial" w:cs="Arial"/>
                <w:b/>
                <w:bCs/>
              </w:rPr>
            </w:pPr>
            <w:r>
              <w:rPr>
                <w:rFonts w:ascii="Arial" w:hAnsi="Arial" w:cs="Arial"/>
                <w:b/>
                <w:bCs/>
              </w:rPr>
              <w:t>Consignment</w:t>
            </w:r>
          </w:p>
        </w:tc>
        <w:tc>
          <w:tcPr>
            <w:tcW w:w="7033" w:type="dxa"/>
          </w:tcPr>
          <w:p w14:paraId="241FBBB1" w14:textId="77777777" w:rsidR="009D3DC8" w:rsidRDefault="009D3DC8">
            <w:pPr>
              <w:pStyle w:val="TableText1"/>
              <w:rPr>
                <w:rFonts w:ascii="Arial" w:hAnsi="Arial" w:cs="Arial"/>
              </w:rPr>
            </w:pPr>
            <w:r>
              <w:rPr>
                <w:rFonts w:ascii="Arial" w:hAnsi="Arial" w:cs="Arial"/>
              </w:rPr>
              <w:t>A quantity of plants, plant products and/or other articles being moved from one country to another and covered, when required, by a single phytosanitary certificate (a consignment may be composed of one or more commodities or lots) (FAO 2009).</w:t>
            </w:r>
          </w:p>
        </w:tc>
      </w:tr>
      <w:tr w:rsidR="009D3DC8" w14:paraId="1EB1A6F9" w14:textId="77777777">
        <w:trPr>
          <w:cantSplit/>
        </w:trPr>
        <w:tc>
          <w:tcPr>
            <w:tcW w:w="2223" w:type="dxa"/>
          </w:tcPr>
          <w:p w14:paraId="1C0C929F" w14:textId="77777777" w:rsidR="009D3DC8" w:rsidRDefault="009D3DC8">
            <w:pPr>
              <w:pStyle w:val="TableText1"/>
              <w:rPr>
                <w:rFonts w:ascii="Arial" w:hAnsi="Arial" w:cs="Arial"/>
                <w:b/>
                <w:bCs/>
              </w:rPr>
            </w:pPr>
            <w:r>
              <w:rPr>
                <w:rFonts w:ascii="Arial" w:hAnsi="Arial" w:cs="Arial"/>
                <w:b/>
                <w:bCs/>
              </w:rPr>
              <w:t>Control (of a pest)</w:t>
            </w:r>
          </w:p>
        </w:tc>
        <w:tc>
          <w:tcPr>
            <w:tcW w:w="7033" w:type="dxa"/>
          </w:tcPr>
          <w:p w14:paraId="29618ED7" w14:textId="77777777" w:rsidR="009D3DC8" w:rsidRDefault="009D3DC8">
            <w:pPr>
              <w:pStyle w:val="TableText1"/>
              <w:rPr>
                <w:rFonts w:ascii="Arial" w:hAnsi="Arial" w:cs="Arial"/>
              </w:rPr>
            </w:pPr>
            <w:r>
              <w:rPr>
                <w:rFonts w:ascii="Arial" w:hAnsi="Arial" w:cs="Arial"/>
              </w:rPr>
              <w:t>Suppression, containment or eradication of a pest population (FAO 2009).</w:t>
            </w:r>
          </w:p>
        </w:tc>
      </w:tr>
      <w:tr w:rsidR="009D3DC8" w14:paraId="547080B1" w14:textId="77777777">
        <w:trPr>
          <w:cantSplit/>
        </w:trPr>
        <w:tc>
          <w:tcPr>
            <w:tcW w:w="2223" w:type="dxa"/>
          </w:tcPr>
          <w:p w14:paraId="205F6245" w14:textId="77777777" w:rsidR="009D3DC8" w:rsidRDefault="009D3DC8">
            <w:pPr>
              <w:pStyle w:val="TableText1"/>
              <w:rPr>
                <w:rFonts w:ascii="Arial" w:hAnsi="Arial" w:cs="Arial"/>
                <w:b/>
                <w:bCs/>
              </w:rPr>
            </w:pPr>
            <w:r>
              <w:rPr>
                <w:rFonts w:ascii="Arial" w:hAnsi="Arial" w:cs="Arial"/>
                <w:b/>
                <w:bCs/>
              </w:rPr>
              <w:t>Crawler</w:t>
            </w:r>
          </w:p>
        </w:tc>
        <w:tc>
          <w:tcPr>
            <w:tcW w:w="7033" w:type="dxa"/>
          </w:tcPr>
          <w:p w14:paraId="0649B34F" w14:textId="77777777" w:rsidR="009D3DC8" w:rsidRDefault="009D3DC8">
            <w:pPr>
              <w:pStyle w:val="TableText1"/>
              <w:rPr>
                <w:rFonts w:ascii="Arial" w:hAnsi="Arial" w:cs="Arial"/>
              </w:rPr>
            </w:pPr>
            <w:r>
              <w:rPr>
                <w:rFonts w:ascii="Arial" w:hAnsi="Arial" w:cs="Arial"/>
              </w:rPr>
              <w:t>Intermediate mobile nymph stage of certain Arthropods</w:t>
            </w:r>
          </w:p>
        </w:tc>
      </w:tr>
      <w:tr w:rsidR="009D3DC8" w14:paraId="5C4D4CF2" w14:textId="77777777">
        <w:trPr>
          <w:cantSplit/>
        </w:trPr>
        <w:tc>
          <w:tcPr>
            <w:tcW w:w="2223" w:type="dxa"/>
          </w:tcPr>
          <w:p w14:paraId="7B05D978" w14:textId="77777777" w:rsidR="009D3DC8" w:rsidRDefault="009D3DC8">
            <w:pPr>
              <w:pStyle w:val="TableText1"/>
              <w:rPr>
                <w:rFonts w:ascii="Arial" w:hAnsi="Arial" w:cs="Arial"/>
                <w:b/>
                <w:bCs/>
              </w:rPr>
            </w:pPr>
            <w:r>
              <w:rPr>
                <w:rFonts w:ascii="Arial" w:hAnsi="Arial" w:cs="Arial"/>
                <w:b/>
                <w:bCs/>
              </w:rPr>
              <w:t>Diapause</w:t>
            </w:r>
          </w:p>
        </w:tc>
        <w:tc>
          <w:tcPr>
            <w:tcW w:w="7033" w:type="dxa"/>
          </w:tcPr>
          <w:p w14:paraId="2A74C243" w14:textId="77777777" w:rsidR="009D3DC8" w:rsidRDefault="009D3DC8">
            <w:pPr>
              <w:pStyle w:val="TableText1"/>
              <w:rPr>
                <w:rFonts w:ascii="Arial" w:hAnsi="Arial" w:cs="Arial"/>
              </w:rPr>
            </w:pPr>
            <w:r>
              <w:rPr>
                <w:rFonts w:ascii="Arial" w:hAnsi="Arial" w:cs="Arial"/>
              </w:rPr>
              <w:t>Period of suspended development/growth occurring in some insects, in which metabolism is decreased</w:t>
            </w:r>
          </w:p>
        </w:tc>
      </w:tr>
      <w:tr w:rsidR="009D3DC8" w14:paraId="669DF3DC" w14:textId="77777777">
        <w:trPr>
          <w:cantSplit/>
        </w:trPr>
        <w:tc>
          <w:tcPr>
            <w:tcW w:w="2223" w:type="dxa"/>
          </w:tcPr>
          <w:p w14:paraId="1C8DBA21" w14:textId="77777777" w:rsidR="009D3DC8" w:rsidRDefault="009D3DC8">
            <w:pPr>
              <w:pStyle w:val="TableText1"/>
              <w:rPr>
                <w:rFonts w:ascii="Arial" w:hAnsi="Arial" w:cs="Arial"/>
                <w:b/>
                <w:bCs/>
              </w:rPr>
            </w:pPr>
            <w:r>
              <w:rPr>
                <w:rFonts w:ascii="Arial" w:hAnsi="Arial" w:cs="Arial"/>
                <w:b/>
                <w:bCs/>
              </w:rPr>
              <w:t>Endangered area</w:t>
            </w:r>
          </w:p>
        </w:tc>
        <w:tc>
          <w:tcPr>
            <w:tcW w:w="7033" w:type="dxa"/>
          </w:tcPr>
          <w:p w14:paraId="042A5224" w14:textId="77777777" w:rsidR="009D3DC8" w:rsidRDefault="009D3DC8">
            <w:pPr>
              <w:pStyle w:val="TableText1"/>
              <w:rPr>
                <w:rFonts w:ascii="Arial" w:hAnsi="Arial" w:cs="Arial"/>
              </w:rPr>
            </w:pPr>
            <w:r>
              <w:rPr>
                <w:rFonts w:ascii="Arial" w:hAnsi="Arial" w:cs="Arial"/>
              </w:rPr>
              <w:t>An area where ecological factors favour the establishment of a pest whose presence in the area will result in economically important loss (FAO 2009).</w:t>
            </w:r>
          </w:p>
        </w:tc>
      </w:tr>
      <w:tr w:rsidR="009D3DC8" w14:paraId="0D27F737" w14:textId="77777777">
        <w:trPr>
          <w:cantSplit/>
        </w:trPr>
        <w:tc>
          <w:tcPr>
            <w:tcW w:w="2223" w:type="dxa"/>
          </w:tcPr>
          <w:p w14:paraId="54A13562" w14:textId="77777777" w:rsidR="009D3DC8" w:rsidRDefault="009D3DC8">
            <w:pPr>
              <w:pStyle w:val="TableText1"/>
              <w:rPr>
                <w:rFonts w:ascii="Arial" w:hAnsi="Arial" w:cs="Arial"/>
                <w:b/>
                <w:bCs/>
              </w:rPr>
            </w:pPr>
            <w:r>
              <w:rPr>
                <w:rFonts w:ascii="Arial" w:hAnsi="Arial" w:cs="Arial"/>
                <w:b/>
                <w:bCs/>
              </w:rPr>
              <w:t>Endemic</w:t>
            </w:r>
          </w:p>
        </w:tc>
        <w:tc>
          <w:tcPr>
            <w:tcW w:w="7033" w:type="dxa"/>
          </w:tcPr>
          <w:p w14:paraId="4789D11C" w14:textId="77777777" w:rsidR="009D3DC8" w:rsidRDefault="009D3DC8">
            <w:pPr>
              <w:pStyle w:val="TableText1"/>
              <w:rPr>
                <w:rFonts w:ascii="Arial" w:hAnsi="Arial" w:cs="Arial"/>
              </w:rPr>
            </w:pPr>
            <w:r>
              <w:rPr>
                <w:rFonts w:ascii="Arial" w:hAnsi="Arial" w:cs="Arial"/>
              </w:rPr>
              <w:t>Belonging to, native to, or prevalent in a particular geography, area or environment</w:t>
            </w:r>
          </w:p>
        </w:tc>
      </w:tr>
      <w:tr w:rsidR="009D3DC8" w14:paraId="64D0EBCA" w14:textId="77777777">
        <w:trPr>
          <w:cantSplit/>
        </w:trPr>
        <w:tc>
          <w:tcPr>
            <w:tcW w:w="2223" w:type="dxa"/>
          </w:tcPr>
          <w:p w14:paraId="5143BCDD" w14:textId="77777777" w:rsidR="009D3DC8" w:rsidRDefault="009D3DC8">
            <w:pPr>
              <w:pStyle w:val="TableText1"/>
              <w:rPr>
                <w:rFonts w:ascii="Arial" w:hAnsi="Arial" w:cs="Arial"/>
                <w:b/>
                <w:bCs/>
              </w:rPr>
            </w:pPr>
            <w:r>
              <w:rPr>
                <w:rFonts w:ascii="Arial" w:hAnsi="Arial" w:cs="Arial"/>
                <w:b/>
                <w:bCs/>
              </w:rPr>
              <w:t>Endocarp</w:t>
            </w:r>
          </w:p>
        </w:tc>
        <w:tc>
          <w:tcPr>
            <w:tcW w:w="7033" w:type="dxa"/>
          </w:tcPr>
          <w:p w14:paraId="2EB159DB" w14:textId="77777777" w:rsidR="009D3DC8" w:rsidRDefault="009D3DC8">
            <w:pPr>
              <w:pStyle w:val="TableText1"/>
              <w:rPr>
                <w:rFonts w:ascii="Arial" w:hAnsi="Arial" w:cs="Arial"/>
              </w:rPr>
            </w:pPr>
            <w:r>
              <w:rPr>
                <w:rFonts w:ascii="Arial" w:hAnsi="Arial" w:cs="Arial"/>
              </w:rPr>
              <w:t>The hard inner layer of the pericarp, such as pit or stone of a cherry, peach or olive</w:t>
            </w:r>
          </w:p>
        </w:tc>
      </w:tr>
      <w:tr w:rsidR="009D3DC8" w14:paraId="27A9C5D5" w14:textId="77777777">
        <w:trPr>
          <w:cantSplit/>
        </w:trPr>
        <w:tc>
          <w:tcPr>
            <w:tcW w:w="2223" w:type="dxa"/>
          </w:tcPr>
          <w:p w14:paraId="3DF29E4B" w14:textId="77777777" w:rsidR="009D3DC8" w:rsidRDefault="009D3DC8">
            <w:pPr>
              <w:pStyle w:val="TableText1"/>
              <w:rPr>
                <w:rFonts w:ascii="Arial" w:hAnsi="Arial" w:cs="Arial"/>
                <w:b/>
                <w:bCs/>
              </w:rPr>
            </w:pPr>
            <w:r>
              <w:rPr>
                <w:rFonts w:ascii="Arial" w:hAnsi="Arial" w:cs="Arial"/>
                <w:b/>
                <w:bCs/>
              </w:rPr>
              <w:t>Entry (of a pest)</w:t>
            </w:r>
          </w:p>
        </w:tc>
        <w:tc>
          <w:tcPr>
            <w:tcW w:w="7033" w:type="dxa"/>
          </w:tcPr>
          <w:p w14:paraId="1FAF6B08" w14:textId="77777777" w:rsidR="009D3DC8" w:rsidRDefault="009D3DC8">
            <w:pPr>
              <w:pStyle w:val="TableText1"/>
              <w:rPr>
                <w:rFonts w:ascii="Arial" w:hAnsi="Arial" w:cs="Arial"/>
              </w:rPr>
            </w:pPr>
            <w:r>
              <w:rPr>
                <w:rFonts w:ascii="Arial" w:hAnsi="Arial" w:cs="Arial"/>
              </w:rPr>
              <w:t>Movement of a pest into an area where it is not yet present, or present but not widely distributed and being officially controlled (FAO 2009).</w:t>
            </w:r>
          </w:p>
        </w:tc>
      </w:tr>
      <w:tr w:rsidR="009D3DC8" w14:paraId="1A4287BC" w14:textId="77777777">
        <w:trPr>
          <w:cantSplit/>
        </w:trPr>
        <w:tc>
          <w:tcPr>
            <w:tcW w:w="2223" w:type="dxa"/>
          </w:tcPr>
          <w:p w14:paraId="37175180" w14:textId="77777777" w:rsidR="009D3DC8" w:rsidRDefault="009D3DC8">
            <w:pPr>
              <w:pStyle w:val="TableText1"/>
              <w:rPr>
                <w:rFonts w:ascii="Arial" w:hAnsi="Arial" w:cs="Arial"/>
                <w:b/>
                <w:bCs/>
              </w:rPr>
            </w:pPr>
            <w:r>
              <w:rPr>
                <w:rFonts w:ascii="Arial" w:hAnsi="Arial" w:cs="Arial"/>
                <w:b/>
                <w:bCs/>
              </w:rPr>
              <w:t>Establishment</w:t>
            </w:r>
          </w:p>
        </w:tc>
        <w:tc>
          <w:tcPr>
            <w:tcW w:w="7033" w:type="dxa"/>
          </w:tcPr>
          <w:p w14:paraId="149E5C2B" w14:textId="77777777" w:rsidR="009D3DC8" w:rsidRDefault="009D3DC8">
            <w:pPr>
              <w:pStyle w:val="TableText1"/>
              <w:rPr>
                <w:rFonts w:ascii="Arial" w:hAnsi="Arial" w:cs="Arial"/>
              </w:rPr>
            </w:pPr>
            <w:r>
              <w:rPr>
                <w:rFonts w:ascii="Arial" w:hAnsi="Arial" w:cs="Arial"/>
              </w:rPr>
              <w:t>Perpetuation, for the foreseeable future, of a pest within an area after entry (FAO 2009).</w:t>
            </w:r>
          </w:p>
        </w:tc>
      </w:tr>
      <w:tr w:rsidR="009D3DC8" w14:paraId="022D6FBF" w14:textId="77777777">
        <w:trPr>
          <w:cantSplit/>
        </w:trPr>
        <w:tc>
          <w:tcPr>
            <w:tcW w:w="2223" w:type="dxa"/>
          </w:tcPr>
          <w:p w14:paraId="055DEDEC" w14:textId="77777777" w:rsidR="009D3DC8" w:rsidRDefault="009D3DC8">
            <w:pPr>
              <w:pStyle w:val="TableText1"/>
              <w:rPr>
                <w:rFonts w:ascii="Arial" w:hAnsi="Arial" w:cs="Arial"/>
                <w:b/>
                <w:bCs/>
              </w:rPr>
            </w:pPr>
            <w:r>
              <w:rPr>
                <w:rFonts w:ascii="Arial" w:hAnsi="Arial" w:cs="Arial"/>
                <w:b/>
                <w:bCs/>
              </w:rPr>
              <w:t>Exocarp</w:t>
            </w:r>
          </w:p>
        </w:tc>
        <w:tc>
          <w:tcPr>
            <w:tcW w:w="7033" w:type="dxa"/>
          </w:tcPr>
          <w:p w14:paraId="7F7D3A2B" w14:textId="77777777" w:rsidR="009D3DC8" w:rsidRDefault="009D3DC8">
            <w:pPr>
              <w:pStyle w:val="TableText1"/>
              <w:rPr>
                <w:rFonts w:ascii="Arial" w:hAnsi="Arial" w:cs="Arial"/>
              </w:rPr>
            </w:pPr>
            <w:r>
              <w:rPr>
                <w:rFonts w:ascii="Arial" w:hAnsi="Arial" w:cs="Arial"/>
              </w:rPr>
              <w:t>The outer most layer of the fruit wall</w:t>
            </w:r>
          </w:p>
        </w:tc>
      </w:tr>
      <w:tr w:rsidR="009D3DC8" w14:paraId="75593145" w14:textId="77777777">
        <w:trPr>
          <w:cantSplit/>
        </w:trPr>
        <w:tc>
          <w:tcPr>
            <w:tcW w:w="2223" w:type="dxa"/>
          </w:tcPr>
          <w:p w14:paraId="2424AA0F" w14:textId="77777777" w:rsidR="009D3DC8" w:rsidRDefault="009D3DC8">
            <w:pPr>
              <w:pStyle w:val="TableText1"/>
              <w:rPr>
                <w:rFonts w:ascii="Arial" w:hAnsi="Arial" w:cs="Arial"/>
                <w:b/>
                <w:bCs/>
              </w:rPr>
            </w:pPr>
            <w:r>
              <w:rPr>
                <w:rFonts w:ascii="Arial" w:hAnsi="Arial" w:cs="Arial"/>
                <w:b/>
                <w:bCs/>
              </w:rPr>
              <w:t>Fecundity</w:t>
            </w:r>
          </w:p>
        </w:tc>
        <w:tc>
          <w:tcPr>
            <w:tcW w:w="7033" w:type="dxa"/>
          </w:tcPr>
          <w:p w14:paraId="2D9CD9B8" w14:textId="77777777" w:rsidR="009D3DC8" w:rsidRDefault="009D3DC8">
            <w:pPr>
              <w:pStyle w:val="TableText1"/>
              <w:rPr>
                <w:rFonts w:ascii="Arial" w:hAnsi="Arial" w:cs="Arial"/>
              </w:rPr>
            </w:pPr>
            <w:r>
              <w:rPr>
                <w:rFonts w:ascii="Arial" w:hAnsi="Arial" w:cs="Arial"/>
              </w:rPr>
              <w:t>The fertility of an organism</w:t>
            </w:r>
          </w:p>
        </w:tc>
      </w:tr>
      <w:tr w:rsidR="009D3DC8" w14:paraId="61337F8E" w14:textId="77777777">
        <w:trPr>
          <w:cantSplit/>
        </w:trPr>
        <w:tc>
          <w:tcPr>
            <w:tcW w:w="2223" w:type="dxa"/>
          </w:tcPr>
          <w:p w14:paraId="79C42491" w14:textId="77777777" w:rsidR="009D3DC8" w:rsidRDefault="009D3DC8">
            <w:pPr>
              <w:pStyle w:val="TableText1"/>
              <w:rPr>
                <w:rFonts w:ascii="Arial" w:hAnsi="Arial" w:cs="Arial"/>
                <w:b/>
                <w:bCs/>
              </w:rPr>
            </w:pPr>
            <w:r>
              <w:rPr>
                <w:rFonts w:ascii="Arial" w:hAnsi="Arial" w:cs="Arial"/>
                <w:b/>
                <w:bCs/>
              </w:rPr>
              <w:t>Fresh</w:t>
            </w:r>
          </w:p>
        </w:tc>
        <w:tc>
          <w:tcPr>
            <w:tcW w:w="7033" w:type="dxa"/>
          </w:tcPr>
          <w:p w14:paraId="74BBBC4B" w14:textId="77777777" w:rsidR="009D3DC8" w:rsidRDefault="009D3DC8">
            <w:pPr>
              <w:pStyle w:val="TableText1"/>
              <w:rPr>
                <w:rFonts w:ascii="Arial" w:hAnsi="Arial" w:cs="Arial"/>
              </w:rPr>
            </w:pPr>
            <w:r>
              <w:rPr>
                <w:rFonts w:ascii="Arial" w:hAnsi="Arial" w:cs="Arial"/>
              </w:rPr>
              <w:t>Living; not dried, deep-frozen or otherwise conserved (FAO 2009).</w:t>
            </w:r>
          </w:p>
        </w:tc>
      </w:tr>
      <w:tr w:rsidR="009D3DC8" w14:paraId="6846D1F8" w14:textId="77777777">
        <w:trPr>
          <w:cantSplit/>
        </w:trPr>
        <w:tc>
          <w:tcPr>
            <w:tcW w:w="2223" w:type="dxa"/>
          </w:tcPr>
          <w:p w14:paraId="0FB16399" w14:textId="77777777" w:rsidR="009D3DC8" w:rsidRDefault="009D3DC8">
            <w:pPr>
              <w:pStyle w:val="TableText1"/>
              <w:rPr>
                <w:rFonts w:ascii="Arial" w:hAnsi="Arial" w:cs="Arial"/>
                <w:b/>
                <w:bCs/>
              </w:rPr>
            </w:pPr>
            <w:r>
              <w:rPr>
                <w:rFonts w:ascii="Arial" w:hAnsi="Arial" w:cs="Arial"/>
                <w:b/>
                <w:bCs/>
              </w:rPr>
              <w:t>Fumigation</w:t>
            </w:r>
          </w:p>
        </w:tc>
        <w:tc>
          <w:tcPr>
            <w:tcW w:w="7033" w:type="dxa"/>
          </w:tcPr>
          <w:p w14:paraId="2346A579" w14:textId="77777777" w:rsidR="009D3DC8" w:rsidRDefault="009D3DC8">
            <w:pPr>
              <w:pStyle w:val="TableText1"/>
              <w:rPr>
                <w:rFonts w:ascii="Arial" w:hAnsi="Arial" w:cs="Arial"/>
              </w:rPr>
            </w:pPr>
            <w:r>
              <w:rPr>
                <w:rFonts w:ascii="Arial" w:hAnsi="Arial" w:cs="Arial"/>
              </w:rPr>
              <w:t>A method of pest control that completely fills an area with gaseous pesticides to suffocate or poison the pests within</w:t>
            </w:r>
          </w:p>
        </w:tc>
      </w:tr>
      <w:tr w:rsidR="009D3DC8" w14:paraId="67FB1311" w14:textId="77777777">
        <w:trPr>
          <w:cantSplit/>
        </w:trPr>
        <w:tc>
          <w:tcPr>
            <w:tcW w:w="2223" w:type="dxa"/>
          </w:tcPr>
          <w:p w14:paraId="7FF20E14" w14:textId="77777777" w:rsidR="009D3DC8" w:rsidRDefault="009D3DC8">
            <w:pPr>
              <w:pStyle w:val="TableText1"/>
              <w:rPr>
                <w:rFonts w:ascii="Arial" w:hAnsi="Arial" w:cs="Arial"/>
                <w:b/>
                <w:bCs/>
              </w:rPr>
            </w:pPr>
            <w:r>
              <w:rPr>
                <w:rFonts w:ascii="Arial" w:hAnsi="Arial" w:cs="Arial"/>
                <w:b/>
                <w:bCs/>
              </w:rPr>
              <w:t>Genus</w:t>
            </w:r>
          </w:p>
        </w:tc>
        <w:tc>
          <w:tcPr>
            <w:tcW w:w="7033" w:type="dxa"/>
          </w:tcPr>
          <w:p w14:paraId="04130031" w14:textId="77777777" w:rsidR="009D3DC8" w:rsidRDefault="009D3DC8">
            <w:pPr>
              <w:pStyle w:val="TableText1"/>
              <w:rPr>
                <w:rFonts w:ascii="Arial" w:hAnsi="Arial" w:cs="Arial"/>
              </w:rPr>
            </w:pPr>
            <w:r>
              <w:rPr>
                <w:rFonts w:ascii="Arial" w:hAnsi="Arial" w:cs="Arial"/>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9D3DC8" w14:paraId="75698112" w14:textId="77777777">
        <w:trPr>
          <w:cantSplit/>
        </w:trPr>
        <w:tc>
          <w:tcPr>
            <w:tcW w:w="2223" w:type="dxa"/>
          </w:tcPr>
          <w:p w14:paraId="26176704" w14:textId="77777777" w:rsidR="009D3DC8" w:rsidRDefault="009D3DC8">
            <w:pPr>
              <w:pStyle w:val="TableText1"/>
              <w:rPr>
                <w:rFonts w:ascii="Arial" w:hAnsi="Arial" w:cs="Arial"/>
                <w:b/>
                <w:bCs/>
              </w:rPr>
            </w:pPr>
            <w:r>
              <w:rPr>
                <w:rFonts w:ascii="Arial" w:hAnsi="Arial" w:cs="Arial"/>
                <w:b/>
                <w:bCs/>
              </w:rPr>
              <w:t>Host</w:t>
            </w:r>
          </w:p>
        </w:tc>
        <w:tc>
          <w:tcPr>
            <w:tcW w:w="7033" w:type="dxa"/>
          </w:tcPr>
          <w:p w14:paraId="6AD7D73F" w14:textId="77777777" w:rsidR="009D3DC8" w:rsidRDefault="009D3DC8">
            <w:pPr>
              <w:pStyle w:val="TableText1"/>
              <w:rPr>
                <w:rFonts w:ascii="Arial" w:hAnsi="Arial" w:cs="Arial"/>
              </w:rPr>
            </w:pPr>
            <w:r>
              <w:rPr>
                <w:rFonts w:ascii="Arial" w:hAnsi="Arial" w:cs="Arial"/>
              </w:rPr>
              <w:t>An organism that harbours a parasite, mutual partner, or commensal partner, typically providing nourishment and shelter</w:t>
            </w:r>
          </w:p>
        </w:tc>
      </w:tr>
      <w:tr w:rsidR="009D3DC8" w14:paraId="3CD4C230" w14:textId="77777777">
        <w:trPr>
          <w:cantSplit/>
        </w:trPr>
        <w:tc>
          <w:tcPr>
            <w:tcW w:w="2223" w:type="dxa"/>
          </w:tcPr>
          <w:p w14:paraId="6B899309" w14:textId="77777777" w:rsidR="009D3DC8" w:rsidRDefault="009D3DC8">
            <w:pPr>
              <w:pStyle w:val="TableText1"/>
              <w:rPr>
                <w:rFonts w:ascii="Arial" w:hAnsi="Arial" w:cs="Arial"/>
                <w:b/>
                <w:bCs/>
              </w:rPr>
            </w:pPr>
            <w:r>
              <w:rPr>
                <w:rFonts w:ascii="Arial" w:hAnsi="Arial" w:cs="Arial"/>
                <w:b/>
                <w:bCs/>
              </w:rPr>
              <w:lastRenderedPageBreak/>
              <w:t>Host range</w:t>
            </w:r>
          </w:p>
        </w:tc>
        <w:tc>
          <w:tcPr>
            <w:tcW w:w="7033" w:type="dxa"/>
          </w:tcPr>
          <w:p w14:paraId="17DAB815" w14:textId="77777777" w:rsidR="009D3DC8" w:rsidRDefault="009D3DC8">
            <w:pPr>
              <w:pStyle w:val="TableText1"/>
              <w:rPr>
                <w:rFonts w:ascii="Arial" w:hAnsi="Arial" w:cs="Arial"/>
              </w:rPr>
            </w:pPr>
            <w:r>
              <w:rPr>
                <w:rFonts w:ascii="Arial" w:hAnsi="Arial" w:cs="Arial"/>
              </w:rPr>
              <w:t>Species capable, under natural conditions, of sustaining a specific pest or other organism (FAO 2009).</w:t>
            </w:r>
          </w:p>
        </w:tc>
      </w:tr>
      <w:tr w:rsidR="009D3DC8" w14:paraId="5DEA375B" w14:textId="77777777">
        <w:trPr>
          <w:cantSplit/>
        </w:trPr>
        <w:tc>
          <w:tcPr>
            <w:tcW w:w="2223" w:type="dxa"/>
          </w:tcPr>
          <w:p w14:paraId="492A8CFE" w14:textId="77777777" w:rsidR="009D3DC8" w:rsidRDefault="009D3DC8">
            <w:pPr>
              <w:pStyle w:val="TableText1"/>
              <w:rPr>
                <w:rFonts w:ascii="Arial" w:hAnsi="Arial" w:cs="Arial"/>
                <w:b/>
                <w:bCs/>
              </w:rPr>
            </w:pPr>
            <w:r>
              <w:rPr>
                <w:rFonts w:ascii="Arial" w:hAnsi="Arial" w:cs="Arial"/>
                <w:b/>
                <w:bCs/>
              </w:rPr>
              <w:t>Hybridisation</w:t>
            </w:r>
          </w:p>
        </w:tc>
        <w:tc>
          <w:tcPr>
            <w:tcW w:w="7033" w:type="dxa"/>
          </w:tcPr>
          <w:p w14:paraId="006FD926" w14:textId="77777777" w:rsidR="009D3DC8" w:rsidRDefault="009D3DC8">
            <w:pPr>
              <w:pStyle w:val="TableText1"/>
              <w:rPr>
                <w:rFonts w:ascii="Arial" w:hAnsi="Arial" w:cs="Arial"/>
              </w:rPr>
            </w:pPr>
            <w:r>
              <w:rPr>
                <w:rFonts w:ascii="Arial" w:hAnsi="Arial" w:cs="Arial"/>
              </w:rPr>
              <w:t>The production of offspring of genetically different parents</w:t>
            </w:r>
          </w:p>
        </w:tc>
      </w:tr>
      <w:tr w:rsidR="009D3DC8" w14:paraId="13B83364" w14:textId="77777777">
        <w:trPr>
          <w:cantSplit/>
        </w:trPr>
        <w:tc>
          <w:tcPr>
            <w:tcW w:w="2223" w:type="dxa"/>
          </w:tcPr>
          <w:p w14:paraId="7D5A92DF" w14:textId="77777777" w:rsidR="009D3DC8" w:rsidRDefault="009D3DC8">
            <w:pPr>
              <w:pStyle w:val="TableText1"/>
              <w:rPr>
                <w:rFonts w:ascii="Arial" w:hAnsi="Arial" w:cs="Arial"/>
                <w:b/>
                <w:bCs/>
              </w:rPr>
            </w:pPr>
            <w:r>
              <w:rPr>
                <w:rFonts w:ascii="Arial" w:hAnsi="Arial" w:cs="Arial"/>
                <w:b/>
                <w:bCs/>
              </w:rPr>
              <w:t>Import permit</w:t>
            </w:r>
          </w:p>
        </w:tc>
        <w:tc>
          <w:tcPr>
            <w:tcW w:w="7033" w:type="dxa"/>
          </w:tcPr>
          <w:p w14:paraId="16C16123" w14:textId="77777777" w:rsidR="009D3DC8" w:rsidRDefault="009D3DC8">
            <w:pPr>
              <w:pStyle w:val="TableText1"/>
              <w:rPr>
                <w:rFonts w:ascii="Arial" w:hAnsi="Arial" w:cs="Arial"/>
              </w:rPr>
            </w:pPr>
            <w:r>
              <w:rPr>
                <w:rFonts w:ascii="Arial" w:hAnsi="Arial" w:cs="Arial"/>
              </w:rPr>
              <w:t>Official document authorising importation of a commodity in accordance with specified phytosanitary import requirements (FAO 2009).</w:t>
            </w:r>
          </w:p>
        </w:tc>
      </w:tr>
      <w:tr w:rsidR="009D3DC8" w14:paraId="07B8FAEA" w14:textId="77777777">
        <w:trPr>
          <w:cantSplit/>
        </w:trPr>
        <w:tc>
          <w:tcPr>
            <w:tcW w:w="2223" w:type="dxa"/>
          </w:tcPr>
          <w:p w14:paraId="1C98353C" w14:textId="77777777" w:rsidR="009D3DC8" w:rsidRDefault="009D3DC8">
            <w:pPr>
              <w:pStyle w:val="TableText1"/>
              <w:rPr>
                <w:rFonts w:ascii="Arial" w:hAnsi="Arial" w:cs="Arial"/>
                <w:b/>
                <w:bCs/>
              </w:rPr>
            </w:pPr>
            <w:r>
              <w:rPr>
                <w:rFonts w:ascii="Arial" w:hAnsi="Arial" w:cs="Arial"/>
                <w:b/>
              </w:rPr>
              <w:t>Import risk analysis</w:t>
            </w:r>
          </w:p>
        </w:tc>
        <w:tc>
          <w:tcPr>
            <w:tcW w:w="7033" w:type="dxa"/>
          </w:tcPr>
          <w:p w14:paraId="163EF13A" w14:textId="77777777" w:rsidR="009D3DC8" w:rsidRDefault="009D3DC8">
            <w:pPr>
              <w:pStyle w:val="TableText1"/>
              <w:rPr>
                <w:rFonts w:ascii="Arial" w:hAnsi="Arial" w:cs="Arial"/>
              </w:rPr>
            </w:pPr>
            <w:r>
              <w:rPr>
                <w:rFonts w:ascii="Arial" w:hAnsi="Arial" w:cs="Arial"/>
              </w:rPr>
              <w:t>An administrative process through which quarantine policy is developed or reviewed, incorporating risk assessment, risk management and risk communication</w:t>
            </w:r>
          </w:p>
        </w:tc>
      </w:tr>
      <w:tr w:rsidR="009D3DC8" w14:paraId="3C267CAE" w14:textId="77777777">
        <w:trPr>
          <w:cantSplit/>
        </w:trPr>
        <w:tc>
          <w:tcPr>
            <w:tcW w:w="2223" w:type="dxa"/>
          </w:tcPr>
          <w:p w14:paraId="5E7EA95D" w14:textId="77777777" w:rsidR="009D3DC8" w:rsidRDefault="009D3DC8">
            <w:pPr>
              <w:pStyle w:val="TableText1"/>
              <w:rPr>
                <w:rFonts w:ascii="Arial" w:hAnsi="Arial" w:cs="Arial"/>
                <w:b/>
              </w:rPr>
            </w:pPr>
            <w:r>
              <w:rPr>
                <w:rFonts w:ascii="Arial" w:hAnsi="Arial" w:cs="Arial"/>
                <w:b/>
              </w:rPr>
              <w:t>Infection</w:t>
            </w:r>
          </w:p>
        </w:tc>
        <w:tc>
          <w:tcPr>
            <w:tcW w:w="7033" w:type="dxa"/>
          </w:tcPr>
          <w:p w14:paraId="3C344421" w14:textId="77777777" w:rsidR="009D3DC8" w:rsidRDefault="009D3DC8">
            <w:pPr>
              <w:pStyle w:val="TableText1"/>
              <w:rPr>
                <w:rFonts w:ascii="Arial" w:hAnsi="Arial" w:cs="Arial"/>
              </w:rPr>
            </w:pPr>
            <w:r>
              <w:rPr>
                <w:rFonts w:ascii="Arial" w:hAnsi="Arial" w:cs="Arial"/>
              </w:rPr>
              <w:t>The internal ‘endophytic’ colonisation of a plant, or plant organ, and is generally associated with the development of disease symptoms as the integrity of cells and/or biological processes are disrupted</w:t>
            </w:r>
          </w:p>
        </w:tc>
      </w:tr>
      <w:tr w:rsidR="009D3DC8" w14:paraId="58023239" w14:textId="77777777">
        <w:trPr>
          <w:cantSplit/>
        </w:trPr>
        <w:tc>
          <w:tcPr>
            <w:tcW w:w="2223" w:type="dxa"/>
          </w:tcPr>
          <w:p w14:paraId="2B89FF1F" w14:textId="77777777" w:rsidR="009D3DC8" w:rsidRDefault="009D3DC8">
            <w:pPr>
              <w:pStyle w:val="TableText1"/>
              <w:rPr>
                <w:rFonts w:ascii="Arial" w:hAnsi="Arial" w:cs="Arial"/>
                <w:b/>
                <w:bCs/>
              </w:rPr>
            </w:pPr>
            <w:r>
              <w:rPr>
                <w:rFonts w:ascii="Arial" w:hAnsi="Arial" w:cs="Arial"/>
                <w:b/>
                <w:bCs/>
              </w:rPr>
              <w:t>Infestation (of a commodity)</w:t>
            </w:r>
          </w:p>
        </w:tc>
        <w:tc>
          <w:tcPr>
            <w:tcW w:w="7033" w:type="dxa"/>
          </w:tcPr>
          <w:p w14:paraId="680D0EEB" w14:textId="77777777" w:rsidR="009D3DC8" w:rsidRDefault="009D3DC8">
            <w:pPr>
              <w:pStyle w:val="TableText1"/>
              <w:rPr>
                <w:rFonts w:ascii="Arial" w:hAnsi="Arial" w:cs="Arial"/>
              </w:rPr>
            </w:pPr>
            <w:r>
              <w:rPr>
                <w:rFonts w:ascii="Arial" w:hAnsi="Arial" w:cs="Arial"/>
              </w:rPr>
              <w:t>Presence in a commodity of a living pest of the plant or plant product concerned. Infestation includes infection (FAO 2009).</w:t>
            </w:r>
          </w:p>
        </w:tc>
      </w:tr>
      <w:tr w:rsidR="009D3DC8" w14:paraId="7B2E3D75" w14:textId="77777777">
        <w:trPr>
          <w:cantSplit/>
        </w:trPr>
        <w:tc>
          <w:tcPr>
            <w:tcW w:w="2223" w:type="dxa"/>
          </w:tcPr>
          <w:p w14:paraId="674DA147" w14:textId="77777777" w:rsidR="009D3DC8" w:rsidRDefault="009D3DC8">
            <w:pPr>
              <w:pStyle w:val="TableText1"/>
              <w:rPr>
                <w:rFonts w:ascii="Arial" w:hAnsi="Arial" w:cs="Arial"/>
                <w:b/>
                <w:bCs/>
              </w:rPr>
            </w:pPr>
            <w:r>
              <w:rPr>
                <w:rFonts w:ascii="Arial" w:hAnsi="Arial" w:cs="Arial"/>
                <w:b/>
                <w:bCs/>
              </w:rPr>
              <w:t>Inspection</w:t>
            </w:r>
          </w:p>
        </w:tc>
        <w:tc>
          <w:tcPr>
            <w:tcW w:w="7033" w:type="dxa"/>
          </w:tcPr>
          <w:p w14:paraId="28310234" w14:textId="77777777" w:rsidR="009D3DC8" w:rsidRDefault="009D3DC8">
            <w:pPr>
              <w:pStyle w:val="TableText1"/>
              <w:rPr>
                <w:rFonts w:ascii="Arial" w:hAnsi="Arial" w:cs="Arial"/>
              </w:rPr>
            </w:pPr>
            <w:r>
              <w:rPr>
                <w:rFonts w:ascii="Arial" w:hAnsi="Arial" w:cs="Arial"/>
              </w:rPr>
              <w:t>Official visual examination of plants, plant products or other regulated articles to determine if pests are present and/or to determine compliance with phytosanitary regulations (FAO 2009).</w:t>
            </w:r>
          </w:p>
        </w:tc>
      </w:tr>
      <w:tr w:rsidR="009D3DC8" w14:paraId="17E2D2F8" w14:textId="77777777">
        <w:trPr>
          <w:cantSplit/>
        </w:trPr>
        <w:tc>
          <w:tcPr>
            <w:tcW w:w="2223" w:type="dxa"/>
          </w:tcPr>
          <w:p w14:paraId="37F8B707" w14:textId="77777777" w:rsidR="009D3DC8" w:rsidRDefault="009D3DC8">
            <w:pPr>
              <w:pStyle w:val="TableText1"/>
              <w:rPr>
                <w:rFonts w:ascii="Arial" w:hAnsi="Arial" w:cs="Arial"/>
                <w:b/>
                <w:bCs/>
              </w:rPr>
            </w:pPr>
            <w:r>
              <w:rPr>
                <w:rFonts w:ascii="Arial" w:hAnsi="Arial" w:cs="Arial"/>
                <w:b/>
                <w:bCs/>
              </w:rPr>
              <w:t>Intended use</w:t>
            </w:r>
          </w:p>
        </w:tc>
        <w:tc>
          <w:tcPr>
            <w:tcW w:w="7033" w:type="dxa"/>
          </w:tcPr>
          <w:p w14:paraId="5B925564" w14:textId="77777777" w:rsidR="009D3DC8" w:rsidRDefault="009D3DC8">
            <w:pPr>
              <w:pStyle w:val="TableText1"/>
              <w:rPr>
                <w:rFonts w:ascii="Arial" w:hAnsi="Arial" w:cs="Arial"/>
              </w:rPr>
            </w:pPr>
            <w:r>
              <w:rPr>
                <w:rFonts w:ascii="Arial" w:hAnsi="Arial" w:cs="Arial"/>
              </w:rPr>
              <w:t>Declared purpose for which plants, plant products, or other regulated articles are imported, produced, or used (FAO 2009).</w:t>
            </w:r>
          </w:p>
        </w:tc>
      </w:tr>
      <w:tr w:rsidR="009D3DC8" w14:paraId="30BDA2AB" w14:textId="77777777">
        <w:trPr>
          <w:cantSplit/>
        </w:trPr>
        <w:tc>
          <w:tcPr>
            <w:tcW w:w="2223" w:type="dxa"/>
          </w:tcPr>
          <w:p w14:paraId="73C42E4F" w14:textId="77777777" w:rsidR="009D3DC8" w:rsidRDefault="009D3DC8">
            <w:pPr>
              <w:pStyle w:val="TableText1"/>
              <w:rPr>
                <w:rFonts w:ascii="Arial" w:hAnsi="Arial" w:cs="Arial"/>
                <w:b/>
                <w:bCs/>
              </w:rPr>
            </w:pPr>
            <w:r>
              <w:rPr>
                <w:rFonts w:ascii="Arial" w:hAnsi="Arial" w:cs="Arial"/>
                <w:b/>
                <w:bCs/>
              </w:rPr>
              <w:t>Interception (of a pest)</w:t>
            </w:r>
          </w:p>
        </w:tc>
        <w:tc>
          <w:tcPr>
            <w:tcW w:w="7033" w:type="dxa"/>
          </w:tcPr>
          <w:p w14:paraId="48319212" w14:textId="77777777" w:rsidR="009D3DC8" w:rsidRDefault="009D3DC8">
            <w:pPr>
              <w:pStyle w:val="TableText1"/>
              <w:rPr>
                <w:rFonts w:ascii="Arial" w:hAnsi="Arial" w:cs="Arial"/>
              </w:rPr>
            </w:pPr>
            <w:r>
              <w:rPr>
                <w:rFonts w:ascii="Arial" w:hAnsi="Arial" w:cs="Arial"/>
              </w:rPr>
              <w:t>The detection of a pest during inspection or testing of an imported consignment (FAO 2009).</w:t>
            </w:r>
          </w:p>
        </w:tc>
      </w:tr>
      <w:tr w:rsidR="009D3DC8" w14:paraId="023354D4" w14:textId="77777777">
        <w:trPr>
          <w:cantSplit/>
        </w:trPr>
        <w:tc>
          <w:tcPr>
            <w:tcW w:w="2223" w:type="dxa"/>
          </w:tcPr>
          <w:p w14:paraId="761643B3" w14:textId="77777777" w:rsidR="009D3DC8" w:rsidRDefault="009D3DC8">
            <w:pPr>
              <w:pStyle w:val="TableText1"/>
              <w:rPr>
                <w:rFonts w:ascii="Arial" w:hAnsi="Arial" w:cs="Arial"/>
                <w:b/>
                <w:bCs/>
              </w:rPr>
            </w:pPr>
            <w:r>
              <w:rPr>
                <w:rFonts w:ascii="Arial" w:hAnsi="Arial" w:cs="Arial"/>
                <w:b/>
                <w:bCs/>
              </w:rPr>
              <w:t>International Standard for Phytosanitary Measures (ISPM)</w:t>
            </w:r>
          </w:p>
        </w:tc>
        <w:tc>
          <w:tcPr>
            <w:tcW w:w="7033" w:type="dxa"/>
          </w:tcPr>
          <w:p w14:paraId="4F30121A" w14:textId="77777777" w:rsidR="009D3DC8" w:rsidRDefault="009D3DC8">
            <w:pPr>
              <w:pStyle w:val="TableText1"/>
              <w:rPr>
                <w:rFonts w:ascii="Arial" w:hAnsi="Arial" w:cs="Arial"/>
              </w:rPr>
            </w:pPr>
            <w:r>
              <w:rPr>
                <w:rFonts w:ascii="Arial" w:hAnsi="Arial" w:cs="Arial"/>
              </w:rPr>
              <w:t>An international standard adopted by the Conference of the Food and Agriculture Organization, the Interim Commission on phytosanitary measures or the Commission on phytosanitary measures, established under the IPCC (FAO 2009).</w:t>
            </w:r>
          </w:p>
        </w:tc>
      </w:tr>
      <w:tr w:rsidR="009D3DC8" w14:paraId="4182083F" w14:textId="77777777">
        <w:trPr>
          <w:cantSplit/>
        </w:trPr>
        <w:tc>
          <w:tcPr>
            <w:tcW w:w="2223" w:type="dxa"/>
          </w:tcPr>
          <w:p w14:paraId="0649F347" w14:textId="77777777" w:rsidR="009D3DC8" w:rsidRDefault="009D3DC8">
            <w:pPr>
              <w:pStyle w:val="TableText1"/>
              <w:rPr>
                <w:rFonts w:ascii="Arial" w:hAnsi="Arial" w:cs="Arial"/>
                <w:b/>
                <w:bCs/>
              </w:rPr>
            </w:pPr>
            <w:r>
              <w:rPr>
                <w:rFonts w:ascii="Arial" w:hAnsi="Arial" w:cs="Arial"/>
                <w:b/>
                <w:bCs/>
              </w:rPr>
              <w:t>Introduction</w:t>
            </w:r>
          </w:p>
        </w:tc>
        <w:tc>
          <w:tcPr>
            <w:tcW w:w="7033" w:type="dxa"/>
          </w:tcPr>
          <w:p w14:paraId="5E06AF5A" w14:textId="77777777" w:rsidR="009D3DC8" w:rsidRDefault="009D3DC8">
            <w:pPr>
              <w:pStyle w:val="TableText1"/>
              <w:rPr>
                <w:rFonts w:ascii="Arial" w:hAnsi="Arial" w:cs="Arial"/>
              </w:rPr>
            </w:pPr>
            <w:r>
              <w:rPr>
                <w:rFonts w:ascii="Arial" w:hAnsi="Arial" w:cs="Arial"/>
              </w:rPr>
              <w:t>The entry of a pest resulting in its establishment (FAO 2009).</w:t>
            </w:r>
          </w:p>
        </w:tc>
      </w:tr>
      <w:tr w:rsidR="009D3DC8" w14:paraId="528954AD" w14:textId="77777777">
        <w:trPr>
          <w:cantSplit/>
        </w:trPr>
        <w:tc>
          <w:tcPr>
            <w:tcW w:w="2223" w:type="dxa"/>
          </w:tcPr>
          <w:p w14:paraId="34832D68" w14:textId="77777777" w:rsidR="009D3DC8" w:rsidRDefault="009D3DC8">
            <w:pPr>
              <w:pStyle w:val="TableText1"/>
              <w:rPr>
                <w:rFonts w:ascii="Arial" w:hAnsi="Arial" w:cs="Arial"/>
                <w:b/>
                <w:bCs/>
              </w:rPr>
            </w:pPr>
            <w:r>
              <w:rPr>
                <w:rFonts w:ascii="Arial" w:hAnsi="Arial" w:cs="Arial"/>
                <w:b/>
                <w:bCs/>
              </w:rPr>
              <w:t>Larva</w:t>
            </w:r>
          </w:p>
        </w:tc>
        <w:tc>
          <w:tcPr>
            <w:tcW w:w="7033" w:type="dxa"/>
          </w:tcPr>
          <w:p w14:paraId="2771C46D" w14:textId="77777777" w:rsidR="009D3DC8" w:rsidRDefault="009D3DC8">
            <w:pPr>
              <w:pStyle w:val="TableText1"/>
              <w:rPr>
                <w:rFonts w:ascii="Arial" w:hAnsi="Arial" w:cs="Arial"/>
              </w:rPr>
            </w:pPr>
            <w:r>
              <w:rPr>
                <w:rFonts w:ascii="Arial" w:hAnsi="Arial" w:cs="Arial"/>
              </w:rPr>
              <w:t>A juvenile form of animal with indirect development, undergoing metamorphosis (for example, insects or amphibians)</w:t>
            </w:r>
          </w:p>
        </w:tc>
      </w:tr>
      <w:tr w:rsidR="009D3DC8" w14:paraId="7421F4D7" w14:textId="77777777">
        <w:trPr>
          <w:cantSplit/>
        </w:trPr>
        <w:tc>
          <w:tcPr>
            <w:tcW w:w="2223" w:type="dxa"/>
          </w:tcPr>
          <w:p w14:paraId="79824AD5" w14:textId="77777777" w:rsidR="009D3DC8" w:rsidRDefault="009D3DC8">
            <w:pPr>
              <w:pStyle w:val="TableText1"/>
              <w:rPr>
                <w:rFonts w:ascii="Arial" w:hAnsi="Arial" w:cs="Arial"/>
                <w:b/>
                <w:bCs/>
              </w:rPr>
            </w:pPr>
            <w:smartTag w:uri="urn:schemas-microsoft-com:office:smarttags" w:element="place">
              <w:r>
                <w:rPr>
                  <w:rFonts w:ascii="Arial" w:hAnsi="Arial" w:cs="Arial"/>
                  <w:b/>
                  <w:bCs/>
                </w:rPr>
                <w:t>Lot</w:t>
              </w:r>
            </w:smartTag>
          </w:p>
        </w:tc>
        <w:tc>
          <w:tcPr>
            <w:tcW w:w="7033" w:type="dxa"/>
          </w:tcPr>
          <w:p w14:paraId="167DD35B" w14:textId="77777777" w:rsidR="009D3DC8" w:rsidRDefault="009D3DC8">
            <w:pPr>
              <w:pStyle w:val="TableText1"/>
              <w:rPr>
                <w:rFonts w:ascii="Arial" w:hAnsi="Arial" w:cs="Arial"/>
              </w:rPr>
            </w:pPr>
            <w:r>
              <w:rPr>
                <w:rFonts w:ascii="Arial" w:hAnsi="Arial" w:cs="Arial"/>
              </w:rPr>
              <w:t>A number of units of a single commodity, identifiable by its homogeneity of composition, origin etc., forming part of a consignment (FAO 2009). Within this report a ‘lot’ refers to a quantity of fruit of a single variety, harvested from a single production site during a single pick and packed at one time</w:t>
            </w:r>
          </w:p>
        </w:tc>
      </w:tr>
      <w:tr w:rsidR="009D3DC8" w14:paraId="0E469F80" w14:textId="77777777">
        <w:trPr>
          <w:cantSplit/>
        </w:trPr>
        <w:tc>
          <w:tcPr>
            <w:tcW w:w="2223" w:type="dxa"/>
          </w:tcPr>
          <w:p w14:paraId="55BAD171" w14:textId="77777777" w:rsidR="009D3DC8" w:rsidRDefault="009D3DC8">
            <w:pPr>
              <w:pStyle w:val="TableText1"/>
              <w:rPr>
                <w:rFonts w:ascii="Arial" w:hAnsi="Arial" w:cs="Arial"/>
                <w:b/>
                <w:bCs/>
              </w:rPr>
            </w:pPr>
            <w:r>
              <w:rPr>
                <w:rFonts w:ascii="Arial" w:hAnsi="Arial" w:cs="Arial"/>
                <w:b/>
                <w:bCs/>
              </w:rPr>
              <w:t>Mature fruit</w:t>
            </w:r>
          </w:p>
        </w:tc>
        <w:tc>
          <w:tcPr>
            <w:tcW w:w="7033" w:type="dxa"/>
          </w:tcPr>
          <w:p w14:paraId="7B01C745" w14:textId="77777777" w:rsidR="009D3DC8" w:rsidRDefault="009D3DC8">
            <w:pPr>
              <w:pStyle w:val="TableText1"/>
              <w:rPr>
                <w:rFonts w:ascii="Arial" w:hAnsi="Arial" w:cs="Arial"/>
              </w:rPr>
            </w:pPr>
            <w:r>
              <w:rPr>
                <w:rFonts w:ascii="Arial" w:hAnsi="Arial" w:cs="Arial"/>
              </w:rPr>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9D3DC8" w14:paraId="29B88B3A" w14:textId="77777777">
        <w:trPr>
          <w:cantSplit/>
        </w:trPr>
        <w:tc>
          <w:tcPr>
            <w:tcW w:w="2223" w:type="dxa"/>
          </w:tcPr>
          <w:p w14:paraId="4661A7AC" w14:textId="77777777" w:rsidR="009D3DC8" w:rsidRDefault="009D3DC8">
            <w:pPr>
              <w:pStyle w:val="TableText1"/>
              <w:rPr>
                <w:rFonts w:ascii="Arial" w:hAnsi="Arial" w:cs="Arial"/>
                <w:b/>
                <w:bCs/>
              </w:rPr>
            </w:pPr>
            <w:r>
              <w:rPr>
                <w:rFonts w:ascii="Arial" w:hAnsi="Arial" w:cs="Arial"/>
                <w:b/>
                <w:bCs/>
              </w:rPr>
              <w:t>Mesocarp</w:t>
            </w:r>
          </w:p>
        </w:tc>
        <w:tc>
          <w:tcPr>
            <w:tcW w:w="7033" w:type="dxa"/>
          </w:tcPr>
          <w:p w14:paraId="2B6A57D7" w14:textId="77777777" w:rsidR="009D3DC8" w:rsidRDefault="009D3DC8">
            <w:pPr>
              <w:pStyle w:val="TableText1"/>
              <w:rPr>
                <w:rFonts w:ascii="Arial" w:hAnsi="Arial" w:cs="Arial"/>
              </w:rPr>
            </w:pPr>
            <w:r>
              <w:rPr>
                <w:rFonts w:ascii="Arial" w:hAnsi="Arial" w:cs="Arial"/>
              </w:rPr>
              <w:t>The middle, usally fleshy layer of a fruit wall</w:t>
            </w:r>
          </w:p>
        </w:tc>
      </w:tr>
      <w:tr w:rsidR="009D3DC8" w14:paraId="0536B116" w14:textId="77777777">
        <w:trPr>
          <w:cantSplit/>
        </w:trPr>
        <w:tc>
          <w:tcPr>
            <w:tcW w:w="2223" w:type="dxa"/>
          </w:tcPr>
          <w:p w14:paraId="27C20BC9" w14:textId="77777777" w:rsidR="009D3DC8" w:rsidRDefault="009D3DC8">
            <w:pPr>
              <w:pStyle w:val="TableText1"/>
              <w:rPr>
                <w:rFonts w:ascii="Arial" w:hAnsi="Arial" w:cs="Arial"/>
                <w:b/>
                <w:bCs/>
              </w:rPr>
            </w:pPr>
            <w:r>
              <w:rPr>
                <w:rFonts w:ascii="Arial" w:hAnsi="Arial" w:cs="Arial"/>
                <w:b/>
                <w:bCs/>
              </w:rPr>
              <w:t>Mortality</w:t>
            </w:r>
          </w:p>
        </w:tc>
        <w:tc>
          <w:tcPr>
            <w:tcW w:w="7033" w:type="dxa"/>
          </w:tcPr>
          <w:p w14:paraId="5A4ADE15" w14:textId="77777777" w:rsidR="009D3DC8" w:rsidRDefault="009D3DC8">
            <w:pPr>
              <w:pStyle w:val="TableText1"/>
              <w:rPr>
                <w:rFonts w:ascii="Arial" w:hAnsi="Arial" w:cs="Arial"/>
              </w:rPr>
            </w:pPr>
            <w:r>
              <w:rPr>
                <w:rFonts w:ascii="Arial" w:hAnsi="Arial" w:cs="Arial"/>
              </w:rPr>
              <w:t>The total number of organisms killed by a particular disease</w:t>
            </w:r>
          </w:p>
        </w:tc>
      </w:tr>
      <w:tr w:rsidR="009D3DC8" w14:paraId="22A0C660" w14:textId="77777777">
        <w:trPr>
          <w:cantSplit/>
        </w:trPr>
        <w:tc>
          <w:tcPr>
            <w:tcW w:w="2223" w:type="dxa"/>
          </w:tcPr>
          <w:p w14:paraId="1E344A39" w14:textId="77777777" w:rsidR="009D3DC8" w:rsidRDefault="009D3DC8">
            <w:pPr>
              <w:pStyle w:val="TableText1"/>
              <w:rPr>
                <w:rFonts w:ascii="Arial" w:hAnsi="Arial" w:cs="Arial"/>
                <w:b/>
                <w:bCs/>
              </w:rPr>
            </w:pPr>
            <w:r>
              <w:rPr>
                <w:rFonts w:ascii="Arial" w:hAnsi="Arial" w:cs="Arial"/>
                <w:b/>
                <w:bCs/>
              </w:rPr>
              <w:t>National Plant Protection Organization (NPPO)</w:t>
            </w:r>
          </w:p>
        </w:tc>
        <w:tc>
          <w:tcPr>
            <w:tcW w:w="7033" w:type="dxa"/>
          </w:tcPr>
          <w:p w14:paraId="57102D25" w14:textId="77777777" w:rsidR="009D3DC8" w:rsidRDefault="009D3DC8">
            <w:pPr>
              <w:pStyle w:val="TableText1"/>
              <w:rPr>
                <w:rFonts w:ascii="Arial" w:hAnsi="Arial" w:cs="Arial"/>
              </w:rPr>
            </w:pPr>
            <w:r>
              <w:rPr>
                <w:rFonts w:ascii="Arial" w:hAnsi="Arial" w:cs="Arial"/>
              </w:rPr>
              <w:t>Official service established by a government to discharge the functions specified by the IPPC (FAO 2009).</w:t>
            </w:r>
          </w:p>
        </w:tc>
      </w:tr>
      <w:tr w:rsidR="009D3DC8" w14:paraId="318308E8" w14:textId="77777777">
        <w:trPr>
          <w:cantSplit/>
        </w:trPr>
        <w:tc>
          <w:tcPr>
            <w:tcW w:w="2223" w:type="dxa"/>
          </w:tcPr>
          <w:p w14:paraId="0CE713DD" w14:textId="77777777" w:rsidR="009D3DC8" w:rsidRDefault="009D3DC8">
            <w:pPr>
              <w:pStyle w:val="TableText1"/>
              <w:rPr>
                <w:rFonts w:ascii="Arial" w:hAnsi="Arial" w:cs="Arial"/>
                <w:b/>
                <w:bCs/>
              </w:rPr>
            </w:pPr>
            <w:r>
              <w:rPr>
                <w:rFonts w:ascii="Arial" w:hAnsi="Arial" w:cs="Arial"/>
                <w:b/>
                <w:bCs/>
              </w:rPr>
              <w:t>Nymph</w:t>
            </w:r>
          </w:p>
        </w:tc>
        <w:tc>
          <w:tcPr>
            <w:tcW w:w="7033" w:type="dxa"/>
          </w:tcPr>
          <w:p w14:paraId="17F1C799" w14:textId="77777777" w:rsidR="009D3DC8" w:rsidRDefault="009D3DC8">
            <w:pPr>
              <w:pStyle w:val="TableText1"/>
              <w:rPr>
                <w:rFonts w:ascii="Arial" w:hAnsi="Arial" w:cs="Arial"/>
              </w:rPr>
            </w:pPr>
            <w:r>
              <w:rPr>
                <w:rFonts w:ascii="Arial" w:hAnsi="Arial" w:cs="Arial"/>
              </w:rPr>
              <w:t>The immature form of some insect species that undergoes incomplete metamorphosis, It is not to be confused with larva, as its overall form is already that of the adult</w:t>
            </w:r>
          </w:p>
        </w:tc>
      </w:tr>
      <w:tr w:rsidR="009D3DC8" w14:paraId="50492DF5" w14:textId="77777777">
        <w:trPr>
          <w:cantSplit/>
        </w:trPr>
        <w:tc>
          <w:tcPr>
            <w:tcW w:w="2223" w:type="dxa"/>
          </w:tcPr>
          <w:p w14:paraId="0AF97B56" w14:textId="77777777" w:rsidR="009D3DC8" w:rsidRDefault="009D3DC8">
            <w:pPr>
              <w:pStyle w:val="TableText1"/>
              <w:rPr>
                <w:rFonts w:ascii="Arial" w:hAnsi="Arial" w:cs="Arial"/>
                <w:b/>
                <w:bCs/>
              </w:rPr>
            </w:pPr>
            <w:r>
              <w:rPr>
                <w:rFonts w:ascii="Arial" w:hAnsi="Arial" w:cs="Arial"/>
                <w:b/>
                <w:bCs/>
              </w:rPr>
              <w:t>Official control</w:t>
            </w:r>
          </w:p>
        </w:tc>
        <w:tc>
          <w:tcPr>
            <w:tcW w:w="7033" w:type="dxa"/>
          </w:tcPr>
          <w:p w14:paraId="1FFD378F" w14:textId="77777777" w:rsidR="009D3DC8" w:rsidRDefault="009D3DC8">
            <w:pPr>
              <w:pStyle w:val="TableText1"/>
              <w:rPr>
                <w:rFonts w:ascii="Arial" w:hAnsi="Arial" w:cs="Arial"/>
              </w:rPr>
            </w:pPr>
            <w:r>
              <w:rPr>
                <w:rFonts w:ascii="Arial" w:hAnsi="Arial" w:cs="Arial"/>
              </w:rPr>
              <w:t>The active enforcement of mandatory phytosanitary regulations and the application of mandatory phytosanitary procedures with the objective of eradication or containment of quarantine pests or for the management of regulated non-quarantine pests (FAO 2009).</w:t>
            </w:r>
          </w:p>
        </w:tc>
      </w:tr>
      <w:tr w:rsidR="009D3DC8" w14:paraId="1368412E" w14:textId="77777777">
        <w:trPr>
          <w:cantSplit/>
        </w:trPr>
        <w:tc>
          <w:tcPr>
            <w:tcW w:w="2223" w:type="dxa"/>
          </w:tcPr>
          <w:p w14:paraId="2274F502" w14:textId="77777777" w:rsidR="009D3DC8" w:rsidRDefault="009D3DC8">
            <w:pPr>
              <w:pStyle w:val="TableText1"/>
              <w:rPr>
                <w:rFonts w:ascii="Arial" w:hAnsi="Arial" w:cs="Arial"/>
                <w:b/>
                <w:bCs/>
              </w:rPr>
            </w:pPr>
            <w:r>
              <w:rPr>
                <w:rFonts w:ascii="Arial" w:hAnsi="Arial" w:cs="Arial"/>
                <w:b/>
                <w:bCs/>
              </w:rPr>
              <w:t>Orchard</w:t>
            </w:r>
          </w:p>
        </w:tc>
        <w:tc>
          <w:tcPr>
            <w:tcW w:w="7033" w:type="dxa"/>
          </w:tcPr>
          <w:p w14:paraId="7BE821DE" w14:textId="77777777" w:rsidR="009D3DC8" w:rsidRDefault="009D3DC8">
            <w:pPr>
              <w:pStyle w:val="TableText1"/>
              <w:rPr>
                <w:rFonts w:ascii="Arial" w:hAnsi="Arial" w:cs="Arial"/>
              </w:rPr>
            </w:pPr>
            <w:r>
              <w:rPr>
                <w:rFonts w:ascii="Arial" w:hAnsi="Arial" w:cs="Arial"/>
              </w:rPr>
              <w:t>A contiguous area of mangosteen trees operated as a single entity. Within this report a single orchard is covered under one registration and is issued a unique indentifying number</w:t>
            </w:r>
          </w:p>
        </w:tc>
      </w:tr>
      <w:tr w:rsidR="009D3DC8" w14:paraId="6834D6D0" w14:textId="77777777">
        <w:trPr>
          <w:cantSplit/>
        </w:trPr>
        <w:tc>
          <w:tcPr>
            <w:tcW w:w="2223" w:type="dxa"/>
          </w:tcPr>
          <w:p w14:paraId="21993B2F" w14:textId="77777777" w:rsidR="009D3DC8" w:rsidRDefault="009D3DC8">
            <w:pPr>
              <w:pStyle w:val="TableText1"/>
              <w:rPr>
                <w:rFonts w:ascii="Arial" w:hAnsi="Arial" w:cs="Arial"/>
                <w:b/>
                <w:bCs/>
              </w:rPr>
            </w:pPr>
            <w:r>
              <w:rPr>
                <w:rFonts w:ascii="Arial" w:hAnsi="Arial" w:cs="Arial"/>
                <w:b/>
                <w:bCs/>
              </w:rPr>
              <w:t>Parthenognesis</w:t>
            </w:r>
          </w:p>
        </w:tc>
        <w:tc>
          <w:tcPr>
            <w:tcW w:w="7033" w:type="dxa"/>
          </w:tcPr>
          <w:p w14:paraId="0E8039C4" w14:textId="77777777" w:rsidR="009D3DC8" w:rsidRDefault="009D3DC8">
            <w:pPr>
              <w:pStyle w:val="TableText1"/>
              <w:rPr>
                <w:rFonts w:ascii="Arial" w:hAnsi="Arial" w:cs="Arial"/>
              </w:rPr>
            </w:pPr>
            <w:r>
              <w:rPr>
                <w:rFonts w:ascii="Arial" w:hAnsi="Arial" w:cs="Arial"/>
              </w:rPr>
              <w:t>Production of an embryo from unfertilised egg</w:t>
            </w:r>
          </w:p>
        </w:tc>
      </w:tr>
      <w:tr w:rsidR="009D3DC8" w14:paraId="71D65AF4" w14:textId="77777777">
        <w:trPr>
          <w:cantSplit/>
        </w:trPr>
        <w:tc>
          <w:tcPr>
            <w:tcW w:w="2223" w:type="dxa"/>
          </w:tcPr>
          <w:p w14:paraId="4E21D5C2" w14:textId="77777777" w:rsidR="009D3DC8" w:rsidRDefault="009D3DC8">
            <w:pPr>
              <w:pStyle w:val="TableText1"/>
              <w:rPr>
                <w:rFonts w:ascii="Arial" w:hAnsi="Arial" w:cs="Arial"/>
                <w:b/>
                <w:bCs/>
              </w:rPr>
            </w:pPr>
            <w:r>
              <w:rPr>
                <w:rFonts w:ascii="Arial" w:hAnsi="Arial" w:cs="Arial"/>
                <w:b/>
                <w:bCs/>
              </w:rPr>
              <w:t>Pathogen</w:t>
            </w:r>
          </w:p>
        </w:tc>
        <w:tc>
          <w:tcPr>
            <w:tcW w:w="7033" w:type="dxa"/>
          </w:tcPr>
          <w:p w14:paraId="03125869" w14:textId="77777777" w:rsidR="009D3DC8" w:rsidRDefault="009D3DC8">
            <w:pPr>
              <w:pStyle w:val="TableText1"/>
              <w:rPr>
                <w:rFonts w:ascii="Arial" w:hAnsi="Arial" w:cs="Arial"/>
              </w:rPr>
            </w:pPr>
            <w:r>
              <w:rPr>
                <w:rFonts w:ascii="Arial" w:hAnsi="Arial" w:cs="Arial"/>
              </w:rPr>
              <w:t>A biological agent that can cause disease to its host</w:t>
            </w:r>
          </w:p>
        </w:tc>
      </w:tr>
      <w:tr w:rsidR="009D3DC8" w14:paraId="426FFFBC" w14:textId="77777777">
        <w:trPr>
          <w:cantSplit/>
        </w:trPr>
        <w:tc>
          <w:tcPr>
            <w:tcW w:w="2223" w:type="dxa"/>
          </w:tcPr>
          <w:p w14:paraId="476C464B" w14:textId="77777777" w:rsidR="009D3DC8" w:rsidRDefault="009D3DC8">
            <w:pPr>
              <w:pStyle w:val="TableText1"/>
              <w:rPr>
                <w:rFonts w:ascii="Arial" w:hAnsi="Arial" w:cs="Arial"/>
                <w:b/>
                <w:bCs/>
              </w:rPr>
            </w:pPr>
            <w:r>
              <w:rPr>
                <w:rFonts w:ascii="Arial" w:hAnsi="Arial" w:cs="Arial"/>
                <w:b/>
                <w:bCs/>
              </w:rPr>
              <w:t>Pathway</w:t>
            </w:r>
          </w:p>
        </w:tc>
        <w:tc>
          <w:tcPr>
            <w:tcW w:w="7033" w:type="dxa"/>
          </w:tcPr>
          <w:p w14:paraId="1FD17B32" w14:textId="77777777" w:rsidR="009D3DC8" w:rsidRDefault="009D3DC8">
            <w:pPr>
              <w:pStyle w:val="TableText1"/>
              <w:rPr>
                <w:rFonts w:ascii="Arial" w:hAnsi="Arial" w:cs="Arial"/>
              </w:rPr>
            </w:pPr>
            <w:r>
              <w:rPr>
                <w:rFonts w:ascii="Arial" w:hAnsi="Arial" w:cs="Arial"/>
              </w:rPr>
              <w:t>Any means that allows the entry or spread of a pest (FAO 2009).</w:t>
            </w:r>
          </w:p>
        </w:tc>
      </w:tr>
      <w:tr w:rsidR="009D3DC8" w14:paraId="39BEC2F4" w14:textId="77777777">
        <w:trPr>
          <w:cantSplit/>
        </w:trPr>
        <w:tc>
          <w:tcPr>
            <w:tcW w:w="2223" w:type="dxa"/>
          </w:tcPr>
          <w:p w14:paraId="5DB2AF94" w14:textId="77777777" w:rsidR="009D3DC8" w:rsidRDefault="009D3DC8">
            <w:pPr>
              <w:pStyle w:val="TableText1"/>
              <w:rPr>
                <w:rFonts w:ascii="Arial" w:hAnsi="Arial" w:cs="Arial"/>
                <w:b/>
                <w:bCs/>
              </w:rPr>
            </w:pPr>
            <w:r>
              <w:rPr>
                <w:rFonts w:ascii="Arial" w:hAnsi="Arial" w:cs="Arial"/>
                <w:b/>
                <w:bCs/>
              </w:rPr>
              <w:t>Pericarp</w:t>
            </w:r>
          </w:p>
        </w:tc>
        <w:tc>
          <w:tcPr>
            <w:tcW w:w="7033" w:type="dxa"/>
          </w:tcPr>
          <w:p w14:paraId="2B06AA44" w14:textId="77777777" w:rsidR="009D3DC8" w:rsidRDefault="009D3DC8">
            <w:pPr>
              <w:pStyle w:val="TableText1"/>
              <w:rPr>
                <w:rFonts w:ascii="Arial" w:hAnsi="Arial" w:cs="Arial"/>
              </w:rPr>
            </w:pPr>
            <w:r>
              <w:rPr>
                <w:rFonts w:ascii="Arial" w:hAnsi="Arial" w:cs="Arial"/>
              </w:rPr>
              <w:t>The tissue that arises from the ripen ovary wall of the fruit</w:t>
            </w:r>
          </w:p>
        </w:tc>
      </w:tr>
      <w:tr w:rsidR="009D3DC8" w14:paraId="7B1CB85C" w14:textId="77777777">
        <w:trPr>
          <w:cantSplit/>
        </w:trPr>
        <w:tc>
          <w:tcPr>
            <w:tcW w:w="2223" w:type="dxa"/>
          </w:tcPr>
          <w:p w14:paraId="6649D2B8" w14:textId="77777777" w:rsidR="009D3DC8" w:rsidRDefault="009D3DC8">
            <w:pPr>
              <w:pStyle w:val="TableText1"/>
              <w:rPr>
                <w:rFonts w:ascii="Arial" w:hAnsi="Arial" w:cs="Arial"/>
                <w:b/>
                <w:bCs/>
              </w:rPr>
            </w:pPr>
            <w:smartTag w:uri="urn:schemas-microsoft-com:office:smarttags" w:element="place">
              <w:r>
                <w:rPr>
                  <w:rFonts w:ascii="Arial" w:hAnsi="Arial" w:cs="Arial"/>
                  <w:b/>
                  <w:bCs/>
                </w:rPr>
                <w:t>Pest</w:t>
              </w:r>
            </w:smartTag>
          </w:p>
        </w:tc>
        <w:tc>
          <w:tcPr>
            <w:tcW w:w="7033" w:type="dxa"/>
          </w:tcPr>
          <w:p w14:paraId="3925D302" w14:textId="77777777" w:rsidR="009D3DC8" w:rsidRDefault="009D3DC8">
            <w:pPr>
              <w:pStyle w:val="TableText1"/>
              <w:rPr>
                <w:rFonts w:ascii="Arial" w:hAnsi="Arial" w:cs="Arial"/>
              </w:rPr>
            </w:pPr>
            <w:r>
              <w:rPr>
                <w:rFonts w:ascii="Arial" w:hAnsi="Arial" w:cs="Arial"/>
              </w:rPr>
              <w:t>Any species, strain or biotype of plant, animal, or pathogenic agent injurious to plants or plant products (FAO 2009).</w:t>
            </w:r>
          </w:p>
        </w:tc>
      </w:tr>
      <w:tr w:rsidR="009D3DC8" w14:paraId="537FBDEB" w14:textId="77777777">
        <w:trPr>
          <w:cantSplit/>
        </w:trPr>
        <w:tc>
          <w:tcPr>
            <w:tcW w:w="2223" w:type="dxa"/>
          </w:tcPr>
          <w:p w14:paraId="17D989F3" w14:textId="77777777" w:rsidR="009D3DC8" w:rsidRDefault="009D3DC8">
            <w:pPr>
              <w:pStyle w:val="TableText1"/>
              <w:rPr>
                <w:rFonts w:ascii="Arial" w:hAnsi="Arial" w:cs="Arial"/>
                <w:b/>
                <w:bCs/>
              </w:rPr>
            </w:pPr>
            <w:smartTag w:uri="urn:schemas-microsoft-com:office:smarttags" w:element="place">
              <w:r>
                <w:rPr>
                  <w:rFonts w:ascii="Arial" w:hAnsi="Arial" w:cs="Arial"/>
                  <w:b/>
                  <w:bCs/>
                </w:rPr>
                <w:lastRenderedPageBreak/>
                <w:t>Pest</w:t>
              </w:r>
            </w:smartTag>
            <w:r>
              <w:rPr>
                <w:rFonts w:ascii="Arial" w:hAnsi="Arial" w:cs="Arial"/>
                <w:b/>
                <w:bCs/>
              </w:rPr>
              <w:t xml:space="preserve"> categorisation</w:t>
            </w:r>
          </w:p>
        </w:tc>
        <w:tc>
          <w:tcPr>
            <w:tcW w:w="7033" w:type="dxa"/>
          </w:tcPr>
          <w:p w14:paraId="0F8DF1BE" w14:textId="77777777" w:rsidR="009D3DC8" w:rsidRDefault="009D3DC8">
            <w:pPr>
              <w:pStyle w:val="TableText1"/>
              <w:rPr>
                <w:rFonts w:ascii="Arial" w:hAnsi="Arial" w:cs="Arial"/>
              </w:rPr>
            </w:pPr>
            <w:r>
              <w:rPr>
                <w:rFonts w:ascii="Arial" w:hAnsi="Arial" w:cs="Arial"/>
              </w:rPr>
              <w:t>The process for determining whether a pest has or has not the characteristics of a quarantine pest or those of a regulated non-quarantine pest (FAO 2009).</w:t>
            </w:r>
          </w:p>
        </w:tc>
      </w:tr>
      <w:tr w:rsidR="009D3DC8" w14:paraId="67AE5710" w14:textId="77777777">
        <w:trPr>
          <w:cantSplit/>
        </w:trPr>
        <w:tc>
          <w:tcPr>
            <w:tcW w:w="2223" w:type="dxa"/>
          </w:tcPr>
          <w:p w14:paraId="66A5CD8A" w14:textId="77777777" w:rsidR="009D3DC8" w:rsidRDefault="009D3DC8">
            <w:pPr>
              <w:pStyle w:val="TableText1"/>
              <w:rPr>
                <w:rFonts w:ascii="Arial" w:hAnsi="Arial" w:cs="Arial"/>
                <w:b/>
                <w:bCs/>
              </w:rPr>
            </w:pPr>
            <w:smartTag w:uri="urn:schemas-microsoft-com:office:smarttags" w:element="place">
              <w:r>
                <w:rPr>
                  <w:rFonts w:ascii="Arial" w:hAnsi="Arial" w:cs="Arial"/>
                  <w:b/>
                </w:rPr>
                <w:t>Pest</w:t>
              </w:r>
            </w:smartTag>
            <w:r>
              <w:rPr>
                <w:rFonts w:ascii="Arial" w:hAnsi="Arial" w:cs="Arial"/>
                <w:b/>
              </w:rPr>
              <w:t xml:space="preserve"> free area</w:t>
            </w:r>
            <w:r>
              <w:rPr>
                <w:rFonts w:ascii="Arial" w:hAnsi="Arial" w:cs="Arial"/>
                <w:b/>
                <w:bCs/>
              </w:rPr>
              <w:t xml:space="preserve"> (PFA)</w:t>
            </w:r>
          </w:p>
        </w:tc>
        <w:tc>
          <w:tcPr>
            <w:tcW w:w="7033" w:type="dxa"/>
          </w:tcPr>
          <w:p w14:paraId="01CB19ED" w14:textId="77777777" w:rsidR="009D3DC8" w:rsidRDefault="009D3DC8">
            <w:pPr>
              <w:pStyle w:val="TableText1"/>
              <w:rPr>
                <w:rFonts w:ascii="Arial" w:hAnsi="Arial" w:cs="Arial"/>
              </w:rPr>
            </w:pPr>
            <w:r>
              <w:rPr>
                <w:rFonts w:ascii="Arial" w:hAnsi="Arial" w:cs="Arial"/>
              </w:rPr>
              <w:t>An area in which a specific pest does not occur as demonstrated by scientific evidence and in which, where appropriate, this condition is being officially maintained (FAO 2009).</w:t>
            </w:r>
          </w:p>
        </w:tc>
      </w:tr>
      <w:tr w:rsidR="009D3DC8" w14:paraId="5ABEE727" w14:textId="77777777">
        <w:trPr>
          <w:cantSplit/>
        </w:trPr>
        <w:tc>
          <w:tcPr>
            <w:tcW w:w="2223" w:type="dxa"/>
          </w:tcPr>
          <w:p w14:paraId="264EE2F9" w14:textId="77777777" w:rsidR="009D3DC8" w:rsidRDefault="009D3DC8">
            <w:pPr>
              <w:pStyle w:val="TableText1"/>
              <w:rPr>
                <w:rFonts w:ascii="Arial" w:hAnsi="Arial" w:cs="Arial"/>
                <w:b/>
                <w:bCs/>
              </w:rPr>
            </w:pPr>
            <w:smartTag w:uri="urn:schemas-microsoft-com:office:smarttags" w:element="place">
              <w:r>
                <w:rPr>
                  <w:rFonts w:ascii="Arial" w:hAnsi="Arial" w:cs="Arial"/>
                  <w:b/>
                  <w:bCs/>
                </w:rPr>
                <w:t>Pest</w:t>
              </w:r>
            </w:smartTag>
            <w:r>
              <w:rPr>
                <w:rFonts w:ascii="Arial" w:hAnsi="Arial" w:cs="Arial"/>
                <w:b/>
                <w:bCs/>
              </w:rPr>
              <w:t xml:space="preserve"> free place of production</w:t>
            </w:r>
          </w:p>
        </w:tc>
        <w:tc>
          <w:tcPr>
            <w:tcW w:w="7033" w:type="dxa"/>
          </w:tcPr>
          <w:p w14:paraId="3B6632FD" w14:textId="77777777" w:rsidR="009D3DC8" w:rsidRDefault="009D3DC8">
            <w:pPr>
              <w:pStyle w:val="TableText1"/>
              <w:rPr>
                <w:rFonts w:ascii="Arial" w:hAnsi="Arial" w:cs="Arial"/>
              </w:rPr>
            </w:pPr>
            <w:r>
              <w:rPr>
                <w:rFonts w:ascii="Arial" w:hAnsi="Arial" w:cs="Arial"/>
              </w:rPr>
              <w:t>Place of production in which a specific pest does not occur as demonstrated by scientific evidence and in which, where appropriate, this condition is being officially maintained for a defined period (FAO 2009).</w:t>
            </w:r>
          </w:p>
        </w:tc>
      </w:tr>
      <w:tr w:rsidR="009D3DC8" w14:paraId="18AA4E82" w14:textId="77777777">
        <w:trPr>
          <w:cantSplit/>
        </w:trPr>
        <w:tc>
          <w:tcPr>
            <w:tcW w:w="2223" w:type="dxa"/>
          </w:tcPr>
          <w:p w14:paraId="68B6BBCD" w14:textId="77777777" w:rsidR="009D3DC8" w:rsidRDefault="009D3DC8">
            <w:pPr>
              <w:pStyle w:val="TableText1"/>
              <w:rPr>
                <w:rFonts w:ascii="Arial" w:hAnsi="Arial" w:cs="Arial"/>
                <w:b/>
                <w:bCs/>
              </w:rPr>
            </w:pPr>
            <w:smartTag w:uri="urn:schemas-microsoft-com:office:smarttags" w:element="place">
              <w:r>
                <w:rPr>
                  <w:rFonts w:ascii="Arial" w:hAnsi="Arial" w:cs="Arial"/>
                  <w:b/>
                  <w:bCs/>
                </w:rPr>
                <w:t>Pest</w:t>
              </w:r>
            </w:smartTag>
            <w:r>
              <w:rPr>
                <w:rFonts w:ascii="Arial" w:hAnsi="Arial" w:cs="Arial"/>
                <w:b/>
                <w:bCs/>
              </w:rPr>
              <w:t xml:space="preserve"> free production site</w:t>
            </w:r>
          </w:p>
        </w:tc>
        <w:tc>
          <w:tcPr>
            <w:tcW w:w="7033" w:type="dxa"/>
          </w:tcPr>
          <w:p w14:paraId="454F923F" w14:textId="77777777" w:rsidR="009D3DC8" w:rsidRDefault="009D3DC8">
            <w:pPr>
              <w:pStyle w:val="TableText1"/>
              <w:rPr>
                <w:rFonts w:ascii="Arial" w:hAnsi="Arial" w:cs="Arial"/>
              </w:rPr>
            </w:pPr>
            <w:r>
              <w:rPr>
                <w:rFonts w:ascii="Arial" w:hAnsi="Arial" w:cs="Arial"/>
              </w:rPr>
              <w:t>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(FAO 2009).</w:t>
            </w:r>
          </w:p>
        </w:tc>
      </w:tr>
      <w:tr w:rsidR="009D3DC8" w14:paraId="5F423267" w14:textId="77777777">
        <w:trPr>
          <w:cantSplit/>
        </w:trPr>
        <w:tc>
          <w:tcPr>
            <w:tcW w:w="2223" w:type="dxa"/>
          </w:tcPr>
          <w:p w14:paraId="58929FFA" w14:textId="77777777" w:rsidR="009D3DC8" w:rsidRDefault="009D3DC8">
            <w:pPr>
              <w:pStyle w:val="TableText1"/>
              <w:rPr>
                <w:rFonts w:ascii="Arial" w:hAnsi="Arial" w:cs="Arial"/>
                <w:b/>
                <w:bCs/>
              </w:rPr>
            </w:pPr>
            <w:smartTag w:uri="urn:schemas-microsoft-com:office:smarttags" w:element="place">
              <w:r>
                <w:rPr>
                  <w:rFonts w:ascii="Arial" w:hAnsi="Arial" w:cs="Arial"/>
                  <w:b/>
                </w:rPr>
                <w:t>Pest</w:t>
              </w:r>
            </w:smartTag>
            <w:r>
              <w:rPr>
                <w:rFonts w:ascii="Arial" w:hAnsi="Arial" w:cs="Arial"/>
                <w:b/>
              </w:rPr>
              <w:t xml:space="preserve"> risk analysis (</w:t>
            </w:r>
            <w:r>
              <w:rPr>
                <w:rFonts w:ascii="Arial" w:hAnsi="Arial" w:cs="Arial"/>
                <w:b/>
                <w:bCs/>
              </w:rPr>
              <w:t>PRA)</w:t>
            </w:r>
          </w:p>
        </w:tc>
        <w:tc>
          <w:tcPr>
            <w:tcW w:w="7033" w:type="dxa"/>
          </w:tcPr>
          <w:p w14:paraId="0C100FFE" w14:textId="77777777" w:rsidR="009D3DC8" w:rsidRDefault="009D3DC8">
            <w:pPr>
              <w:pStyle w:val="TableText1"/>
              <w:rPr>
                <w:rFonts w:ascii="Arial" w:hAnsi="Arial" w:cs="Arial"/>
              </w:rPr>
            </w:pPr>
            <w:r>
              <w:rPr>
                <w:rFonts w:ascii="Arial" w:hAnsi="Arial" w:cs="Arial"/>
              </w:rPr>
              <w:t>The process of evaluating biological or other scientific and economic evidence to determine whether an organism is a pest, whether it should be regulated, and the strength of any phytosanitary measures to be taken against it (FAO 2009).</w:t>
            </w:r>
          </w:p>
        </w:tc>
      </w:tr>
      <w:tr w:rsidR="009D3DC8" w14:paraId="4E342197" w14:textId="77777777">
        <w:trPr>
          <w:cantSplit/>
        </w:trPr>
        <w:tc>
          <w:tcPr>
            <w:tcW w:w="2223" w:type="dxa"/>
          </w:tcPr>
          <w:p w14:paraId="09947CED" w14:textId="77777777" w:rsidR="009D3DC8" w:rsidRDefault="009D3DC8">
            <w:pPr>
              <w:pStyle w:val="TableText1"/>
              <w:rPr>
                <w:rFonts w:ascii="Arial" w:hAnsi="Arial" w:cs="Arial"/>
                <w:b/>
              </w:rPr>
            </w:pPr>
            <w:smartTag w:uri="urn:schemas-microsoft-com:office:smarttags" w:element="place">
              <w:r>
                <w:rPr>
                  <w:rFonts w:ascii="Arial" w:hAnsi="Arial" w:cs="Arial"/>
                  <w:b/>
                  <w:bCs/>
                </w:rPr>
                <w:t>Pest</w:t>
              </w:r>
            </w:smartTag>
            <w:r>
              <w:rPr>
                <w:rFonts w:ascii="Arial" w:hAnsi="Arial" w:cs="Arial"/>
                <w:b/>
                <w:bCs/>
              </w:rPr>
              <w:t xml:space="preserve"> risk assessment (for quarantine pests)</w:t>
            </w:r>
          </w:p>
        </w:tc>
        <w:tc>
          <w:tcPr>
            <w:tcW w:w="7033" w:type="dxa"/>
          </w:tcPr>
          <w:p w14:paraId="20894BF8" w14:textId="77777777" w:rsidR="009D3DC8" w:rsidRDefault="009D3DC8">
            <w:pPr>
              <w:pStyle w:val="TableText1"/>
              <w:rPr>
                <w:rFonts w:ascii="Arial" w:hAnsi="Arial" w:cs="Arial"/>
              </w:rPr>
            </w:pPr>
            <w:r>
              <w:rPr>
                <w:rFonts w:ascii="Arial" w:hAnsi="Arial" w:cs="Arial"/>
              </w:rPr>
              <w:t xml:space="preserve">Evaluation of the probability of the </w:t>
            </w:r>
            <w:r>
              <w:rPr>
                <w:rFonts w:ascii="Arial" w:hAnsi="Arial" w:cs="Arial"/>
                <w:bCs/>
              </w:rPr>
              <w:t xml:space="preserve">introduction </w:t>
            </w:r>
            <w:r>
              <w:rPr>
                <w:rFonts w:ascii="Arial" w:hAnsi="Arial" w:cs="Arial"/>
              </w:rPr>
              <w:t xml:space="preserve">and </w:t>
            </w:r>
            <w:r>
              <w:rPr>
                <w:rFonts w:ascii="Arial" w:hAnsi="Arial" w:cs="Arial"/>
                <w:bCs/>
              </w:rPr>
              <w:t xml:space="preserve">spread </w:t>
            </w:r>
            <w:r>
              <w:rPr>
                <w:rFonts w:ascii="Arial" w:hAnsi="Arial" w:cs="Arial"/>
              </w:rPr>
              <w:t xml:space="preserve">of a </w:t>
            </w:r>
            <w:r>
              <w:rPr>
                <w:rFonts w:ascii="Arial" w:hAnsi="Arial" w:cs="Arial"/>
                <w:bCs/>
              </w:rPr>
              <w:t xml:space="preserve">pest </w:t>
            </w:r>
            <w:r>
              <w:rPr>
                <w:rFonts w:ascii="Arial" w:hAnsi="Arial" w:cs="Arial"/>
              </w:rPr>
              <w:t>and of the associated potential economic consequences (FAO 2009).</w:t>
            </w:r>
          </w:p>
        </w:tc>
      </w:tr>
      <w:tr w:rsidR="009D3DC8" w14:paraId="54D2D809" w14:textId="77777777">
        <w:trPr>
          <w:cantSplit/>
        </w:trPr>
        <w:tc>
          <w:tcPr>
            <w:tcW w:w="2223" w:type="dxa"/>
          </w:tcPr>
          <w:p w14:paraId="40F9760C" w14:textId="77777777" w:rsidR="009D3DC8" w:rsidRDefault="009D3DC8">
            <w:pPr>
              <w:pStyle w:val="TableText1"/>
              <w:rPr>
                <w:rFonts w:ascii="Arial" w:hAnsi="Arial" w:cs="Arial"/>
                <w:b/>
                <w:bCs/>
              </w:rPr>
            </w:pPr>
            <w:smartTag w:uri="urn:schemas-microsoft-com:office:smarttags" w:element="place">
              <w:r>
                <w:rPr>
                  <w:rFonts w:ascii="Arial" w:hAnsi="Arial" w:cs="Arial"/>
                  <w:b/>
                  <w:bCs/>
                </w:rPr>
                <w:t>Pest</w:t>
              </w:r>
            </w:smartTag>
            <w:r>
              <w:rPr>
                <w:rFonts w:ascii="Arial" w:hAnsi="Arial" w:cs="Arial"/>
                <w:b/>
                <w:bCs/>
              </w:rPr>
              <w:t xml:space="preserve"> risk management (for quarantine pests)</w:t>
            </w:r>
          </w:p>
        </w:tc>
        <w:tc>
          <w:tcPr>
            <w:tcW w:w="7033" w:type="dxa"/>
          </w:tcPr>
          <w:p w14:paraId="3D327C2E" w14:textId="77777777" w:rsidR="009D3DC8" w:rsidRDefault="009D3DC8">
            <w:pPr>
              <w:pStyle w:val="TableText1"/>
              <w:rPr>
                <w:rFonts w:ascii="Arial" w:hAnsi="Arial" w:cs="Arial"/>
              </w:rPr>
            </w:pPr>
            <w:r>
              <w:rPr>
                <w:rFonts w:ascii="Arial" w:hAnsi="Arial" w:cs="Arial"/>
              </w:rPr>
              <w:t>Evaluation and selection of options to reduce the risk of introduction and spread of a pest (FAO 2009).</w:t>
            </w:r>
          </w:p>
        </w:tc>
      </w:tr>
      <w:tr w:rsidR="009D3DC8" w14:paraId="0C68BCDB" w14:textId="77777777">
        <w:trPr>
          <w:cantSplit/>
        </w:trPr>
        <w:tc>
          <w:tcPr>
            <w:tcW w:w="2223" w:type="dxa"/>
          </w:tcPr>
          <w:p w14:paraId="37B6BD9E" w14:textId="77777777" w:rsidR="009D3DC8" w:rsidRDefault="009D3DC8">
            <w:pPr>
              <w:pStyle w:val="TableText1"/>
              <w:rPr>
                <w:rFonts w:ascii="Arial" w:hAnsi="Arial" w:cs="Arial"/>
                <w:b/>
                <w:bCs/>
              </w:rPr>
            </w:pPr>
            <w:r>
              <w:rPr>
                <w:rFonts w:ascii="Arial" w:hAnsi="Arial" w:cs="Arial"/>
                <w:b/>
                <w:bCs/>
              </w:rPr>
              <w:t>Phloem</w:t>
            </w:r>
          </w:p>
        </w:tc>
        <w:tc>
          <w:tcPr>
            <w:tcW w:w="7033" w:type="dxa"/>
          </w:tcPr>
          <w:p w14:paraId="789522E6" w14:textId="77777777" w:rsidR="009D3DC8" w:rsidRDefault="009D3DC8">
            <w:pPr>
              <w:pStyle w:val="TableText1"/>
              <w:rPr>
                <w:rFonts w:ascii="Arial" w:hAnsi="Arial" w:cs="Arial"/>
              </w:rPr>
            </w:pPr>
            <w:r>
              <w:rPr>
                <w:rFonts w:ascii="Arial" w:hAnsi="Arial" w:cs="Arial"/>
              </w:rPr>
              <w:t>In vascular plants, the tissue that carries organic nutrients to all parts of the plant where needed</w:t>
            </w:r>
          </w:p>
        </w:tc>
      </w:tr>
      <w:tr w:rsidR="009D3DC8" w14:paraId="5AD37BD1" w14:textId="77777777">
        <w:trPr>
          <w:cantSplit/>
        </w:trPr>
        <w:tc>
          <w:tcPr>
            <w:tcW w:w="2223" w:type="dxa"/>
          </w:tcPr>
          <w:p w14:paraId="2921D53B" w14:textId="77777777" w:rsidR="009D3DC8" w:rsidRDefault="009D3DC8">
            <w:pPr>
              <w:pStyle w:val="TableText1"/>
              <w:rPr>
                <w:rFonts w:ascii="Arial" w:hAnsi="Arial" w:cs="Arial"/>
                <w:b/>
                <w:bCs/>
              </w:rPr>
            </w:pPr>
            <w:r>
              <w:rPr>
                <w:rFonts w:ascii="Arial" w:hAnsi="Arial" w:cs="Arial"/>
                <w:b/>
                <w:bCs/>
              </w:rPr>
              <w:t>Phytosanitary certificate</w:t>
            </w:r>
          </w:p>
        </w:tc>
        <w:tc>
          <w:tcPr>
            <w:tcW w:w="7033" w:type="dxa"/>
          </w:tcPr>
          <w:p w14:paraId="11FE10B4" w14:textId="77777777" w:rsidR="009D3DC8" w:rsidRDefault="009D3DC8">
            <w:pPr>
              <w:pStyle w:val="TableText1"/>
              <w:rPr>
                <w:rFonts w:ascii="Arial" w:hAnsi="Arial" w:cs="Arial"/>
              </w:rPr>
            </w:pPr>
            <w:r>
              <w:rPr>
                <w:rFonts w:ascii="Arial" w:hAnsi="Arial" w:cs="Arial"/>
              </w:rPr>
              <w:t>Certificate patterned after the model certificates of the IPPC (FAO 2009).</w:t>
            </w:r>
          </w:p>
        </w:tc>
      </w:tr>
      <w:tr w:rsidR="009D3DC8" w14:paraId="7AA9B92B" w14:textId="77777777">
        <w:trPr>
          <w:cantSplit/>
        </w:trPr>
        <w:tc>
          <w:tcPr>
            <w:tcW w:w="2223" w:type="dxa"/>
          </w:tcPr>
          <w:p w14:paraId="7E41E421" w14:textId="77777777" w:rsidR="009D3DC8" w:rsidRDefault="009D3DC8">
            <w:pPr>
              <w:pStyle w:val="TableText1"/>
              <w:rPr>
                <w:rFonts w:ascii="Arial" w:hAnsi="Arial" w:cs="Arial"/>
                <w:b/>
                <w:bCs/>
              </w:rPr>
            </w:pPr>
            <w:r>
              <w:rPr>
                <w:rFonts w:ascii="Arial" w:hAnsi="Arial" w:cs="Arial"/>
                <w:b/>
                <w:bCs/>
              </w:rPr>
              <w:t>Phytosanitary measure</w:t>
            </w:r>
          </w:p>
        </w:tc>
        <w:tc>
          <w:tcPr>
            <w:tcW w:w="7033" w:type="dxa"/>
          </w:tcPr>
          <w:p w14:paraId="40D9B2B6" w14:textId="77777777" w:rsidR="009D3DC8" w:rsidRDefault="009D3DC8">
            <w:pPr>
              <w:pStyle w:val="TableText1"/>
              <w:rPr>
                <w:rFonts w:ascii="Arial" w:hAnsi="Arial" w:cs="Arial"/>
              </w:rPr>
            </w:pPr>
            <w:r>
              <w:rPr>
                <w:rFonts w:ascii="Arial" w:hAnsi="Arial" w:cs="Arial"/>
              </w:rPr>
              <w:t>Any legislation, regulation or official procedure having the purpose to prevent the introduction and/or spread of quarantine pests, or to limit the economic impact of regulated non-quarantine pests (FAO 2009).</w:t>
            </w:r>
          </w:p>
        </w:tc>
      </w:tr>
      <w:tr w:rsidR="009D3DC8" w14:paraId="6F7427B4" w14:textId="77777777">
        <w:trPr>
          <w:cantSplit/>
        </w:trPr>
        <w:tc>
          <w:tcPr>
            <w:tcW w:w="2223" w:type="dxa"/>
          </w:tcPr>
          <w:p w14:paraId="5C31AAA5" w14:textId="77777777" w:rsidR="009D3DC8" w:rsidRDefault="009D3DC8">
            <w:pPr>
              <w:pStyle w:val="TableText1"/>
              <w:rPr>
                <w:rFonts w:ascii="Arial" w:hAnsi="Arial" w:cs="Arial"/>
                <w:b/>
                <w:bCs/>
              </w:rPr>
            </w:pPr>
            <w:r>
              <w:rPr>
                <w:rFonts w:ascii="Arial" w:hAnsi="Arial" w:cs="Arial"/>
                <w:b/>
                <w:bCs/>
              </w:rPr>
              <w:t>Phytosanitary regulation</w:t>
            </w:r>
          </w:p>
        </w:tc>
        <w:tc>
          <w:tcPr>
            <w:tcW w:w="7033" w:type="dxa"/>
          </w:tcPr>
          <w:p w14:paraId="786C57E0" w14:textId="77777777" w:rsidR="009D3DC8" w:rsidRDefault="009D3DC8">
            <w:pPr>
              <w:pStyle w:val="TableText1"/>
              <w:rPr>
                <w:rFonts w:ascii="Arial" w:hAnsi="Arial" w:cs="Arial"/>
              </w:rPr>
            </w:pPr>
            <w:r>
              <w:rPr>
                <w:rFonts w:ascii="Arial" w:hAnsi="Arial" w:cs="Arial"/>
              </w:rPr>
              <w:t>Official rule to prevent the introduction and/or spread of quarantine pests, or to limit the economic impact of regulated non-quarantine pests, including establishment of procedures for phytosanitary certification (FAO 2009).</w:t>
            </w:r>
          </w:p>
        </w:tc>
      </w:tr>
      <w:tr w:rsidR="009D3DC8" w14:paraId="7A7110F6" w14:textId="77777777">
        <w:trPr>
          <w:cantSplit/>
        </w:trPr>
        <w:tc>
          <w:tcPr>
            <w:tcW w:w="2223" w:type="dxa"/>
          </w:tcPr>
          <w:p w14:paraId="562423FE" w14:textId="77777777" w:rsidR="009D3DC8" w:rsidRDefault="009D3DC8">
            <w:pPr>
              <w:pStyle w:val="TableText1"/>
              <w:rPr>
                <w:rFonts w:ascii="Arial" w:hAnsi="Arial" w:cs="Arial"/>
                <w:b/>
                <w:bCs/>
              </w:rPr>
            </w:pPr>
            <w:r>
              <w:rPr>
                <w:rFonts w:ascii="Arial" w:hAnsi="Arial" w:cs="Arial"/>
                <w:b/>
                <w:bCs/>
              </w:rPr>
              <w:t>Polyphagous</w:t>
            </w:r>
          </w:p>
        </w:tc>
        <w:tc>
          <w:tcPr>
            <w:tcW w:w="7033" w:type="dxa"/>
          </w:tcPr>
          <w:p w14:paraId="4385AE00" w14:textId="77777777" w:rsidR="009D3DC8" w:rsidRDefault="009D3DC8">
            <w:pPr>
              <w:pStyle w:val="TableText1"/>
              <w:rPr>
                <w:rFonts w:ascii="Arial" w:hAnsi="Arial" w:cs="Arial"/>
              </w:rPr>
            </w:pPr>
            <w:r>
              <w:rPr>
                <w:rFonts w:ascii="Arial" w:hAnsi="Arial" w:cs="Arial"/>
              </w:rPr>
              <w:t>Feeding on a relatively large number of hosts from different plant family and/or genera</w:t>
            </w:r>
          </w:p>
        </w:tc>
      </w:tr>
      <w:tr w:rsidR="009D3DC8" w14:paraId="627315B6" w14:textId="77777777">
        <w:trPr>
          <w:cantSplit/>
        </w:trPr>
        <w:tc>
          <w:tcPr>
            <w:tcW w:w="2223" w:type="dxa"/>
          </w:tcPr>
          <w:p w14:paraId="5EA49AD6" w14:textId="77777777" w:rsidR="009D3DC8" w:rsidRDefault="009D3DC8">
            <w:pPr>
              <w:pStyle w:val="TableText1"/>
              <w:rPr>
                <w:rFonts w:ascii="Arial" w:hAnsi="Arial" w:cs="Arial"/>
                <w:b/>
                <w:bCs/>
              </w:rPr>
            </w:pPr>
            <w:r>
              <w:rPr>
                <w:rFonts w:ascii="Arial" w:hAnsi="Arial" w:cs="Arial"/>
                <w:b/>
                <w:bCs/>
              </w:rPr>
              <w:t>PRA area</w:t>
            </w:r>
          </w:p>
        </w:tc>
        <w:tc>
          <w:tcPr>
            <w:tcW w:w="7033" w:type="dxa"/>
          </w:tcPr>
          <w:p w14:paraId="6BD4EC1D" w14:textId="77777777" w:rsidR="009D3DC8" w:rsidRDefault="009D3DC8">
            <w:pPr>
              <w:pStyle w:val="TableText1"/>
              <w:rPr>
                <w:rFonts w:ascii="Arial" w:hAnsi="Arial" w:cs="Arial"/>
              </w:rPr>
            </w:pPr>
            <w:r>
              <w:rPr>
                <w:rFonts w:ascii="Arial" w:hAnsi="Arial" w:cs="Arial"/>
              </w:rPr>
              <w:t>Area in relation to which a pest risk analysis is conducted (FAO 2009).</w:t>
            </w:r>
          </w:p>
        </w:tc>
      </w:tr>
      <w:tr w:rsidR="009D3DC8" w14:paraId="49475E14" w14:textId="77777777">
        <w:trPr>
          <w:cantSplit/>
        </w:trPr>
        <w:tc>
          <w:tcPr>
            <w:tcW w:w="2223" w:type="dxa"/>
          </w:tcPr>
          <w:p w14:paraId="7414C6A6" w14:textId="77777777" w:rsidR="009D3DC8" w:rsidRDefault="009D3DC8">
            <w:pPr>
              <w:pStyle w:val="TableText1"/>
              <w:rPr>
                <w:rFonts w:ascii="Arial" w:hAnsi="Arial" w:cs="Arial"/>
                <w:b/>
                <w:bCs/>
              </w:rPr>
            </w:pPr>
            <w:r>
              <w:rPr>
                <w:rFonts w:ascii="Arial" w:hAnsi="Arial" w:cs="Arial"/>
                <w:b/>
                <w:bCs/>
              </w:rPr>
              <w:t>Production site</w:t>
            </w:r>
          </w:p>
        </w:tc>
        <w:tc>
          <w:tcPr>
            <w:tcW w:w="7033" w:type="dxa"/>
          </w:tcPr>
          <w:p w14:paraId="5C15BED8" w14:textId="77777777" w:rsidR="009D3DC8" w:rsidRDefault="009D3DC8">
            <w:pPr>
              <w:pStyle w:val="TableText1"/>
              <w:rPr>
                <w:rFonts w:ascii="Arial" w:hAnsi="Arial" w:cs="Arial"/>
              </w:rPr>
            </w:pPr>
            <w:r>
              <w:rPr>
                <w:rFonts w:ascii="Arial" w:hAnsi="Arial" w:cs="Arial"/>
              </w:rPr>
              <w:t>In this report, a production site is a continuous planting of mangosteen trees treated as a single unit for pest management purposes. If an orchard is subdivided into one or more units for pest management purposes, then each unit is a production site. If the orchard is not subdivided, then the orchard is also the production site</w:t>
            </w:r>
          </w:p>
        </w:tc>
      </w:tr>
      <w:tr w:rsidR="009D3DC8" w14:paraId="72C1011D" w14:textId="77777777">
        <w:trPr>
          <w:cantSplit/>
        </w:trPr>
        <w:tc>
          <w:tcPr>
            <w:tcW w:w="2223" w:type="dxa"/>
          </w:tcPr>
          <w:p w14:paraId="51F0F789" w14:textId="77777777" w:rsidR="009D3DC8" w:rsidRDefault="009D3DC8">
            <w:pPr>
              <w:pStyle w:val="TableText1"/>
              <w:rPr>
                <w:rFonts w:ascii="Arial" w:hAnsi="Arial" w:cs="Arial"/>
                <w:b/>
                <w:bCs/>
              </w:rPr>
            </w:pPr>
            <w:r>
              <w:rPr>
                <w:rFonts w:ascii="Arial" w:hAnsi="Arial" w:cs="Arial"/>
                <w:b/>
                <w:bCs/>
              </w:rPr>
              <w:t>Pupa</w:t>
            </w:r>
          </w:p>
        </w:tc>
        <w:tc>
          <w:tcPr>
            <w:tcW w:w="7033" w:type="dxa"/>
          </w:tcPr>
          <w:p w14:paraId="24552D8B" w14:textId="77777777" w:rsidR="009D3DC8" w:rsidRDefault="009D3DC8">
            <w:pPr>
              <w:pStyle w:val="TableText1"/>
              <w:rPr>
                <w:rFonts w:ascii="Arial" w:hAnsi="Arial" w:cs="Arial"/>
              </w:rPr>
            </w:pPr>
            <w:r>
              <w:rPr>
                <w:rFonts w:ascii="Arial" w:hAnsi="Arial" w:cs="Arial"/>
              </w:rPr>
              <w:t>An inactive life stage that only occurs in insects that undergo complete metamorphosis, for example butterflies and moths (Lepidoptera), beetles (Coleoptera) and bees, wasps and ants (Hymenoptera)</w:t>
            </w:r>
          </w:p>
        </w:tc>
      </w:tr>
      <w:tr w:rsidR="009D3DC8" w14:paraId="63D46F65" w14:textId="77777777">
        <w:trPr>
          <w:cantSplit/>
        </w:trPr>
        <w:tc>
          <w:tcPr>
            <w:tcW w:w="2223" w:type="dxa"/>
          </w:tcPr>
          <w:p w14:paraId="7154AAA5" w14:textId="77777777" w:rsidR="009D3DC8" w:rsidRDefault="009D3DC8">
            <w:pPr>
              <w:pStyle w:val="TableText1"/>
              <w:rPr>
                <w:rFonts w:ascii="Arial" w:hAnsi="Arial" w:cs="Arial"/>
                <w:b/>
                <w:bCs/>
              </w:rPr>
            </w:pPr>
            <w:r>
              <w:rPr>
                <w:rFonts w:ascii="Arial" w:hAnsi="Arial" w:cs="Arial"/>
                <w:b/>
                <w:bCs/>
              </w:rPr>
              <w:t>Quarantine pest</w:t>
            </w:r>
          </w:p>
        </w:tc>
        <w:tc>
          <w:tcPr>
            <w:tcW w:w="7033" w:type="dxa"/>
          </w:tcPr>
          <w:p w14:paraId="5823788C" w14:textId="77777777" w:rsidR="009D3DC8" w:rsidRDefault="009D3DC8">
            <w:pPr>
              <w:pStyle w:val="TableText1"/>
              <w:rPr>
                <w:rFonts w:ascii="Arial" w:hAnsi="Arial" w:cs="Arial"/>
              </w:rPr>
            </w:pPr>
            <w:r>
              <w:rPr>
                <w:rFonts w:ascii="Arial" w:hAnsi="Arial" w:cs="Arial"/>
              </w:rPr>
              <w:t>A pest of potential economic importance to the area endangered thereby and not yet present there, or present but not widely distributed and being officially controlled (FAO 2009).</w:t>
            </w:r>
          </w:p>
        </w:tc>
      </w:tr>
      <w:tr w:rsidR="009D3DC8" w14:paraId="30837A66" w14:textId="77777777">
        <w:trPr>
          <w:cantSplit/>
        </w:trPr>
        <w:tc>
          <w:tcPr>
            <w:tcW w:w="2223" w:type="dxa"/>
          </w:tcPr>
          <w:p w14:paraId="67C25C0B" w14:textId="77777777" w:rsidR="009D3DC8" w:rsidRDefault="009D3DC8">
            <w:pPr>
              <w:pStyle w:val="TableText1"/>
              <w:rPr>
                <w:rFonts w:ascii="Arial" w:hAnsi="Arial" w:cs="Arial"/>
                <w:b/>
                <w:bCs/>
              </w:rPr>
            </w:pPr>
            <w:r>
              <w:rPr>
                <w:rFonts w:ascii="Arial" w:hAnsi="Arial" w:cs="Arial"/>
                <w:b/>
                <w:bCs/>
              </w:rPr>
              <w:t>Regulated article</w:t>
            </w:r>
          </w:p>
        </w:tc>
        <w:tc>
          <w:tcPr>
            <w:tcW w:w="7033" w:type="dxa"/>
          </w:tcPr>
          <w:p w14:paraId="2651F07C" w14:textId="77777777" w:rsidR="009D3DC8" w:rsidRDefault="009D3DC8">
            <w:pPr>
              <w:pStyle w:val="TableText1"/>
              <w:rPr>
                <w:rFonts w:ascii="Arial" w:hAnsi="Arial" w:cs="Arial"/>
              </w:rPr>
            </w:pPr>
            <w:r>
              <w:rPr>
                <w:rFonts w:ascii="Arial" w:hAnsi="Arial" w:cs="Arial"/>
              </w:rPr>
              <w:t>Any plant, plant product, storage place, packing, conveyance, container, soil and any other organism, object or material capable of harbouring or spreading pests, deemed to require phytosanitary measures, particularly where international transportation is involved (WTO 1995)</w:t>
            </w:r>
          </w:p>
        </w:tc>
      </w:tr>
      <w:tr w:rsidR="009D3DC8" w14:paraId="6FCD1B49" w14:textId="77777777">
        <w:trPr>
          <w:cantSplit/>
        </w:trPr>
        <w:tc>
          <w:tcPr>
            <w:tcW w:w="2223" w:type="dxa"/>
          </w:tcPr>
          <w:p w14:paraId="3EFB5B1E" w14:textId="77777777" w:rsidR="009D3DC8" w:rsidRDefault="009D3DC8">
            <w:pPr>
              <w:pStyle w:val="TableText1"/>
              <w:rPr>
                <w:rFonts w:ascii="Arial" w:hAnsi="Arial" w:cs="Arial"/>
                <w:b/>
                <w:bCs/>
              </w:rPr>
            </w:pPr>
            <w:r>
              <w:rPr>
                <w:rFonts w:ascii="Arial" w:hAnsi="Arial" w:cs="Arial"/>
                <w:b/>
                <w:bCs/>
              </w:rPr>
              <w:t>Restricted risk</w:t>
            </w:r>
          </w:p>
        </w:tc>
        <w:tc>
          <w:tcPr>
            <w:tcW w:w="7033" w:type="dxa"/>
          </w:tcPr>
          <w:p w14:paraId="4BE3735A" w14:textId="77777777" w:rsidR="009D3DC8" w:rsidRDefault="009D3DC8">
            <w:pPr>
              <w:pStyle w:val="TableText1"/>
              <w:rPr>
                <w:rFonts w:ascii="Arial" w:hAnsi="Arial" w:cs="Arial"/>
              </w:rPr>
            </w:pPr>
            <w:r>
              <w:rPr>
                <w:rFonts w:ascii="Arial" w:hAnsi="Arial" w:cs="Arial"/>
              </w:rPr>
              <w:t>Risk estimate with phytosanitary measure(s) applied</w:t>
            </w:r>
          </w:p>
        </w:tc>
      </w:tr>
      <w:tr w:rsidR="009D3DC8" w14:paraId="253B7132" w14:textId="77777777">
        <w:trPr>
          <w:cantSplit/>
        </w:trPr>
        <w:tc>
          <w:tcPr>
            <w:tcW w:w="2223" w:type="dxa"/>
          </w:tcPr>
          <w:p w14:paraId="2A9CA653" w14:textId="77777777" w:rsidR="009D3DC8" w:rsidRDefault="009D3DC8">
            <w:pPr>
              <w:pStyle w:val="TableText1"/>
              <w:rPr>
                <w:rFonts w:ascii="Arial" w:hAnsi="Arial" w:cs="Arial"/>
                <w:b/>
                <w:bCs/>
              </w:rPr>
            </w:pPr>
            <w:r>
              <w:rPr>
                <w:rFonts w:ascii="Arial" w:hAnsi="Arial" w:cs="Arial"/>
                <w:b/>
                <w:bCs/>
              </w:rPr>
              <w:t>Saprophyte</w:t>
            </w:r>
          </w:p>
        </w:tc>
        <w:tc>
          <w:tcPr>
            <w:tcW w:w="7033" w:type="dxa"/>
          </w:tcPr>
          <w:p w14:paraId="56A579B8" w14:textId="77777777" w:rsidR="009D3DC8" w:rsidRDefault="009D3DC8">
            <w:pPr>
              <w:pStyle w:val="TableText1"/>
              <w:rPr>
                <w:rFonts w:ascii="Arial" w:hAnsi="Arial" w:cs="Arial"/>
              </w:rPr>
            </w:pPr>
            <w:r>
              <w:rPr>
                <w:rFonts w:ascii="Arial" w:hAnsi="Arial" w:cs="Arial"/>
              </w:rPr>
              <w:t>An organism deriving its nourishment from dead organic matter</w:t>
            </w:r>
          </w:p>
        </w:tc>
      </w:tr>
      <w:tr w:rsidR="009D3DC8" w14:paraId="5698B5FD" w14:textId="77777777">
        <w:trPr>
          <w:cantSplit/>
        </w:trPr>
        <w:tc>
          <w:tcPr>
            <w:tcW w:w="2223" w:type="dxa"/>
          </w:tcPr>
          <w:p w14:paraId="74724D79" w14:textId="77777777" w:rsidR="009D3DC8" w:rsidRDefault="009D3DC8">
            <w:pPr>
              <w:pStyle w:val="TableText1"/>
              <w:rPr>
                <w:rFonts w:ascii="Arial" w:hAnsi="Arial" w:cs="Arial"/>
                <w:b/>
                <w:bCs/>
              </w:rPr>
            </w:pPr>
            <w:r>
              <w:rPr>
                <w:rFonts w:ascii="Arial" w:hAnsi="Arial" w:cs="Arial"/>
                <w:b/>
                <w:bCs/>
              </w:rPr>
              <w:t>Spread (of a pest)</w:t>
            </w:r>
          </w:p>
        </w:tc>
        <w:tc>
          <w:tcPr>
            <w:tcW w:w="7033" w:type="dxa"/>
          </w:tcPr>
          <w:p w14:paraId="601311A4" w14:textId="77777777" w:rsidR="009D3DC8" w:rsidRDefault="009D3DC8">
            <w:pPr>
              <w:pStyle w:val="TableText1"/>
              <w:rPr>
                <w:rFonts w:ascii="Arial" w:hAnsi="Arial" w:cs="Arial"/>
              </w:rPr>
            </w:pPr>
            <w:r>
              <w:rPr>
                <w:rFonts w:ascii="Arial" w:hAnsi="Arial" w:cs="Arial"/>
              </w:rPr>
              <w:t>Expansion of the geographical distribution of a pest within an area (FAO 2009).</w:t>
            </w:r>
          </w:p>
        </w:tc>
      </w:tr>
      <w:tr w:rsidR="009D3DC8" w14:paraId="47B0224F" w14:textId="77777777">
        <w:trPr>
          <w:cantSplit/>
        </w:trPr>
        <w:tc>
          <w:tcPr>
            <w:tcW w:w="2223" w:type="dxa"/>
          </w:tcPr>
          <w:p w14:paraId="3B8A9CF4" w14:textId="77777777" w:rsidR="009D3DC8" w:rsidRDefault="009D3DC8">
            <w:pPr>
              <w:pStyle w:val="TableText1"/>
              <w:rPr>
                <w:rFonts w:ascii="Arial" w:hAnsi="Arial" w:cs="Arial"/>
                <w:b/>
                <w:bCs/>
              </w:rPr>
            </w:pPr>
            <w:r>
              <w:rPr>
                <w:rFonts w:ascii="Arial" w:hAnsi="Arial" w:cs="Arial"/>
                <w:b/>
                <w:bCs/>
              </w:rPr>
              <w:t>SPS Agreement</w:t>
            </w:r>
          </w:p>
        </w:tc>
        <w:tc>
          <w:tcPr>
            <w:tcW w:w="7033" w:type="dxa"/>
          </w:tcPr>
          <w:p w14:paraId="4FB401A6" w14:textId="77777777" w:rsidR="009D3DC8" w:rsidRDefault="009D3DC8">
            <w:pPr>
              <w:pStyle w:val="TableText1"/>
              <w:rPr>
                <w:rFonts w:ascii="Arial" w:hAnsi="Arial" w:cs="Arial"/>
              </w:rPr>
            </w:pPr>
            <w:r>
              <w:rPr>
                <w:rFonts w:ascii="Arial" w:hAnsi="Arial" w:cs="Arial"/>
              </w:rPr>
              <w:t>WTO Agreement on the Application of Sanitary and Phytosanitary Measures.</w:t>
            </w:r>
          </w:p>
        </w:tc>
      </w:tr>
      <w:tr w:rsidR="009D3DC8" w14:paraId="099C458A" w14:textId="77777777">
        <w:trPr>
          <w:cantSplit/>
        </w:trPr>
        <w:tc>
          <w:tcPr>
            <w:tcW w:w="2223" w:type="dxa"/>
          </w:tcPr>
          <w:p w14:paraId="4B2104D8" w14:textId="77777777" w:rsidR="009D3DC8" w:rsidRDefault="009D3DC8">
            <w:pPr>
              <w:pStyle w:val="TableText1"/>
              <w:rPr>
                <w:rFonts w:ascii="Arial" w:hAnsi="Arial" w:cs="Arial"/>
                <w:b/>
                <w:bCs/>
              </w:rPr>
            </w:pPr>
            <w:r>
              <w:rPr>
                <w:rFonts w:ascii="Arial" w:hAnsi="Arial" w:cs="Arial"/>
                <w:b/>
                <w:bCs/>
              </w:rPr>
              <w:t>Stakeholders</w:t>
            </w:r>
          </w:p>
        </w:tc>
        <w:tc>
          <w:tcPr>
            <w:tcW w:w="7033" w:type="dxa"/>
          </w:tcPr>
          <w:p w14:paraId="4CC3ABA2" w14:textId="77777777" w:rsidR="009D3DC8" w:rsidRDefault="009D3DC8">
            <w:pPr>
              <w:pStyle w:val="TableText1"/>
              <w:rPr>
                <w:rFonts w:ascii="Arial" w:hAnsi="Arial" w:cs="Arial"/>
              </w:rPr>
            </w:pPr>
            <w:r>
              <w:rPr>
                <w:rFonts w:ascii="Arial" w:hAnsi="Arial" w:cs="Arial"/>
              </w:rPr>
              <w:t>Government agencies, individuals, community or industry groups or organizations, whether in Australia or overseas, including the proponent/applicant for a specific proposal, who have an interest in the policy issues</w:t>
            </w:r>
          </w:p>
        </w:tc>
      </w:tr>
      <w:tr w:rsidR="009D3DC8" w14:paraId="642031DF" w14:textId="77777777">
        <w:trPr>
          <w:cantSplit/>
        </w:trPr>
        <w:tc>
          <w:tcPr>
            <w:tcW w:w="2223" w:type="dxa"/>
          </w:tcPr>
          <w:p w14:paraId="4B2470E3" w14:textId="77777777" w:rsidR="009D3DC8" w:rsidRDefault="009D3DC8">
            <w:pPr>
              <w:pStyle w:val="TableText1"/>
              <w:rPr>
                <w:rFonts w:ascii="Arial" w:hAnsi="Arial" w:cs="Arial"/>
                <w:b/>
                <w:bCs/>
              </w:rPr>
            </w:pPr>
            <w:r>
              <w:rPr>
                <w:rFonts w:ascii="Arial" w:hAnsi="Arial" w:cs="Arial"/>
                <w:b/>
                <w:bCs/>
              </w:rPr>
              <w:t>Stamen</w:t>
            </w:r>
          </w:p>
        </w:tc>
        <w:tc>
          <w:tcPr>
            <w:tcW w:w="7033" w:type="dxa"/>
          </w:tcPr>
          <w:p w14:paraId="500B7F51" w14:textId="77777777" w:rsidR="009D3DC8" w:rsidRDefault="009D3DC8">
            <w:pPr>
              <w:pStyle w:val="TableText1"/>
              <w:rPr>
                <w:rFonts w:ascii="Arial" w:hAnsi="Arial" w:cs="Arial"/>
              </w:rPr>
            </w:pPr>
            <w:r>
              <w:rPr>
                <w:rFonts w:ascii="Arial" w:hAnsi="Arial" w:cs="Arial"/>
              </w:rPr>
              <w:t>The male reproduction organ of a flower</w:t>
            </w:r>
          </w:p>
        </w:tc>
      </w:tr>
      <w:tr w:rsidR="009D3DC8" w14:paraId="331C9C94" w14:textId="77777777">
        <w:trPr>
          <w:cantSplit/>
        </w:trPr>
        <w:tc>
          <w:tcPr>
            <w:tcW w:w="2223" w:type="dxa"/>
          </w:tcPr>
          <w:p w14:paraId="422623FC" w14:textId="77777777" w:rsidR="009D3DC8" w:rsidRDefault="009D3DC8">
            <w:pPr>
              <w:pStyle w:val="TableText1"/>
              <w:rPr>
                <w:rFonts w:ascii="Arial" w:hAnsi="Arial" w:cs="Arial"/>
                <w:b/>
                <w:bCs/>
              </w:rPr>
            </w:pPr>
            <w:r>
              <w:rPr>
                <w:rFonts w:ascii="Arial" w:hAnsi="Arial" w:cs="Arial"/>
                <w:b/>
                <w:bCs/>
              </w:rPr>
              <w:lastRenderedPageBreak/>
              <w:t>Systems approach(es)</w:t>
            </w:r>
          </w:p>
        </w:tc>
        <w:tc>
          <w:tcPr>
            <w:tcW w:w="7033" w:type="dxa"/>
          </w:tcPr>
          <w:p w14:paraId="4C3F4A92" w14:textId="77777777" w:rsidR="009D3DC8" w:rsidRDefault="009D3DC8">
            <w:pPr>
              <w:pStyle w:val="TableText1"/>
              <w:rPr>
                <w:rFonts w:ascii="Arial" w:hAnsi="Arial" w:cs="Arial"/>
              </w:rPr>
            </w:pPr>
            <w:r>
              <w:rPr>
                <w:rFonts w:ascii="Arial" w:hAnsi="Arial" w:cs="Arial"/>
              </w:rPr>
              <w:t>The integration of different risk management measures, at least two of which act independently, and which cumulatively achieve the appropriate level of protection against regulated pests .</w:t>
            </w:r>
          </w:p>
        </w:tc>
      </w:tr>
      <w:tr w:rsidR="009D3DC8" w14:paraId="7C8DD341" w14:textId="77777777">
        <w:trPr>
          <w:cantSplit/>
        </w:trPr>
        <w:tc>
          <w:tcPr>
            <w:tcW w:w="2223" w:type="dxa"/>
          </w:tcPr>
          <w:p w14:paraId="6BAFB5ED" w14:textId="77777777" w:rsidR="009D3DC8" w:rsidRDefault="009D3DC8">
            <w:pPr>
              <w:pStyle w:val="TableText1"/>
              <w:rPr>
                <w:rFonts w:ascii="Arial" w:hAnsi="Arial" w:cs="Arial"/>
                <w:b/>
                <w:bCs/>
              </w:rPr>
            </w:pPr>
            <w:r>
              <w:rPr>
                <w:rFonts w:ascii="Arial" w:hAnsi="Arial" w:cs="Arial"/>
                <w:b/>
                <w:bCs/>
              </w:rPr>
              <w:t>Trash</w:t>
            </w:r>
          </w:p>
        </w:tc>
        <w:tc>
          <w:tcPr>
            <w:tcW w:w="7033" w:type="dxa"/>
          </w:tcPr>
          <w:p w14:paraId="4EE32EF9" w14:textId="77777777" w:rsidR="009D3DC8" w:rsidRDefault="009D3DC8">
            <w:pPr>
              <w:pStyle w:val="TableText1"/>
              <w:rPr>
                <w:rFonts w:ascii="Arial" w:hAnsi="Arial" w:cs="Arial"/>
              </w:rPr>
            </w:pPr>
            <w:r>
              <w:rPr>
                <w:rFonts w:ascii="Arial" w:hAnsi="Arial" w:cs="Arial"/>
              </w:rPr>
              <w:t>Soil, splinters, twigs, leaves, and other plant material, other than fruit stalks</w:t>
            </w:r>
          </w:p>
        </w:tc>
      </w:tr>
      <w:tr w:rsidR="009D3DC8" w14:paraId="4CF379CD" w14:textId="77777777">
        <w:trPr>
          <w:cantSplit/>
        </w:trPr>
        <w:tc>
          <w:tcPr>
            <w:tcW w:w="2223" w:type="dxa"/>
          </w:tcPr>
          <w:p w14:paraId="67EE6BC8" w14:textId="77777777" w:rsidR="009D3DC8" w:rsidRDefault="009D3DC8">
            <w:pPr>
              <w:pStyle w:val="TableText1"/>
              <w:rPr>
                <w:rFonts w:ascii="Arial" w:hAnsi="Arial" w:cs="Arial"/>
                <w:b/>
                <w:bCs/>
              </w:rPr>
            </w:pPr>
            <w:r>
              <w:rPr>
                <w:rFonts w:ascii="Arial" w:hAnsi="Arial" w:cs="Arial"/>
                <w:b/>
                <w:bCs/>
              </w:rPr>
              <w:t>Unrestricted risk</w:t>
            </w:r>
          </w:p>
        </w:tc>
        <w:tc>
          <w:tcPr>
            <w:tcW w:w="7033" w:type="dxa"/>
          </w:tcPr>
          <w:p w14:paraId="40A9CB92" w14:textId="77777777" w:rsidR="009D3DC8" w:rsidRDefault="009D3DC8">
            <w:pPr>
              <w:pStyle w:val="TableText1"/>
              <w:rPr>
                <w:rFonts w:ascii="Arial" w:hAnsi="Arial" w:cs="Arial"/>
              </w:rPr>
            </w:pPr>
            <w:r>
              <w:rPr>
                <w:rFonts w:ascii="Arial" w:hAnsi="Arial" w:cs="Arial"/>
              </w:rPr>
              <w:t>Unrestricted risk estimates apply in the absence of risk mitigation measures</w:t>
            </w:r>
          </w:p>
        </w:tc>
      </w:tr>
      <w:tr w:rsidR="009D3DC8" w14:paraId="0B4D14CC" w14:textId="77777777">
        <w:trPr>
          <w:cantSplit/>
        </w:trPr>
        <w:tc>
          <w:tcPr>
            <w:tcW w:w="2223" w:type="dxa"/>
          </w:tcPr>
          <w:p w14:paraId="33949E8A" w14:textId="77777777" w:rsidR="009D3DC8" w:rsidRDefault="009D3DC8">
            <w:pPr>
              <w:pStyle w:val="TableText1"/>
              <w:rPr>
                <w:rFonts w:ascii="Arial" w:hAnsi="Arial" w:cs="Arial"/>
                <w:b/>
                <w:bCs/>
              </w:rPr>
            </w:pPr>
            <w:r>
              <w:rPr>
                <w:rFonts w:ascii="Arial" w:hAnsi="Arial" w:cs="Arial"/>
                <w:b/>
                <w:bCs/>
              </w:rPr>
              <w:t>Vector</w:t>
            </w:r>
          </w:p>
        </w:tc>
        <w:tc>
          <w:tcPr>
            <w:tcW w:w="7033" w:type="dxa"/>
          </w:tcPr>
          <w:p w14:paraId="6792F1A4" w14:textId="77777777" w:rsidR="009D3DC8" w:rsidRDefault="009D3DC8">
            <w:pPr>
              <w:pStyle w:val="TableText1"/>
              <w:rPr>
                <w:rFonts w:ascii="Arial" w:hAnsi="Arial" w:cs="Arial"/>
              </w:rPr>
            </w:pPr>
            <w:r>
              <w:rPr>
                <w:rFonts w:ascii="Arial" w:hAnsi="Arial" w:cs="Arial"/>
              </w:rPr>
              <w:t>An organism that does not cause disease itself, but which causes infection by conveying pathogens from one host to another</w:t>
            </w:r>
          </w:p>
        </w:tc>
      </w:tr>
      <w:tr w:rsidR="009D3DC8" w14:paraId="2570FF11" w14:textId="77777777">
        <w:trPr>
          <w:cantSplit/>
        </w:trPr>
        <w:tc>
          <w:tcPr>
            <w:tcW w:w="2223" w:type="dxa"/>
          </w:tcPr>
          <w:p w14:paraId="27237F06" w14:textId="77777777" w:rsidR="009D3DC8" w:rsidRDefault="009D3DC8">
            <w:pPr>
              <w:pStyle w:val="TableText1"/>
              <w:rPr>
                <w:rFonts w:ascii="Arial" w:hAnsi="Arial" w:cs="Arial"/>
                <w:b/>
                <w:bCs/>
              </w:rPr>
            </w:pPr>
            <w:r>
              <w:rPr>
                <w:rFonts w:ascii="Arial" w:hAnsi="Arial" w:cs="Arial"/>
                <w:b/>
                <w:bCs/>
              </w:rPr>
              <w:t>Viable</w:t>
            </w:r>
          </w:p>
        </w:tc>
        <w:tc>
          <w:tcPr>
            <w:tcW w:w="7033" w:type="dxa"/>
          </w:tcPr>
          <w:p w14:paraId="17CCC367" w14:textId="77777777" w:rsidR="009D3DC8" w:rsidRDefault="009D3DC8">
            <w:pPr>
              <w:pStyle w:val="TableText1"/>
              <w:rPr>
                <w:rFonts w:ascii="Arial" w:hAnsi="Arial" w:cs="Arial"/>
              </w:rPr>
            </w:pPr>
            <w:r>
              <w:rPr>
                <w:rFonts w:ascii="Arial" w:hAnsi="Arial" w:cs="Arial"/>
              </w:rPr>
              <w:t>Alive, able to germinate or capable of growth</w:t>
            </w:r>
          </w:p>
        </w:tc>
      </w:tr>
    </w:tbl>
    <w:p w14:paraId="7AF5EEF0" w14:textId="77777777" w:rsidR="009D3DC8" w:rsidRDefault="009D3DC8"/>
    <w:p w14:paraId="47DC5D21" w14:textId="77777777" w:rsidR="009D3DC8" w:rsidRDefault="009D3DC8">
      <w:pPr>
        <w:pStyle w:val="BAHeader2"/>
        <w:numPr>
          <w:ilvl w:val="0"/>
          <w:numId w:val="0"/>
        </w:numPr>
        <w:sectPr w:rsidR="009D3DC8">
          <w:headerReference w:type="default" r:id="rId62"/>
          <w:type w:val="oddPage"/>
          <w:pgSz w:w="11906" w:h="16838"/>
          <w:pgMar w:top="1440" w:right="1440" w:bottom="1440" w:left="1440" w:header="708" w:footer="708" w:gutter="0"/>
          <w:cols w:space="708"/>
          <w:docGrid w:linePitch="360"/>
        </w:sectPr>
      </w:pPr>
    </w:p>
    <w:p w14:paraId="6BEDA336" w14:textId="77777777" w:rsidR="009D3DC8" w:rsidRDefault="009D3DC8">
      <w:pPr>
        <w:pStyle w:val="Heading1"/>
        <w:numPr>
          <w:ilvl w:val="0"/>
          <w:numId w:val="0"/>
        </w:numPr>
        <w:ind w:left="720" w:hanging="720"/>
      </w:pPr>
      <w:bookmarkStart w:id="158" w:name="_Toc214375742"/>
      <w:bookmarkStart w:id="159" w:name="_Toc261004347"/>
      <w:bookmarkStart w:id="160" w:name="_Toc325618460"/>
      <w:r>
        <w:lastRenderedPageBreak/>
        <w:t>References</w:t>
      </w:r>
      <w:bookmarkEnd w:id="158"/>
      <w:bookmarkEnd w:id="159"/>
      <w:bookmarkEnd w:id="160"/>
    </w:p>
    <w:p w14:paraId="169B41D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ABRS (2009) Australian Biological Resources Study. Australian Faunal Directory. http://www.environment.gov.au/biodiversity/abrs/ Accessed 2011.</w:t>
      </w:r>
    </w:p>
    <w:p w14:paraId="5D3A567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Ades GWJ, Kendrick RC (2004) </w:t>
      </w:r>
      <w:r>
        <w:rPr>
          <w:rFonts w:ascii="Times New Roman" w:hAnsi="Times New Roman"/>
          <w:i/>
          <w:sz w:val="24"/>
          <w:szCs w:val="24"/>
        </w:rPr>
        <w:t>Hong Kong fauna: a checklist of selected taxa</w:t>
      </w:r>
      <w:r>
        <w:rPr>
          <w:rFonts w:ascii="Times New Roman" w:hAnsi="Times New Roman"/>
          <w:sz w:val="24"/>
          <w:szCs w:val="24"/>
        </w:rPr>
        <w:t>. Fauna Conservation Department, Kadoorie Farm and Botanic Garden, Hong Kong.</w:t>
      </w:r>
    </w:p>
    <w:p w14:paraId="2214AA6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Affandi LAC, Emilda DA (2009) Mangosteen thrips: collection, identification and control. </w:t>
      </w:r>
      <w:r>
        <w:rPr>
          <w:rFonts w:ascii="Times New Roman" w:hAnsi="Times New Roman"/>
          <w:i/>
          <w:sz w:val="24"/>
          <w:szCs w:val="24"/>
        </w:rPr>
        <w:t>Journal of Fruit and Ornamental Plant Research</w:t>
      </w:r>
      <w:r>
        <w:rPr>
          <w:rFonts w:ascii="Times New Roman" w:hAnsi="Times New Roman"/>
          <w:sz w:val="24"/>
          <w:szCs w:val="24"/>
        </w:rPr>
        <w:t xml:space="preserve"> 17: 219–233.</w:t>
      </w:r>
    </w:p>
    <w:p w14:paraId="0DDA766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Allwood AJ, Chinajariyawong A, Kritsaneepaiboon S, Drew RAI, Hamacek EL, Hancock DL, Hengsawad C, Jipanin JC, Jirasurat M, Kong Krong C, Leong CTS, Vijaysegaran S (1999) Host plant records for fruit flies (Diptera: Tephritidae) in Southeast Asia. </w:t>
      </w:r>
      <w:r>
        <w:rPr>
          <w:rFonts w:ascii="Times New Roman" w:hAnsi="Times New Roman"/>
          <w:i/>
          <w:sz w:val="24"/>
          <w:szCs w:val="24"/>
        </w:rPr>
        <w:t>Raffles Bulletin of Zoology</w:t>
      </w:r>
      <w:r>
        <w:rPr>
          <w:rFonts w:ascii="Times New Roman" w:hAnsi="Times New Roman"/>
          <w:sz w:val="24"/>
          <w:szCs w:val="24"/>
        </w:rPr>
        <w:t xml:space="preserve"> Supplement No 7: 1–92.</w:t>
      </w:r>
    </w:p>
    <w:p w14:paraId="10FD3BB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Allwood AJ, Leblanc L, Tora Vueti E, Bull R (2001) Fruit fly control methods for Pacific Island countries and territories. </w:t>
      </w:r>
      <w:r>
        <w:rPr>
          <w:rFonts w:ascii="Times New Roman" w:hAnsi="Times New Roman"/>
          <w:i/>
          <w:sz w:val="24"/>
          <w:szCs w:val="24"/>
        </w:rPr>
        <w:t>Pest Advisory Leaflet 40, Secretariat of the Pacific Community, Plant Protection Service</w:t>
      </w:r>
      <w:r>
        <w:rPr>
          <w:rFonts w:ascii="Times New Roman" w:hAnsi="Times New Roman"/>
          <w:sz w:val="24"/>
          <w:szCs w:val="24"/>
        </w:rPr>
        <w:t>.</w:t>
      </w:r>
    </w:p>
    <w:p w14:paraId="5DE89D5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Almeyda N, Martin FW (1976) </w:t>
      </w:r>
      <w:r>
        <w:rPr>
          <w:rFonts w:ascii="Times New Roman" w:hAnsi="Times New Roman"/>
          <w:i/>
          <w:sz w:val="24"/>
          <w:szCs w:val="24"/>
        </w:rPr>
        <w:t>Cultivation of neglected tropical fruits with promise. Part 1. The Mangosteen</w:t>
      </w:r>
      <w:r>
        <w:rPr>
          <w:rFonts w:ascii="Times New Roman" w:hAnsi="Times New Roman"/>
          <w:sz w:val="24"/>
          <w:szCs w:val="24"/>
        </w:rPr>
        <w:t>. Agricultural Research Service, US Department of Agriculture.</w:t>
      </w:r>
    </w:p>
    <w:p w14:paraId="3FE905D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Anderson RS (1993) Weevils and plants: phylogentic versus ecological mediation of evolution of host plant associations in Curculioninae (Coleoptera: Curculionidae). </w:t>
      </w:r>
      <w:r>
        <w:rPr>
          <w:rFonts w:ascii="Times New Roman" w:hAnsi="Times New Roman"/>
          <w:i/>
          <w:sz w:val="24"/>
          <w:szCs w:val="24"/>
        </w:rPr>
        <w:t>Memoirs of the Entomological Society of Canada</w:t>
      </w:r>
      <w:r>
        <w:rPr>
          <w:rFonts w:ascii="Times New Roman" w:hAnsi="Times New Roman"/>
          <w:sz w:val="24"/>
          <w:szCs w:val="24"/>
        </w:rPr>
        <w:t xml:space="preserve"> 126: 197–232.</w:t>
      </w:r>
    </w:p>
    <w:p w14:paraId="6992173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AntWeb (2011) Ants of the World. AntWeb v4.21.2. http://www.antweb.org/ Accessed 2011.</w:t>
      </w:r>
    </w:p>
    <w:p w14:paraId="2492955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APEC Agricultural Technical Cooperation Working Group (2008) </w:t>
      </w:r>
      <w:r>
        <w:rPr>
          <w:rFonts w:ascii="Times New Roman" w:hAnsi="Times New Roman"/>
          <w:i/>
          <w:sz w:val="24"/>
          <w:szCs w:val="24"/>
        </w:rPr>
        <w:t>Capacity building in surveillance and diagnosis for leafminer, whitefly, thrips and mealybug pests in developing APEC economies for improved market access</w:t>
      </w:r>
      <w:r>
        <w:rPr>
          <w:rFonts w:ascii="Times New Roman" w:hAnsi="Times New Roman"/>
          <w:sz w:val="24"/>
          <w:szCs w:val="24"/>
        </w:rPr>
        <w:t>. Department of Agriculture, Kuala Lumpur.</w:t>
      </w:r>
    </w:p>
    <w:p w14:paraId="26771E9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APPD (2011) Australian Plant Pest Database. Plant Health Australia. http://www.planthealthaustralia.com.au/APPD/queryForm.asp Accessed May 2011.</w:t>
      </w:r>
    </w:p>
    <w:p w14:paraId="42DC67D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Armbrecht I, Ulloa-Chacón P (2003) The little fire ant </w:t>
      </w:r>
      <w:r>
        <w:rPr>
          <w:rFonts w:ascii="Times New Roman" w:hAnsi="Times New Roman"/>
          <w:i/>
          <w:sz w:val="24"/>
          <w:szCs w:val="24"/>
        </w:rPr>
        <w:t>Wasmannia auropunctata</w:t>
      </w:r>
      <w:r>
        <w:rPr>
          <w:rFonts w:ascii="Times New Roman" w:hAnsi="Times New Roman"/>
          <w:sz w:val="24"/>
          <w:szCs w:val="24"/>
        </w:rPr>
        <w:t xml:space="preserve"> (Roger) (Hymenoptera: Formicidae) as diversity indicator of ants in tropical dry forest fragments of Colombia. </w:t>
      </w:r>
      <w:r>
        <w:rPr>
          <w:rFonts w:ascii="Times New Roman" w:hAnsi="Times New Roman"/>
          <w:i/>
          <w:sz w:val="24"/>
          <w:szCs w:val="24"/>
        </w:rPr>
        <w:t>Environmental Entomology</w:t>
      </w:r>
      <w:r>
        <w:rPr>
          <w:rFonts w:ascii="Times New Roman" w:hAnsi="Times New Roman"/>
          <w:sz w:val="24"/>
          <w:szCs w:val="24"/>
        </w:rPr>
        <w:t xml:space="preserve"> 32: 542–547.</w:t>
      </w:r>
    </w:p>
    <w:p w14:paraId="1C892BD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Astridge D (1998) Insect fauna surveys on rambutan, durian and mangosteen in north Queensland. </w:t>
      </w:r>
      <w:r>
        <w:rPr>
          <w:rFonts w:ascii="Times New Roman" w:hAnsi="Times New Roman"/>
          <w:i/>
          <w:sz w:val="24"/>
          <w:szCs w:val="24"/>
        </w:rPr>
        <w:t>Proceedings of the sixth workshop for tropical agricultural entomologists</w:t>
      </w:r>
      <w:r>
        <w:rPr>
          <w:rFonts w:ascii="Times New Roman" w:hAnsi="Times New Roman"/>
          <w:sz w:val="24"/>
          <w:szCs w:val="24"/>
        </w:rPr>
        <w:t xml:space="preserve"> 75–79. DPI&amp;F Technical Bulletin No. 288, Queensland.</w:t>
      </w:r>
    </w:p>
    <w:p w14:paraId="556333B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Astridge D, Fay H (2005) Red-banded thrips in rare fruit. Department of Primary Industries and Fisheries, Queensland. http://www2.dpi.qld.gov.au/horticulture/5064.html Accessed 19 February 2009.</w:t>
      </w:r>
    </w:p>
    <w:p w14:paraId="59C4BDB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Astuti M, Meliala A, Dalais FS, Wahlqvist ML (2000) Tempe, a nutritious and healthy food from Indonesia. </w:t>
      </w:r>
      <w:r>
        <w:rPr>
          <w:rFonts w:ascii="Times New Roman" w:hAnsi="Times New Roman"/>
          <w:i/>
          <w:sz w:val="24"/>
          <w:szCs w:val="24"/>
        </w:rPr>
        <w:t>Asia Pacific Journal of Clinical Nutrition</w:t>
      </w:r>
      <w:r>
        <w:rPr>
          <w:rFonts w:ascii="Times New Roman" w:hAnsi="Times New Roman"/>
          <w:sz w:val="24"/>
          <w:szCs w:val="24"/>
        </w:rPr>
        <w:t xml:space="preserve"> 9: 322–325.</w:t>
      </w:r>
    </w:p>
    <w:p w14:paraId="6BADF59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Australia Trade and Shipping (2012) Australia shipping timetable: imports. http://www.australiatrade.com.au/Timetables/Imports/Asia.htm Accessed 12 January 2012.</w:t>
      </w:r>
    </w:p>
    <w:p w14:paraId="0BB33D8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Beardsley JW Jr, Gonzalez RH (1975) The biology and ecology of armored scales. </w:t>
      </w:r>
      <w:r>
        <w:rPr>
          <w:rFonts w:ascii="Times New Roman" w:hAnsi="Times New Roman"/>
          <w:i/>
          <w:sz w:val="24"/>
          <w:szCs w:val="24"/>
        </w:rPr>
        <w:t>Annual Review of Entomology</w:t>
      </w:r>
      <w:r>
        <w:rPr>
          <w:rFonts w:ascii="Times New Roman" w:hAnsi="Times New Roman"/>
          <w:sz w:val="24"/>
          <w:szCs w:val="24"/>
        </w:rPr>
        <w:t xml:space="preserve"> 20: 47–73.</w:t>
      </w:r>
    </w:p>
    <w:p w14:paraId="764B58C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Ben-Dov Y (1997) Diagnosis.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3–4. Elsevier Science Publishers B.V., Amsterdam.</w:t>
      </w:r>
    </w:p>
    <w:p w14:paraId="4398A44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Ben-Dov Y (2011a) Asterolecaniidae. ScaleNet, Catalogue Query Results. http://www.sel.barc.usda.gov/scalenet/scalenet.htm</w:t>
      </w:r>
      <w:r>
        <w:rPr>
          <w:rFonts w:ascii="Times New Roman" w:hAnsi="Times New Roman"/>
          <w:sz w:val="24"/>
          <w:szCs w:val="24"/>
          <w:u w:val="single"/>
        </w:rPr>
        <w:t xml:space="preserve"> </w:t>
      </w:r>
      <w:r>
        <w:rPr>
          <w:rFonts w:ascii="Times New Roman" w:hAnsi="Times New Roman"/>
          <w:sz w:val="24"/>
          <w:szCs w:val="24"/>
        </w:rPr>
        <w:t xml:space="preserve"> Accessed 2 November 2011a.</w:t>
      </w:r>
    </w:p>
    <w:p w14:paraId="51E217A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Ben-Dov Y (2011b) Coccidae. ScaleNet, Catalogue Query Results. http://www.sel.barc.usda.gov/scalenet/scalenet.htm</w:t>
      </w:r>
      <w:r>
        <w:rPr>
          <w:rFonts w:ascii="Times New Roman" w:hAnsi="Times New Roman"/>
          <w:sz w:val="24"/>
          <w:szCs w:val="24"/>
          <w:u w:val="single"/>
        </w:rPr>
        <w:t xml:space="preserve"> </w:t>
      </w:r>
      <w:r>
        <w:rPr>
          <w:rFonts w:ascii="Times New Roman" w:hAnsi="Times New Roman"/>
          <w:sz w:val="24"/>
          <w:szCs w:val="24"/>
        </w:rPr>
        <w:t xml:space="preserve"> Accessed 1 November 2011b.</w:t>
      </w:r>
    </w:p>
    <w:p w14:paraId="69B2F4F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Ben-Dov Y (2011c) Diaspididae: Aspidiotinae, Comstockiellina &amp; Odonaspidinae. ScaleNet, Catalogue Query Results. http://www.sel.barc.usda.gov/scalenet/scalenet.htm</w:t>
      </w:r>
      <w:r>
        <w:rPr>
          <w:rFonts w:ascii="Times New Roman" w:hAnsi="Times New Roman"/>
          <w:sz w:val="24"/>
          <w:szCs w:val="24"/>
          <w:u w:val="single"/>
        </w:rPr>
        <w:t xml:space="preserve"> </w:t>
      </w:r>
      <w:r>
        <w:rPr>
          <w:rFonts w:ascii="Times New Roman" w:hAnsi="Times New Roman"/>
          <w:sz w:val="24"/>
          <w:szCs w:val="24"/>
        </w:rPr>
        <w:t xml:space="preserve"> Accessed 5 November 2011c.</w:t>
      </w:r>
    </w:p>
    <w:p w14:paraId="116C1BD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Ben-Dov Y (2011d) Pseudococcidae. ScaleNet, Catalogue Query Results. http://www.sel.barc.usda.gov/scalenet/scalenet.htm</w:t>
      </w:r>
      <w:r>
        <w:rPr>
          <w:rFonts w:ascii="Times New Roman" w:hAnsi="Times New Roman"/>
          <w:sz w:val="24"/>
          <w:szCs w:val="24"/>
          <w:u w:val="single"/>
        </w:rPr>
        <w:t xml:space="preserve"> </w:t>
      </w:r>
      <w:r>
        <w:rPr>
          <w:rFonts w:ascii="Times New Roman" w:hAnsi="Times New Roman"/>
          <w:sz w:val="24"/>
          <w:szCs w:val="24"/>
        </w:rPr>
        <w:t xml:space="preserve"> Accessed 4 November 2011d.</w:t>
      </w:r>
    </w:p>
    <w:p w14:paraId="7B73FF5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Ben-Dov Y, Hodgson CJ (1997) </w:t>
      </w:r>
      <w:r>
        <w:rPr>
          <w:rFonts w:ascii="Times New Roman" w:hAnsi="Times New Roman"/>
          <w:i/>
          <w:sz w:val="24"/>
          <w:szCs w:val="24"/>
        </w:rPr>
        <w:t xml:space="preserve">Soft scale insects: their biology, natural enemies and control Vol. 7B. </w:t>
      </w:r>
      <w:r>
        <w:rPr>
          <w:rFonts w:ascii="Times New Roman" w:hAnsi="Times New Roman"/>
          <w:sz w:val="24"/>
          <w:szCs w:val="24"/>
        </w:rPr>
        <w:t>Ben-Dov Y, Hodgson CJ (eds) Elsevier Science Publishers B.V., Amsterdam.</w:t>
      </w:r>
    </w:p>
    <w:p w14:paraId="2C175AF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Bernard C (1919) Verschillende rupsen-plagen in theetuinen. </w:t>
      </w:r>
      <w:r>
        <w:rPr>
          <w:rFonts w:ascii="Times New Roman" w:hAnsi="Times New Roman"/>
          <w:i/>
          <w:sz w:val="24"/>
          <w:szCs w:val="24"/>
        </w:rPr>
        <w:t>Mededelingen van het Proefstation voor Thee</w:t>
      </w:r>
      <w:r>
        <w:rPr>
          <w:rFonts w:ascii="Times New Roman" w:hAnsi="Times New Roman"/>
          <w:sz w:val="24"/>
          <w:szCs w:val="24"/>
        </w:rPr>
        <w:t xml:space="preserve"> 68: 11–27.</w:t>
      </w:r>
    </w:p>
    <w:p w14:paraId="170A602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Bigger M (2009) A geographical distribution list of insects and mites associated with tea, derived from literature published before 2010. www.ipmnetwork.net/commodity/tea_insects.pdf Accessed August 2011.</w:t>
      </w:r>
    </w:p>
    <w:p w14:paraId="04183DA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Biosecurity Australia (2003) </w:t>
      </w:r>
      <w:r>
        <w:rPr>
          <w:rFonts w:ascii="Times New Roman" w:hAnsi="Times New Roman"/>
          <w:i/>
          <w:sz w:val="24"/>
          <w:szCs w:val="24"/>
        </w:rPr>
        <w:t>Technical issues paper. Import risk analysis (IRA) for the importation of fresh mangosteen fruit from Thailand</w:t>
      </w:r>
      <w:r>
        <w:rPr>
          <w:rFonts w:ascii="Times New Roman" w:hAnsi="Times New Roman"/>
          <w:sz w:val="24"/>
          <w:szCs w:val="24"/>
        </w:rPr>
        <w:t>. Biosecurity Australia, Canberra.</w:t>
      </w:r>
    </w:p>
    <w:p w14:paraId="3102A01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Biosecurity Australia (2006a) </w:t>
      </w:r>
      <w:r>
        <w:rPr>
          <w:rFonts w:ascii="Times New Roman" w:hAnsi="Times New Roman"/>
          <w:i/>
          <w:sz w:val="24"/>
          <w:szCs w:val="24"/>
        </w:rPr>
        <w:t>Final report: import risk analysis for Tahitian limes from New Caledonia</w:t>
      </w:r>
      <w:r>
        <w:rPr>
          <w:rFonts w:ascii="Times New Roman" w:hAnsi="Times New Roman"/>
          <w:sz w:val="24"/>
          <w:szCs w:val="24"/>
        </w:rPr>
        <w:t>. Biosecurity Australia, Canberra.</w:t>
      </w:r>
    </w:p>
    <w:p w14:paraId="4CC54DF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Biosecurity Australia (2006b) </w:t>
      </w:r>
      <w:r>
        <w:rPr>
          <w:rFonts w:ascii="Times New Roman" w:hAnsi="Times New Roman"/>
          <w:i/>
          <w:sz w:val="24"/>
          <w:szCs w:val="24"/>
        </w:rPr>
        <w:t>Policy for the importation of fresh mangoes (</w:t>
      </w:r>
      <w:r>
        <w:rPr>
          <w:rFonts w:ascii="Times New Roman" w:hAnsi="Times New Roman"/>
          <w:sz w:val="24"/>
          <w:szCs w:val="24"/>
        </w:rPr>
        <w:t>Mangifera indica</w:t>
      </w:r>
      <w:r>
        <w:rPr>
          <w:rFonts w:ascii="Times New Roman" w:hAnsi="Times New Roman"/>
          <w:i/>
          <w:sz w:val="24"/>
          <w:szCs w:val="24"/>
        </w:rPr>
        <w:t xml:space="preserve"> L.) from Taiwan</w:t>
      </w:r>
      <w:r>
        <w:rPr>
          <w:rFonts w:ascii="Times New Roman" w:hAnsi="Times New Roman"/>
          <w:sz w:val="24"/>
          <w:szCs w:val="24"/>
        </w:rPr>
        <w:t>. Biosecurity Australia, Biosecurity Australia, Canberra.</w:t>
      </w:r>
    </w:p>
    <w:p w14:paraId="484C662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Biosecurity Australia (2008) </w:t>
      </w:r>
      <w:r>
        <w:rPr>
          <w:rFonts w:ascii="Times New Roman" w:hAnsi="Times New Roman"/>
          <w:i/>
          <w:sz w:val="24"/>
          <w:szCs w:val="24"/>
        </w:rPr>
        <w:t>Final import risk analysis report for the importation of Cavendish bananas from the Philippines. Part A, B and C</w:t>
      </w:r>
      <w:r>
        <w:rPr>
          <w:rFonts w:ascii="Times New Roman" w:hAnsi="Times New Roman"/>
          <w:sz w:val="24"/>
          <w:szCs w:val="24"/>
        </w:rPr>
        <w:t>. Biosecurity Australia, Canberra.</w:t>
      </w:r>
    </w:p>
    <w:p w14:paraId="35F8B2B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Biosecurity Australia (2009) </w:t>
      </w:r>
      <w:r>
        <w:rPr>
          <w:rFonts w:ascii="Times New Roman" w:hAnsi="Times New Roman"/>
          <w:i/>
          <w:sz w:val="24"/>
          <w:szCs w:val="24"/>
        </w:rPr>
        <w:t>Final import risk analysis report for fresh unshu mandarin fruit from Shizuoka prefecture in Japan</w:t>
      </w:r>
      <w:r>
        <w:rPr>
          <w:rFonts w:ascii="Times New Roman" w:hAnsi="Times New Roman"/>
          <w:sz w:val="24"/>
          <w:szCs w:val="24"/>
        </w:rPr>
        <w:t>. Biosecurity Australia, Canberra.</w:t>
      </w:r>
    </w:p>
    <w:p w14:paraId="20EC5B8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Biosecurity Australia (2010) </w:t>
      </w:r>
      <w:r>
        <w:rPr>
          <w:rFonts w:ascii="Times New Roman" w:hAnsi="Times New Roman"/>
          <w:i/>
          <w:sz w:val="24"/>
          <w:szCs w:val="24"/>
        </w:rPr>
        <w:t>Final import risk analysis report for fresh stone fruit from California, Idaho, Oregon and Washington</w:t>
      </w:r>
      <w:r>
        <w:rPr>
          <w:rFonts w:ascii="Times New Roman" w:hAnsi="Times New Roman"/>
          <w:sz w:val="24"/>
          <w:szCs w:val="24"/>
        </w:rPr>
        <w:t>. Biosecurity Australia, Canberra.</w:t>
      </w:r>
    </w:p>
    <w:p w14:paraId="267F8C4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Biosecurity Australia (2011a) </w:t>
      </w:r>
      <w:r>
        <w:rPr>
          <w:rFonts w:ascii="Times New Roman" w:hAnsi="Times New Roman"/>
          <w:i/>
          <w:sz w:val="24"/>
          <w:szCs w:val="24"/>
        </w:rPr>
        <w:t>Final import risk analysis report for table grapes from the People's Republic of China</w:t>
      </w:r>
      <w:r>
        <w:rPr>
          <w:rFonts w:ascii="Times New Roman" w:hAnsi="Times New Roman"/>
          <w:sz w:val="24"/>
          <w:szCs w:val="24"/>
        </w:rPr>
        <w:t>. Department of Agriculture, Fisheries and Forestry, Canberra.</w:t>
      </w:r>
    </w:p>
    <w:p w14:paraId="06364C6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Biosecurity Australia (2011b) </w:t>
      </w:r>
      <w:r>
        <w:rPr>
          <w:rFonts w:ascii="Times New Roman" w:hAnsi="Times New Roman"/>
          <w:i/>
          <w:sz w:val="24"/>
          <w:szCs w:val="24"/>
        </w:rPr>
        <w:t>Final non-regulated risk analysis report for table grapes from the Republic of Korea</w:t>
      </w:r>
      <w:r>
        <w:rPr>
          <w:rFonts w:ascii="Times New Roman" w:hAnsi="Times New Roman"/>
          <w:sz w:val="24"/>
          <w:szCs w:val="24"/>
        </w:rPr>
        <w:t>. Department of Agriculture, Fisheries and Forestry, Canberra.</w:t>
      </w:r>
    </w:p>
    <w:p w14:paraId="6C1DCA8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Blackburn VL, Miller DR (1984) Pests not known to occur in the United States or of limited distribution, no. 44: Black parlatoria scale. http://www.sel.barc.usda.gov/Coccoidea/black.pdf Accessed 21 November 2011.</w:t>
      </w:r>
    </w:p>
    <w:p w14:paraId="4DEEB4D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Bock IR (1976) Drosophilidae of Australia: i. </w:t>
      </w:r>
      <w:r>
        <w:rPr>
          <w:rFonts w:ascii="Times New Roman" w:hAnsi="Times New Roman"/>
          <w:i/>
          <w:sz w:val="24"/>
          <w:szCs w:val="24"/>
        </w:rPr>
        <w:t>Drosophila</w:t>
      </w:r>
      <w:r>
        <w:rPr>
          <w:rFonts w:ascii="Times New Roman" w:hAnsi="Times New Roman"/>
          <w:sz w:val="24"/>
          <w:szCs w:val="24"/>
        </w:rPr>
        <w:t xml:space="preserve"> (Insecta: Diptera). </w:t>
      </w:r>
      <w:r>
        <w:rPr>
          <w:rFonts w:ascii="Times New Roman" w:hAnsi="Times New Roman"/>
          <w:i/>
          <w:sz w:val="24"/>
          <w:szCs w:val="24"/>
        </w:rPr>
        <w:t>Australian Journal of Zoology</w:t>
      </w:r>
      <w:r>
        <w:rPr>
          <w:rFonts w:ascii="Times New Roman" w:hAnsi="Times New Roman"/>
          <w:sz w:val="24"/>
          <w:szCs w:val="24"/>
        </w:rPr>
        <w:t xml:space="preserve"> 40: 1–34.</w:t>
      </w:r>
    </w:p>
    <w:p w14:paraId="599B9CC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Bolland HR, Gutierrez J, Flechtmann CHW (1998) </w:t>
      </w:r>
      <w:r>
        <w:rPr>
          <w:rFonts w:ascii="Times New Roman" w:hAnsi="Times New Roman"/>
          <w:i/>
          <w:sz w:val="24"/>
          <w:szCs w:val="24"/>
        </w:rPr>
        <w:t xml:space="preserve">World catalogue of the spider mite family (Acari: Tetranychidae). </w:t>
      </w:r>
      <w:r>
        <w:rPr>
          <w:rFonts w:ascii="Times New Roman" w:hAnsi="Times New Roman"/>
          <w:sz w:val="24"/>
          <w:szCs w:val="24"/>
        </w:rPr>
        <w:t>Brill, Boston.</w:t>
      </w:r>
    </w:p>
    <w:p w14:paraId="41DB4D5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Brooks S, Nickerson JC (2011) Little fire ant, </w:t>
      </w:r>
      <w:r>
        <w:rPr>
          <w:rFonts w:ascii="Times New Roman" w:hAnsi="Times New Roman"/>
          <w:i/>
          <w:sz w:val="24"/>
          <w:szCs w:val="24"/>
        </w:rPr>
        <w:t>Wasmannia auropunctata</w:t>
      </w:r>
      <w:r>
        <w:rPr>
          <w:rFonts w:ascii="Times New Roman" w:hAnsi="Times New Roman"/>
          <w:sz w:val="24"/>
          <w:szCs w:val="24"/>
        </w:rPr>
        <w:t xml:space="preserve"> (Roger), (Insecta: Hymenoptera: Formicidae). EENY139. University of Florida, IFAS Extension. http://edis.ifas.ufl.edu/pdffiles/IN/IN29600.pdf Accessed 9 November 2011.</w:t>
      </w:r>
    </w:p>
    <w:p w14:paraId="15341AB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Brown JW, Robinson G, Powell JA (2008) Food plant database of the leafrollers of the world (Lepidoptera: Tortricidae) (Version 1.0.0). Tortricid.net. http://www.tortricidae.com/foodplants.asp Accessed 14 September 2010.</w:t>
      </w:r>
    </w:p>
    <w:p w14:paraId="0AF2ADB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Bruck DJ, Walton VM (2007) Susceptibility of the filbertworm (</w:t>
      </w:r>
      <w:r>
        <w:rPr>
          <w:rFonts w:ascii="Times New Roman" w:hAnsi="Times New Roman"/>
          <w:i/>
          <w:sz w:val="24"/>
          <w:szCs w:val="24"/>
        </w:rPr>
        <w:t xml:space="preserve">Cydia latiferreana, </w:t>
      </w:r>
      <w:r>
        <w:rPr>
          <w:rFonts w:ascii="Times New Roman" w:hAnsi="Times New Roman"/>
          <w:sz w:val="24"/>
          <w:szCs w:val="24"/>
        </w:rPr>
        <w:t>Lepidoptera: Tortricidae) and filbert weevil (</w:t>
      </w:r>
      <w:r>
        <w:rPr>
          <w:rFonts w:ascii="Times New Roman" w:hAnsi="Times New Roman"/>
          <w:i/>
          <w:sz w:val="24"/>
          <w:szCs w:val="24"/>
        </w:rPr>
        <w:t xml:space="preserve">Curculio occidentalis, </w:t>
      </w:r>
      <w:r>
        <w:rPr>
          <w:rFonts w:ascii="Times New Roman" w:hAnsi="Times New Roman"/>
          <w:sz w:val="24"/>
          <w:szCs w:val="24"/>
        </w:rPr>
        <w:t xml:space="preserve">Coleoptera: Curculionidae) to entomopathogenic nematodes. </w:t>
      </w:r>
      <w:r>
        <w:rPr>
          <w:rFonts w:ascii="Times New Roman" w:hAnsi="Times New Roman"/>
          <w:i/>
          <w:sz w:val="24"/>
          <w:szCs w:val="24"/>
        </w:rPr>
        <w:t>Invertebrate Pathology</w:t>
      </w:r>
      <w:r>
        <w:rPr>
          <w:rFonts w:ascii="Times New Roman" w:hAnsi="Times New Roman"/>
          <w:sz w:val="24"/>
          <w:szCs w:val="24"/>
        </w:rPr>
        <w:t xml:space="preserve"> 96: 93–96.</w:t>
      </w:r>
    </w:p>
    <w:p w14:paraId="1AFEEBE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BSES Limited (2011) Dossier on </w:t>
      </w:r>
      <w:r>
        <w:rPr>
          <w:rFonts w:ascii="Times New Roman" w:hAnsi="Times New Roman"/>
          <w:i/>
          <w:sz w:val="24"/>
          <w:szCs w:val="24"/>
        </w:rPr>
        <w:t xml:space="preserve">Tetramoera schistaceana </w:t>
      </w:r>
      <w:r>
        <w:rPr>
          <w:rFonts w:ascii="Times New Roman" w:hAnsi="Times New Roman"/>
          <w:sz w:val="24"/>
          <w:szCs w:val="24"/>
        </w:rPr>
        <w:t>as a pest of sugarcane. BSES Sugarcane for the future. http://bses.org.au/IncuManaPlan/Tetramoera%20schistaceana.pdf Accessed 16 November 2011.</w:t>
      </w:r>
    </w:p>
    <w:p w14:paraId="40AD772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CABI (2011) Crop Protection Compendium. CAB International. http://www.cabi.org/cpc Accessed 2011.</w:t>
      </w:r>
    </w:p>
    <w:p w14:paraId="59C1ED4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Campbell CAM (1997) Cocoa. In Ben-Dov Y, Hodgson CJ (eds) </w:t>
      </w:r>
      <w:r>
        <w:rPr>
          <w:rFonts w:ascii="Times New Roman" w:hAnsi="Times New Roman"/>
          <w:i/>
          <w:sz w:val="24"/>
          <w:szCs w:val="24"/>
        </w:rPr>
        <w:t>Soft scale insects - their biology, natural enemies and control Vol. 7B</w:t>
      </w:r>
      <w:r>
        <w:rPr>
          <w:rFonts w:ascii="Times New Roman" w:hAnsi="Times New Roman"/>
          <w:sz w:val="24"/>
          <w:szCs w:val="24"/>
        </w:rPr>
        <w:t xml:space="preserve"> 381–385. Elsevier Science Publishers B.V., Amsterdam.</w:t>
      </w:r>
    </w:p>
    <w:p w14:paraId="7FB7FD1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Cantrell BK, Chadwick B, Cahill A (2002) </w:t>
      </w:r>
      <w:r>
        <w:rPr>
          <w:rFonts w:ascii="Times New Roman" w:hAnsi="Times New Roman"/>
          <w:i/>
          <w:sz w:val="24"/>
          <w:szCs w:val="24"/>
        </w:rPr>
        <w:t xml:space="preserve">Fruit fly fighters: eradication of the papaya fruit fly. </w:t>
      </w:r>
      <w:r>
        <w:rPr>
          <w:rFonts w:ascii="Times New Roman" w:hAnsi="Times New Roman"/>
          <w:sz w:val="24"/>
          <w:szCs w:val="24"/>
        </w:rPr>
        <w:t>CSIRO Publishing, Collingwood.</w:t>
      </w:r>
    </w:p>
    <w:p w14:paraId="5075BF8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Carver M, Gross GF, Woodward TE (1991) Hemiptera. In Naumann ID, Carne PB, Lawrence JF, Nielsen ES, Spradbery JP, Taylor RW, Whitten MJ, Littlejohn MJ (eds) </w:t>
      </w:r>
      <w:r>
        <w:rPr>
          <w:rFonts w:ascii="Times New Roman" w:hAnsi="Times New Roman"/>
          <w:i/>
          <w:sz w:val="24"/>
          <w:szCs w:val="24"/>
        </w:rPr>
        <w:t>The insects of Australia: a textbook for students and research workers</w:t>
      </w:r>
      <w:r>
        <w:rPr>
          <w:rFonts w:ascii="Times New Roman" w:hAnsi="Times New Roman"/>
          <w:sz w:val="24"/>
          <w:szCs w:val="24"/>
        </w:rPr>
        <w:t xml:space="preserve"> 429–509. Melbourne University Press, Carlton.</w:t>
      </w:r>
    </w:p>
    <w:p w14:paraId="5040E22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Causton CE (2001) </w:t>
      </w:r>
      <w:r>
        <w:rPr>
          <w:rFonts w:ascii="Times New Roman" w:hAnsi="Times New Roman"/>
          <w:i/>
          <w:sz w:val="24"/>
          <w:szCs w:val="24"/>
        </w:rPr>
        <w:t xml:space="preserve">Dossier on </w:t>
      </w:r>
      <w:r>
        <w:rPr>
          <w:rFonts w:ascii="Times New Roman" w:hAnsi="Times New Roman"/>
          <w:sz w:val="24"/>
          <w:szCs w:val="24"/>
        </w:rPr>
        <w:t>Rodolia cardinalis</w:t>
      </w:r>
      <w:r>
        <w:rPr>
          <w:rFonts w:ascii="Times New Roman" w:hAnsi="Times New Roman"/>
          <w:i/>
          <w:sz w:val="24"/>
          <w:szCs w:val="24"/>
        </w:rPr>
        <w:t xml:space="preserve"> Mulsant (Coccinellidae: Coccinellinae), a potential biological control agent for the cottony cushion scale, </w:t>
      </w:r>
      <w:r>
        <w:rPr>
          <w:rFonts w:ascii="Times New Roman" w:hAnsi="Times New Roman"/>
          <w:sz w:val="24"/>
          <w:szCs w:val="24"/>
        </w:rPr>
        <w:t>Icerya purchasi</w:t>
      </w:r>
      <w:r>
        <w:rPr>
          <w:rFonts w:ascii="Times New Roman" w:hAnsi="Times New Roman"/>
          <w:i/>
          <w:sz w:val="24"/>
          <w:szCs w:val="24"/>
        </w:rPr>
        <w:t xml:space="preserve"> Maskell (Margarodidae).</w:t>
      </w:r>
      <w:r>
        <w:rPr>
          <w:rFonts w:ascii="Times New Roman" w:hAnsi="Times New Roman"/>
          <w:sz w:val="24"/>
          <w:szCs w:val="24"/>
        </w:rPr>
        <w:t xml:space="preserve"> Charles Darwin Foundation, Galapagos.</w:t>
      </w:r>
    </w:p>
    <w:p w14:paraId="6431AD2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Causton CE, Sevilla CR, Porter SD (2005) Eradication of the little fire ant, </w:t>
      </w:r>
      <w:r>
        <w:rPr>
          <w:rFonts w:ascii="Times New Roman" w:hAnsi="Times New Roman"/>
          <w:i/>
          <w:sz w:val="24"/>
          <w:szCs w:val="24"/>
        </w:rPr>
        <w:t>Wasmannia auropunctata</w:t>
      </w:r>
      <w:r>
        <w:rPr>
          <w:rFonts w:ascii="Times New Roman" w:hAnsi="Times New Roman"/>
          <w:sz w:val="24"/>
          <w:szCs w:val="24"/>
        </w:rPr>
        <w:t xml:space="preserve"> (Hymenoptera: Formicidae), from Marchena Island, Galapagos: on the edge of success? </w:t>
      </w:r>
      <w:r>
        <w:rPr>
          <w:rFonts w:ascii="Times New Roman" w:hAnsi="Times New Roman"/>
          <w:i/>
          <w:sz w:val="24"/>
          <w:szCs w:val="24"/>
        </w:rPr>
        <w:t>Florida Entomologist</w:t>
      </w:r>
      <w:r>
        <w:rPr>
          <w:rFonts w:ascii="Times New Roman" w:hAnsi="Times New Roman"/>
          <w:sz w:val="24"/>
          <w:szCs w:val="24"/>
        </w:rPr>
        <w:t xml:space="preserve"> 88: 159–168.</w:t>
      </w:r>
    </w:p>
    <w:p w14:paraId="60CD15C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Chin D (2008) Ants in the household and garden. Northern Territory Government Factsheet ENT2. http://www.nt.gov.au/d/Content/File/p/Plant_Pest/ENT2%20Ants%20in%20the%20household%20and%20garden%20Factsheet.pdf Accessed 3 October 2011.</w:t>
      </w:r>
    </w:p>
    <w:p w14:paraId="36C92DE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Clarke AR, Armstrong KF, Carmichael AE, Milne JR, Raghu S, Roderick GK, Yeates DK (2005) Invasive phytophagous pests arising through a recent tropical evolutionary radiation: the</w:t>
      </w:r>
      <w:r>
        <w:rPr>
          <w:rFonts w:ascii="Times New Roman" w:hAnsi="Times New Roman"/>
          <w:i/>
          <w:sz w:val="24"/>
          <w:szCs w:val="24"/>
        </w:rPr>
        <w:t xml:space="preserve"> Bactrocera dorsalis</w:t>
      </w:r>
      <w:r>
        <w:rPr>
          <w:rFonts w:ascii="Times New Roman" w:hAnsi="Times New Roman"/>
          <w:sz w:val="24"/>
          <w:szCs w:val="24"/>
        </w:rPr>
        <w:t xml:space="preserve"> complex of fruit flies. </w:t>
      </w:r>
      <w:r>
        <w:rPr>
          <w:rFonts w:ascii="Times New Roman" w:hAnsi="Times New Roman"/>
          <w:i/>
          <w:sz w:val="24"/>
          <w:szCs w:val="24"/>
        </w:rPr>
        <w:t>Annual Review of Entomology</w:t>
      </w:r>
      <w:r>
        <w:rPr>
          <w:rFonts w:ascii="Times New Roman" w:hAnsi="Times New Roman"/>
          <w:sz w:val="24"/>
          <w:szCs w:val="24"/>
        </w:rPr>
        <w:t xml:space="preserve"> 50: 293–319.</w:t>
      </w:r>
    </w:p>
    <w:p w14:paraId="5EF238F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Corpuz-Raros LA (1989) Hosts, geographic distribution and predatory mite associations of Philippine phytophagous mites (Acari). </w:t>
      </w:r>
      <w:r>
        <w:rPr>
          <w:rFonts w:ascii="Times New Roman" w:hAnsi="Times New Roman"/>
          <w:i/>
          <w:sz w:val="24"/>
          <w:szCs w:val="24"/>
        </w:rPr>
        <w:t>The Philippine Agriculturist</w:t>
      </w:r>
      <w:r>
        <w:rPr>
          <w:rFonts w:ascii="Times New Roman" w:hAnsi="Times New Roman"/>
          <w:sz w:val="24"/>
          <w:szCs w:val="24"/>
        </w:rPr>
        <w:t xml:space="preserve"> 72: 303–322.</w:t>
      </w:r>
    </w:p>
    <w:p w14:paraId="0D7FBA2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Cox JM (1987) Pseudococcidae (Insecta: Hemiptera). </w:t>
      </w:r>
      <w:r>
        <w:rPr>
          <w:rFonts w:ascii="Times New Roman" w:hAnsi="Times New Roman"/>
          <w:i/>
          <w:sz w:val="24"/>
          <w:szCs w:val="24"/>
        </w:rPr>
        <w:t>Fauna of New Zealand</w:t>
      </w:r>
      <w:r>
        <w:rPr>
          <w:rFonts w:ascii="Times New Roman" w:hAnsi="Times New Roman"/>
          <w:sz w:val="24"/>
          <w:szCs w:val="24"/>
        </w:rPr>
        <w:t xml:space="preserve"> 11: 1–229.</w:t>
      </w:r>
    </w:p>
    <w:p w14:paraId="7815A8B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Cox JM (1989) The mealybug genus </w:t>
      </w:r>
      <w:r>
        <w:rPr>
          <w:rFonts w:ascii="Times New Roman" w:hAnsi="Times New Roman"/>
          <w:i/>
          <w:sz w:val="24"/>
          <w:szCs w:val="24"/>
        </w:rPr>
        <w:t>Planococcus</w:t>
      </w:r>
      <w:r>
        <w:rPr>
          <w:rFonts w:ascii="Times New Roman" w:hAnsi="Times New Roman"/>
          <w:sz w:val="24"/>
          <w:szCs w:val="24"/>
        </w:rPr>
        <w:t xml:space="preserve"> (Homoptera: Pseudococcidae). </w:t>
      </w:r>
      <w:r>
        <w:rPr>
          <w:rFonts w:ascii="Times New Roman" w:hAnsi="Times New Roman"/>
          <w:i/>
          <w:sz w:val="24"/>
          <w:szCs w:val="24"/>
        </w:rPr>
        <w:t>Bulletin of the British Museum (Natural History), Entomology</w:t>
      </w:r>
      <w:r>
        <w:rPr>
          <w:rFonts w:ascii="Times New Roman" w:hAnsi="Times New Roman"/>
          <w:sz w:val="24"/>
          <w:szCs w:val="24"/>
        </w:rPr>
        <w:t xml:space="preserve"> 58: 1–78.</w:t>
      </w:r>
    </w:p>
    <w:p w14:paraId="71F6249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Crooker A (1985) Embryonic and juvenile development. In Helle W, Sabelis MW (eds) </w:t>
      </w:r>
      <w:r>
        <w:rPr>
          <w:rFonts w:ascii="Times New Roman" w:hAnsi="Times New Roman"/>
          <w:i/>
          <w:sz w:val="24"/>
          <w:szCs w:val="24"/>
        </w:rPr>
        <w:t>Spider mites: their biology, natural enemies and control. Vol. 1A</w:t>
      </w:r>
      <w:r>
        <w:rPr>
          <w:rFonts w:ascii="Times New Roman" w:hAnsi="Times New Roman"/>
          <w:sz w:val="24"/>
          <w:szCs w:val="24"/>
        </w:rPr>
        <w:t xml:space="preserve"> 149–163. Elsevier Science Publishers B.V., Amsterdam.</w:t>
      </w:r>
    </w:p>
    <w:p w14:paraId="0AE659A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Crous PW, Aptroot A, Kang J, Braun U, Wingfield MJ (2000) The genus </w:t>
      </w:r>
      <w:r>
        <w:rPr>
          <w:rFonts w:ascii="Times New Roman" w:hAnsi="Times New Roman"/>
          <w:i/>
          <w:sz w:val="24"/>
          <w:szCs w:val="24"/>
        </w:rPr>
        <w:t>Mycosphaerella</w:t>
      </w:r>
      <w:r>
        <w:rPr>
          <w:rFonts w:ascii="Times New Roman" w:hAnsi="Times New Roman"/>
          <w:sz w:val="24"/>
          <w:szCs w:val="24"/>
        </w:rPr>
        <w:t xml:space="preserve"> and its anamorphs. </w:t>
      </w:r>
      <w:r>
        <w:rPr>
          <w:rFonts w:ascii="Times New Roman" w:hAnsi="Times New Roman"/>
          <w:i/>
          <w:sz w:val="24"/>
          <w:szCs w:val="24"/>
        </w:rPr>
        <w:t>Studies in Mycology</w:t>
      </w:r>
      <w:r>
        <w:rPr>
          <w:rFonts w:ascii="Times New Roman" w:hAnsi="Times New Roman"/>
          <w:sz w:val="24"/>
          <w:szCs w:val="24"/>
        </w:rPr>
        <w:t xml:space="preserve"> 45: 107–121.</w:t>
      </w:r>
    </w:p>
    <w:p w14:paraId="4209EFF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CSIRO (2005) Australian insect common names version 1.53. http://ento.csiro.au/au/aicn/index.html Accessed 2011.</w:t>
      </w:r>
    </w:p>
    <w:p w14:paraId="124805E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CSIRO (2011) Ants down under. http://anic.ento.csiro.au/ants/ants Accessed 10 November 2011.</w:t>
      </w:r>
    </w:p>
    <w:p w14:paraId="7017AF6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DAFF (2004a) </w:t>
      </w:r>
      <w:r>
        <w:rPr>
          <w:rFonts w:ascii="Times New Roman" w:hAnsi="Times New Roman"/>
          <w:i/>
          <w:sz w:val="24"/>
          <w:szCs w:val="24"/>
        </w:rPr>
        <w:t>Longan and lychee fruit from the People's Republic of China and Thailand: Final import risk analysis report - part A and B</w:t>
      </w:r>
      <w:r>
        <w:rPr>
          <w:rFonts w:ascii="Times New Roman" w:hAnsi="Times New Roman"/>
          <w:sz w:val="24"/>
          <w:szCs w:val="24"/>
        </w:rPr>
        <w:t>. Department of Agriculture, Fisheries and Forestry, Canberra.</w:t>
      </w:r>
    </w:p>
    <w:p w14:paraId="57B11AF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DAFF (2004b) </w:t>
      </w:r>
      <w:r>
        <w:rPr>
          <w:rFonts w:ascii="Times New Roman" w:hAnsi="Times New Roman"/>
          <w:i/>
          <w:sz w:val="24"/>
          <w:szCs w:val="24"/>
        </w:rPr>
        <w:t>Mangosteen fruit from Thailand: final import risk analysis report</w:t>
      </w:r>
      <w:r>
        <w:rPr>
          <w:rFonts w:ascii="Times New Roman" w:hAnsi="Times New Roman"/>
          <w:sz w:val="24"/>
          <w:szCs w:val="24"/>
        </w:rPr>
        <w:t>. Department of Agriculture, Fisheries and Forestry, Canberra.</w:t>
      </w:r>
    </w:p>
    <w:p w14:paraId="4064956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de Meijere JCH (1938) </w:t>
      </w:r>
      <w:r>
        <w:rPr>
          <w:rFonts w:ascii="Times New Roman" w:hAnsi="Times New Roman"/>
          <w:i/>
          <w:sz w:val="24"/>
          <w:szCs w:val="24"/>
        </w:rPr>
        <w:t>Polyodaspis endogena</w:t>
      </w:r>
      <w:r>
        <w:rPr>
          <w:rFonts w:ascii="Times New Roman" w:hAnsi="Times New Roman"/>
          <w:sz w:val="24"/>
          <w:szCs w:val="24"/>
        </w:rPr>
        <w:t xml:space="preserve"> n. sp., eine endoparasitisch in Raupen lebende Chloropide aus Java. </w:t>
      </w:r>
      <w:r>
        <w:rPr>
          <w:rFonts w:ascii="Times New Roman" w:hAnsi="Times New Roman"/>
          <w:i/>
          <w:sz w:val="24"/>
          <w:szCs w:val="24"/>
        </w:rPr>
        <w:t>Entomologische Berichten</w:t>
      </w:r>
      <w:r>
        <w:rPr>
          <w:rFonts w:ascii="Times New Roman" w:hAnsi="Times New Roman"/>
          <w:sz w:val="24"/>
          <w:szCs w:val="24"/>
        </w:rPr>
        <w:t xml:space="preserve"> 10: 83–84.</w:t>
      </w:r>
    </w:p>
    <w:p w14:paraId="6DC46D2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de Prins J, de Prins W (2010) Global Taxonomic Database of Gracillariidae (Lepidoptera). http://www.gracillariidae.net Accessed 11 November 2011.</w:t>
      </w:r>
    </w:p>
    <w:p w14:paraId="239D529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DEEDI (2011) Biosecurity Queensland's electric ant eradication program. http://www.dpi.qld.gov.au/4790_5778.htm Accessed 14 November 2011.</w:t>
      </w:r>
    </w:p>
    <w:p w14:paraId="6576D68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Directorate General of Horticulture (2010) </w:t>
      </w:r>
      <w:r>
        <w:rPr>
          <w:rFonts w:ascii="Times New Roman" w:hAnsi="Times New Roman"/>
          <w:i/>
          <w:sz w:val="24"/>
          <w:szCs w:val="24"/>
        </w:rPr>
        <w:t>Information of pest management on mangosteen (</w:t>
      </w:r>
      <w:r>
        <w:rPr>
          <w:rFonts w:ascii="Times New Roman" w:hAnsi="Times New Roman"/>
          <w:sz w:val="24"/>
          <w:szCs w:val="24"/>
        </w:rPr>
        <w:t>Garcinia mangostana</w:t>
      </w:r>
      <w:r>
        <w:rPr>
          <w:rFonts w:ascii="Times New Roman" w:hAnsi="Times New Roman"/>
          <w:i/>
          <w:sz w:val="24"/>
          <w:szCs w:val="24"/>
        </w:rPr>
        <w:t xml:space="preserve"> Linn.)</w:t>
      </w:r>
      <w:r>
        <w:rPr>
          <w:rFonts w:ascii="Times New Roman" w:hAnsi="Times New Roman"/>
          <w:sz w:val="24"/>
          <w:szCs w:val="24"/>
        </w:rPr>
        <w:t>. Directorate of Horticulture Crop Protection, Jakarta.</w:t>
      </w:r>
    </w:p>
    <w:p w14:paraId="1B0FF6A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Dorly, Tjitrosemito S, Poerwanto R, Juliarni (2009) Secretory duct structure and phytochemistry compounds of yellow latex in mangosteen fruit. </w:t>
      </w:r>
      <w:r>
        <w:rPr>
          <w:rFonts w:ascii="Times New Roman" w:hAnsi="Times New Roman"/>
          <w:i/>
          <w:sz w:val="24"/>
          <w:szCs w:val="24"/>
        </w:rPr>
        <w:t>HAYATI Journal of Biosciences</w:t>
      </w:r>
      <w:r>
        <w:rPr>
          <w:rFonts w:ascii="Times New Roman" w:hAnsi="Times New Roman"/>
          <w:sz w:val="24"/>
          <w:szCs w:val="24"/>
        </w:rPr>
        <w:t xml:space="preserve"> 15: 99–104.</w:t>
      </w:r>
    </w:p>
    <w:p w14:paraId="4E76D5D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DPIPWE (2009) </w:t>
      </w:r>
      <w:r>
        <w:rPr>
          <w:rFonts w:ascii="Times New Roman" w:hAnsi="Times New Roman"/>
          <w:i/>
          <w:sz w:val="24"/>
          <w:szCs w:val="24"/>
        </w:rPr>
        <w:t>Plant quarantine manual: Tasmania, Edition 2010</w:t>
      </w:r>
      <w:r>
        <w:rPr>
          <w:rFonts w:ascii="Times New Roman" w:hAnsi="Times New Roman"/>
          <w:sz w:val="24"/>
          <w:szCs w:val="24"/>
        </w:rPr>
        <w:t>. Department of Primary Industries and Water, Tasmania.</w:t>
      </w:r>
    </w:p>
    <w:p w14:paraId="3FF74DA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Drew RAI, Hancock DL (1994) The </w:t>
      </w:r>
      <w:r>
        <w:rPr>
          <w:rFonts w:ascii="Times New Roman" w:hAnsi="Times New Roman"/>
          <w:i/>
          <w:sz w:val="24"/>
          <w:szCs w:val="24"/>
        </w:rPr>
        <w:t>Bactrocera dorsalis</w:t>
      </w:r>
      <w:r>
        <w:rPr>
          <w:rFonts w:ascii="Times New Roman" w:hAnsi="Times New Roman"/>
          <w:sz w:val="24"/>
          <w:szCs w:val="24"/>
        </w:rPr>
        <w:t xml:space="preserve"> complex of fruit flies (Diptera: Tephritidae: Dacinae) in Asia. </w:t>
      </w:r>
      <w:r>
        <w:rPr>
          <w:rFonts w:ascii="Times New Roman" w:hAnsi="Times New Roman"/>
          <w:i/>
          <w:sz w:val="24"/>
          <w:szCs w:val="24"/>
        </w:rPr>
        <w:t>Bulletin of Entomological Research</w:t>
      </w:r>
      <w:r>
        <w:rPr>
          <w:rFonts w:ascii="Times New Roman" w:hAnsi="Times New Roman"/>
          <w:sz w:val="24"/>
          <w:szCs w:val="24"/>
        </w:rPr>
        <w:t xml:space="preserve"> Suppl. 2: 1–68.</w:t>
      </w:r>
    </w:p>
    <w:p w14:paraId="0D6B261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Eliot J, Capaldi L, Bickersteth J (2001) </w:t>
      </w:r>
      <w:r>
        <w:rPr>
          <w:rFonts w:ascii="Times New Roman" w:hAnsi="Times New Roman"/>
          <w:i/>
          <w:sz w:val="24"/>
          <w:szCs w:val="24"/>
        </w:rPr>
        <w:t xml:space="preserve">Indonesia Handbook, 3rd Edition. </w:t>
      </w:r>
      <w:r>
        <w:rPr>
          <w:rFonts w:ascii="Times New Roman" w:hAnsi="Times New Roman"/>
          <w:sz w:val="24"/>
          <w:szCs w:val="24"/>
        </w:rPr>
        <w:t>Footprint Travel Guides, Bath, England.</w:t>
      </w:r>
    </w:p>
    <w:p w14:paraId="62A0DDB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Fabres G, Brown WL (1978) The recent introduction of the pest and </w:t>
      </w:r>
      <w:r>
        <w:rPr>
          <w:rFonts w:ascii="Times New Roman" w:hAnsi="Times New Roman"/>
          <w:i/>
          <w:sz w:val="24"/>
          <w:szCs w:val="24"/>
        </w:rPr>
        <w:t xml:space="preserve">Wasmannia auropunctata </w:t>
      </w:r>
      <w:r>
        <w:rPr>
          <w:rFonts w:ascii="Times New Roman" w:hAnsi="Times New Roman"/>
          <w:sz w:val="24"/>
          <w:szCs w:val="24"/>
        </w:rPr>
        <w:t xml:space="preserve">into New Caledonia. </w:t>
      </w:r>
      <w:r>
        <w:rPr>
          <w:rFonts w:ascii="Times New Roman" w:hAnsi="Times New Roman"/>
          <w:i/>
          <w:sz w:val="24"/>
          <w:szCs w:val="24"/>
        </w:rPr>
        <w:t>Journal of the Australian Entomological Society</w:t>
      </w:r>
      <w:r>
        <w:rPr>
          <w:rFonts w:ascii="Times New Roman" w:hAnsi="Times New Roman"/>
          <w:sz w:val="24"/>
          <w:szCs w:val="24"/>
        </w:rPr>
        <w:t xml:space="preserve"> 17: 139–142.</w:t>
      </w:r>
    </w:p>
    <w:p w14:paraId="50670A3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Fan QH, Zhang ZQ (2007) </w:t>
      </w:r>
      <w:r>
        <w:rPr>
          <w:rFonts w:ascii="Times New Roman" w:hAnsi="Times New Roman"/>
          <w:i/>
          <w:sz w:val="24"/>
          <w:szCs w:val="24"/>
        </w:rPr>
        <w:t xml:space="preserve">Tyrophagus </w:t>
      </w:r>
      <w:r>
        <w:rPr>
          <w:rFonts w:ascii="Times New Roman" w:hAnsi="Times New Roman"/>
          <w:sz w:val="24"/>
          <w:szCs w:val="24"/>
        </w:rPr>
        <w:t xml:space="preserve">(Acari: Astigmata: Acaridae). </w:t>
      </w:r>
      <w:r>
        <w:rPr>
          <w:rFonts w:ascii="Times New Roman" w:hAnsi="Times New Roman"/>
          <w:i/>
          <w:sz w:val="24"/>
          <w:szCs w:val="24"/>
        </w:rPr>
        <w:t>Fauna of New Zealand</w:t>
      </w:r>
      <w:r>
        <w:rPr>
          <w:rFonts w:ascii="Times New Roman" w:hAnsi="Times New Roman"/>
          <w:sz w:val="24"/>
          <w:szCs w:val="24"/>
        </w:rPr>
        <w:t xml:space="preserve"> 56: 1–291.</w:t>
      </w:r>
    </w:p>
    <w:p w14:paraId="1BFF3A5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FAO (2004) </w:t>
      </w:r>
      <w:r>
        <w:rPr>
          <w:rFonts w:ascii="Times New Roman" w:hAnsi="Times New Roman"/>
          <w:i/>
          <w:sz w:val="24"/>
          <w:szCs w:val="24"/>
        </w:rPr>
        <w:t>International Standards for Phytosanitary Measures (ISPM) no. 11: Pest risk analysis for quarantine pests including analysis of environmental risks and living modified organisms</w:t>
      </w:r>
      <w:r>
        <w:rPr>
          <w:rFonts w:ascii="Times New Roman" w:hAnsi="Times New Roman"/>
          <w:sz w:val="24"/>
          <w:szCs w:val="24"/>
        </w:rPr>
        <w:t>. Food and Agriculture Organization of the United Nations, Rome.</w:t>
      </w:r>
    </w:p>
    <w:p w14:paraId="296EFAF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FAO (2007a) </w:t>
      </w:r>
      <w:r>
        <w:rPr>
          <w:rFonts w:ascii="Times New Roman" w:hAnsi="Times New Roman"/>
          <w:i/>
          <w:sz w:val="24"/>
          <w:szCs w:val="24"/>
        </w:rPr>
        <w:t>Forest health and biosecurity working papers FBS/19E. Overview of forest pests: Indonesia</w:t>
      </w:r>
      <w:r>
        <w:rPr>
          <w:rFonts w:ascii="Times New Roman" w:hAnsi="Times New Roman"/>
          <w:sz w:val="24"/>
          <w:szCs w:val="24"/>
        </w:rPr>
        <w:t>. Food and Agriculture Organization of the United Nations (FAO), Forestry Department, Rome.</w:t>
      </w:r>
    </w:p>
    <w:p w14:paraId="219DE4B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FAO (2007b) </w:t>
      </w:r>
      <w:r>
        <w:rPr>
          <w:rFonts w:ascii="Times New Roman" w:hAnsi="Times New Roman"/>
          <w:i/>
          <w:sz w:val="24"/>
          <w:szCs w:val="24"/>
        </w:rPr>
        <w:t>International Standards for Phytosanitary Measures (ISPM) no. 2: Framework for pest risk analysis</w:t>
      </w:r>
      <w:r>
        <w:rPr>
          <w:rFonts w:ascii="Times New Roman" w:hAnsi="Times New Roman"/>
          <w:sz w:val="24"/>
          <w:szCs w:val="24"/>
        </w:rPr>
        <w:t>. Food and Agriculture Organization of the United Nations, Rome.</w:t>
      </w:r>
    </w:p>
    <w:p w14:paraId="415D03C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FAO (2009) </w:t>
      </w:r>
      <w:r>
        <w:rPr>
          <w:rFonts w:ascii="Times New Roman" w:hAnsi="Times New Roman"/>
          <w:i/>
          <w:sz w:val="24"/>
          <w:szCs w:val="24"/>
        </w:rPr>
        <w:t>International Standards for Phytosanitary Measures (ISPM) no. 5: Glossary of phytosanitary terms</w:t>
      </w:r>
      <w:r>
        <w:rPr>
          <w:rFonts w:ascii="Times New Roman" w:hAnsi="Times New Roman"/>
          <w:sz w:val="24"/>
          <w:szCs w:val="24"/>
        </w:rPr>
        <w:t>. Food and Agriculture Organization of the United Nations, Rome.</w:t>
      </w:r>
    </w:p>
    <w:p w14:paraId="28677A7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Farr DF, Rossman AY (2011) Fungal Databases. Systematic Mycology and Microbiology Laboratory Fungal Database, United States Department of Agriculture, Agricultural Research Service. http://nt.ars-grin.gov/fungaldatabases/index.cfm Accessed 2011.</w:t>
      </w:r>
    </w:p>
    <w:p w14:paraId="24D2A49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Fasulo TR, Brooks RF (2010) </w:t>
      </w:r>
      <w:r>
        <w:rPr>
          <w:rFonts w:ascii="Times New Roman" w:hAnsi="Times New Roman"/>
          <w:i/>
          <w:sz w:val="24"/>
          <w:szCs w:val="24"/>
        </w:rPr>
        <w:t xml:space="preserve">Scale pests of Florida citrus. </w:t>
      </w:r>
      <w:r>
        <w:rPr>
          <w:rFonts w:ascii="Times New Roman" w:hAnsi="Times New Roman"/>
          <w:sz w:val="24"/>
          <w:szCs w:val="24"/>
        </w:rPr>
        <w:t>ENY814. University of Florida IFAS Extension, http://edis.ifas.ufl.edu/pdffiles/CH/CH05900.pdf</w:t>
      </w:r>
    </w:p>
    <w:p w14:paraId="4000070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Fernald HT (1947) The little fire ant as a house pest. </w:t>
      </w:r>
      <w:r>
        <w:rPr>
          <w:rFonts w:ascii="Times New Roman" w:hAnsi="Times New Roman"/>
          <w:i/>
          <w:sz w:val="24"/>
          <w:szCs w:val="24"/>
        </w:rPr>
        <w:t>Journal of Economic Entomology</w:t>
      </w:r>
      <w:r>
        <w:rPr>
          <w:rFonts w:ascii="Times New Roman" w:hAnsi="Times New Roman"/>
          <w:sz w:val="24"/>
          <w:szCs w:val="24"/>
        </w:rPr>
        <w:t xml:space="preserve"> 40: 428.</w:t>
      </w:r>
    </w:p>
    <w:p w14:paraId="5C1A3B6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Flechtmann CHW, Knihinicki DK (2002) New species and new record of </w:t>
      </w:r>
      <w:r>
        <w:rPr>
          <w:rFonts w:ascii="Times New Roman" w:hAnsi="Times New Roman"/>
          <w:i/>
          <w:sz w:val="24"/>
          <w:szCs w:val="24"/>
        </w:rPr>
        <w:t xml:space="preserve">Tetranychus </w:t>
      </w:r>
      <w:r>
        <w:rPr>
          <w:rFonts w:ascii="Times New Roman" w:hAnsi="Times New Roman"/>
          <w:sz w:val="24"/>
          <w:szCs w:val="24"/>
        </w:rPr>
        <w:t xml:space="preserve">Dufour from Australia, with a key to the major groups in this genus based on females (Acari: Prostigmata: Tetranychidae). </w:t>
      </w:r>
      <w:r>
        <w:rPr>
          <w:rFonts w:ascii="Times New Roman" w:hAnsi="Times New Roman"/>
          <w:i/>
          <w:sz w:val="24"/>
          <w:szCs w:val="24"/>
        </w:rPr>
        <w:t>Australian Journal of Entomology</w:t>
      </w:r>
      <w:r>
        <w:rPr>
          <w:rFonts w:ascii="Times New Roman" w:hAnsi="Times New Roman"/>
          <w:sz w:val="24"/>
          <w:szCs w:val="24"/>
        </w:rPr>
        <w:t xml:space="preserve"> 41: 118–127.</w:t>
      </w:r>
    </w:p>
    <w:p w14:paraId="7566EB6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Fletcher BS (1989) Movements of tephritid fruit flies. In Robinson AS, Hooper G (eds) </w:t>
      </w:r>
      <w:r>
        <w:rPr>
          <w:rFonts w:ascii="Times New Roman" w:hAnsi="Times New Roman"/>
          <w:i/>
          <w:sz w:val="24"/>
          <w:szCs w:val="24"/>
        </w:rPr>
        <w:t>Fruit flies, their biology, natural enemies and control. Vol. 3B</w:t>
      </w:r>
      <w:r>
        <w:rPr>
          <w:rFonts w:ascii="Times New Roman" w:hAnsi="Times New Roman"/>
          <w:sz w:val="24"/>
          <w:szCs w:val="24"/>
        </w:rPr>
        <w:t xml:space="preserve"> 209–219. Elsevier Science Publishers B.V., Amsterdam.</w:t>
      </w:r>
    </w:p>
    <w:p w14:paraId="08611B8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Foldi I (1990) Moulting and scale-cover formation. In Rosen D (ed) </w:t>
      </w:r>
      <w:r>
        <w:rPr>
          <w:rFonts w:ascii="Times New Roman" w:hAnsi="Times New Roman"/>
          <w:i/>
          <w:sz w:val="24"/>
          <w:szCs w:val="24"/>
        </w:rPr>
        <w:t>Armored scale insects: their biology, natural enemies and control. Vol. 4A</w:t>
      </w:r>
      <w:r>
        <w:rPr>
          <w:rFonts w:ascii="Times New Roman" w:hAnsi="Times New Roman"/>
          <w:sz w:val="24"/>
          <w:szCs w:val="24"/>
        </w:rPr>
        <w:t xml:space="preserve"> 257–265. Elsevier Science Publishers B.V., Amsterdam.</w:t>
      </w:r>
    </w:p>
    <w:p w14:paraId="106A709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Frederick WH, Worden RL (1993) Indonesia: A country study. http://countrystudies.us/indonesia Accessed 7 December 2011.</w:t>
      </w:r>
    </w:p>
    <w:p w14:paraId="5E6E73E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Furness GO, Charles JG (1994) Mealybugs. In Nicholas P, Magarey P, Wachtel M (eds) </w:t>
      </w:r>
      <w:r>
        <w:rPr>
          <w:rFonts w:ascii="Times New Roman" w:hAnsi="Times New Roman"/>
          <w:i/>
          <w:sz w:val="24"/>
          <w:szCs w:val="24"/>
        </w:rPr>
        <w:t>Diseases and pests</w:t>
      </w:r>
      <w:r>
        <w:rPr>
          <w:rFonts w:ascii="Times New Roman" w:hAnsi="Times New Roman"/>
          <w:sz w:val="24"/>
          <w:szCs w:val="24"/>
        </w:rPr>
        <w:t xml:space="preserve"> 54–55. Winetitles, Adelaide.</w:t>
      </w:r>
    </w:p>
    <w:p w14:paraId="4E6121F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Gates GM (2009) </w:t>
      </w:r>
      <w:r>
        <w:rPr>
          <w:rFonts w:ascii="Times New Roman" w:hAnsi="Times New Roman"/>
          <w:i/>
          <w:sz w:val="24"/>
          <w:szCs w:val="24"/>
        </w:rPr>
        <w:t xml:space="preserve">Coarse woody debris, macrofungal assemblages, and sustainable forest management in a </w:t>
      </w:r>
      <w:r>
        <w:rPr>
          <w:rFonts w:ascii="Times New Roman" w:hAnsi="Times New Roman"/>
          <w:sz w:val="24"/>
          <w:szCs w:val="24"/>
        </w:rPr>
        <w:t>Eucalyptus obliqua</w:t>
      </w:r>
      <w:r>
        <w:rPr>
          <w:rFonts w:ascii="Times New Roman" w:hAnsi="Times New Roman"/>
          <w:i/>
          <w:sz w:val="24"/>
          <w:szCs w:val="24"/>
        </w:rPr>
        <w:t xml:space="preserve"> forest of southern Tasmania.</w:t>
      </w:r>
      <w:r>
        <w:rPr>
          <w:rFonts w:ascii="Times New Roman" w:hAnsi="Times New Roman"/>
          <w:sz w:val="24"/>
          <w:szCs w:val="24"/>
        </w:rPr>
        <w:t xml:space="preserve"> PhD thesis, University of Tasmania, Hobart.</w:t>
      </w:r>
    </w:p>
    <w:p w14:paraId="7F619BC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Gibson LP (1985) A catalog of the Coleoptera of America north of Mexico: Family: Curculionidae, subfamily: Curculioninae. pp. 1–12. </w:t>
      </w:r>
      <w:r>
        <w:rPr>
          <w:rFonts w:ascii="Times New Roman" w:hAnsi="Times New Roman"/>
          <w:i/>
          <w:sz w:val="24"/>
          <w:szCs w:val="24"/>
        </w:rPr>
        <w:t xml:space="preserve">Agriculture Handbook.529-143b.United States Department of Agriculture </w:t>
      </w:r>
      <w:r>
        <w:rPr>
          <w:rFonts w:ascii="Times New Roman" w:hAnsi="Times New Roman"/>
          <w:sz w:val="24"/>
          <w:szCs w:val="24"/>
        </w:rPr>
        <w:t>.</w:t>
      </w:r>
    </w:p>
    <w:p w14:paraId="5EA3372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Giliomee JH (1990) The adult male. In Rosen D (ed) </w:t>
      </w:r>
      <w:r>
        <w:rPr>
          <w:rFonts w:ascii="Times New Roman" w:hAnsi="Times New Roman"/>
          <w:i/>
          <w:sz w:val="24"/>
          <w:szCs w:val="24"/>
        </w:rPr>
        <w:t>Armored scale insects: their biology, natural enemies and control. Vol. 4A</w:t>
      </w:r>
      <w:r>
        <w:rPr>
          <w:rFonts w:ascii="Times New Roman" w:hAnsi="Times New Roman"/>
          <w:sz w:val="24"/>
          <w:szCs w:val="24"/>
        </w:rPr>
        <w:t xml:space="preserve"> 21–28. Elsevier Science Publishers B.V., Amsterdam.</w:t>
      </w:r>
    </w:p>
    <w:p w14:paraId="3688B79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Giliomee JH (1997) The adult male.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23–30. Elsevier Science Publishers B.V., Amsterdam.</w:t>
      </w:r>
    </w:p>
    <w:p w14:paraId="35F86B4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Gill RJ, Kosztarab M (1997) Economic importance.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161–163. Elsevier Science Publishers B.V., Amsterdam.</w:t>
      </w:r>
    </w:p>
    <w:p w14:paraId="1637946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GISD (2009) </w:t>
      </w:r>
      <w:r>
        <w:rPr>
          <w:rFonts w:ascii="Times New Roman" w:hAnsi="Times New Roman"/>
          <w:i/>
          <w:sz w:val="24"/>
          <w:szCs w:val="24"/>
        </w:rPr>
        <w:t>Anoplolepis gracilipes</w:t>
      </w:r>
      <w:r>
        <w:rPr>
          <w:rFonts w:ascii="Times New Roman" w:hAnsi="Times New Roman"/>
          <w:sz w:val="24"/>
          <w:szCs w:val="24"/>
        </w:rPr>
        <w:t xml:space="preserve"> (insect). Global Invasive Species Database. http://www.issg.org/database/species/ecology.asp?si=110&amp;fr=1&amp;sts=&amp;lang=EN Accessed 3 November 2011.</w:t>
      </w:r>
    </w:p>
    <w:p w14:paraId="6D45DE1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GISD (2010) Some general impacts of invasive ants. Global Invasive Species Database. http://www.invasivespecies.net/database/species/reference_files/Invasiveantimpacts.pdf Accessed 11 October 2011.</w:t>
      </w:r>
    </w:p>
    <w:p w14:paraId="2C65A63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Godfrey LD (2011) Spider mites: integrated pest management in the home garden. </w:t>
      </w:r>
      <w:r>
        <w:rPr>
          <w:rFonts w:ascii="Times New Roman" w:hAnsi="Times New Roman"/>
          <w:i/>
          <w:sz w:val="24"/>
          <w:szCs w:val="24"/>
        </w:rPr>
        <w:t xml:space="preserve">Pest Notes, University of California, Division of Agriculture and Natural Resources, Publication 7405 </w:t>
      </w:r>
      <w:r>
        <w:rPr>
          <w:rFonts w:ascii="Times New Roman" w:hAnsi="Times New Roman"/>
          <w:sz w:val="24"/>
          <w:szCs w:val="24"/>
        </w:rPr>
        <w:t>.</w:t>
      </w:r>
    </w:p>
    <w:p w14:paraId="52A67D0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Gould WP, Raga A (2002) Pests of guava. In Peña JE, Sharp JL, Wysoki M (eds) </w:t>
      </w:r>
      <w:r>
        <w:rPr>
          <w:rFonts w:ascii="Times New Roman" w:hAnsi="Times New Roman"/>
          <w:i/>
          <w:sz w:val="24"/>
          <w:szCs w:val="24"/>
        </w:rPr>
        <w:t>Tropical fruit pests and pollinators: biology, economic importance, natural enemies and control</w:t>
      </w:r>
      <w:r>
        <w:rPr>
          <w:rFonts w:ascii="Times New Roman" w:hAnsi="Times New Roman"/>
          <w:sz w:val="24"/>
          <w:szCs w:val="24"/>
        </w:rPr>
        <w:t xml:space="preserve"> 295–313. CAB International, Wallingford.</w:t>
      </w:r>
    </w:p>
    <w:p w14:paraId="581812D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Greathead DJ (1997a) Crawler behaviour and dispersal.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339–342. Elsevier Science Publishers B.V., Amsterdam.</w:t>
      </w:r>
    </w:p>
    <w:p w14:paraId="2E98C2D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Greathead DJ (1997b) Tea. In Ben-Dov Y, Hodgson CJ (eds) </w:t>
      </w:r>
      <w:r>
        <w:rPr>
          <w:rFonts w:ascii="Times New Roman" w:hAnsi="Times New Roman"/>
          <w:i/>
          <w:sz w:val="24"/>
          <w:szCs w:val="24"/>
        </w:rPr>
        <w:t>Soft scale insects - their biology, natural enemies and control Vol. 7B</w:t>
      </w:r>
      <w:r>
        <w:rPr>
          <w:rFonts w:ascii="Times New Roman" w:hAnsi="Times New Roman"/>
          <w:sz w:val="24"/>
          <w:szCs w:val="24"/>
        </w:rPr>
        <w:t xml:space="preserve"> 387–392. Elsevier Science Publisher B.V., Amsterdam.</w:t>
      </w:r>
    </w:p>
    <w:p w14:paraId="3578678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Guénard B, Weiser MD, Dunn RR (2010) Ant genera of the world. http://www.antmacroecology.org/ant_genera/index.html Accessed November 2011.</w:t>
      </w:r>
    </w:p>
    <w:p w14:paraId="6729B98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Gutierrez J (1978) Acari: leaf-feeding mites. In Matthews GA, Tunstall JP (eds) </w:t>
      </w:r>
      <w:r>
        <w:rPr>
          <w:rFonts w:ascii="Times New Roman" w:hAnsi="Times New Roman"/>
          <w:i/>
          <w:sz w:val="24"/>
          <w:szCs w:val="24"/>
        </w:rPr>
        <w:t>Insect pests of cotton</w:t>
      </w:r>
      <w:r>
        <w:rPr>
          <w:rFonts w:ascii="Times New Roman" w:hAnsi="Times New Roman"/>
          <w:sz w:val="24"/>
          <w:szCs w:val="24"/>
        </w:rPr>
        <w:t xml:space="preserve"> 407–424. CAB International, Wallingford.</w:t>
      </w:r>
    </w:p>
    <w:p w14:paraId="46BF756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Gutierrez J, Helle W (1985) Evolutionary changes in the Tetranychidae. In Helle W, Sabelis MW (eds) </w:t>
      </w:r>
      <w:r>
        <w:rPr>
          <w:rFonts w:ascii="Times New Roman" w:hAnsi="Times New Roman"/>
          <w:i/>
          <w:sz w:val="24"/>
          <w:szCs w:val="24"/>
        </w:rPr>
        <w:t>Spider mites: their biology, natural enemies and control. Vol. 1A</w:t>
      </w:r>
      <w:r>
        <w:rPr>
          <w:rFonts w:ascii="Times New Roman" w:hAnsi="Times New Roman"/>
          <w:sz w:val="24"/>
          <w:szCs w:val="24"/>
        </w:rPr>
        <w:t xml:space="preserve"> 91–107. Elsevier Science Publishers B.V., Amsterdam.</w:t>
      </w:r>
    </w:p>
    <w:p w14:paraId="3A0849A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Halbert SE (2011) Entomology section. </w:t>
      </w:r>
      <w:r>
        <w:rPr>
          <w:rFonts w:ascii="Times New Roman" w:hAnsi="Times New Roman"/>
          <w:i/>
          <w:sz w:val="24"/>
          <w:szCs w:val="24"/>
        </w:rPr>
        <w:t>Tri-ology</w:t>
      </w:r>
      <w:r>
        <w:rPr>
          <w:rFonts w:ascii="Times New Roman" w:hAnsi="Times New Roman"/>
          <w:sz w:val="24"/>
          <w:szCs w:val="24"/>
        </w:rPr>
        <w:t xml:space="preserve"> 50: 7–9.</w:t>
      </w:r>
    </w:p>
    <w:p w14:paraId="6AFDBBC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Hancock DL, Hamacek E, Lloyd AC, Elson-Harris MM (2000) </w:t>
      </w:r>
      <w:r>
        <w:rPr>
          <w:rFonts w:ascii="Times New Roman" w:hAnsi="Times New Roman"/>
          <w:i/>
          <w:sz w:val="24"/>
          <w:szCs w:val="24"/>
        </w:rPr>
        <w:t xml:space="preserve">The distribution and host plants of fruit flies (Diptera: Tephritidae) in Australia. </w:t>
      </w:r>
      <w:r>
        <w:rPr>
          <w:rFonts w:ascii="Times New Roman" w:hAnsi="Times New Roman"/>
          <w:sz w:val="24"/>
          <w:szCs w:val="24"/>
        </w:rPr>
        <w:t>Department of Primary Industries, Brisbane.</w:t>
      </w:r>
    </w:p>
    <w:p w14:paraId="231A42D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Hartini S, Saim A (2005) Mite (Acari: Arachnida) collection, preparation, mounting and storage. SPS Capacity Building Program: Training workshop on arthropod preservation, curation and data management. pp. 1–16. </w:t>
      </w:r>
    </w:p>
    <w:p w14:paraId="418257A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Hasyim A (2006) Pests of mangosteen in Indonesia. http://www.pustaka-deptan.go.id/publikasi/wr282066.pdf Accessed 23 August 2010.</w:t>
      </w:r>
    </w:p>
    <w:p w14:paraId="406A0BB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Hasyim A, Djatnika I, Mukminin K (2006) Identification of organisms attacking mangosteen plant. </w:t>
      </w:r>
      <w:r>
        <w:rPr>
          <w:rFonts w:ascii="Times New Roman" w:hAnsi="Times New Roman"/>
          <w:i/>
          <w:sz w:val="24"/>
          <w:szCs w:val="24"/>
        </w:rPr>
        <w:t>Warta Penelitian dan Pengembangan Pertanian</w:t>
      </w:r>
      <w:r>
        <w:rPr>
          <w:rFonts w:ascii="Times New Roman" w:hAnsi="Times New Roman"/>
          <w:sz w:val="24"/>
          <w:szCs w:val="24"/>
        </w:rPr>
        <w:t xml:space="preserve"> 28: 1–3.</w:t>
      </w:r>
    </w:p>
    <w:p w14:paraId="3F5162F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Helle W, Pijnacker LP (1985) Parthenogenesis, chromosomes and sex. In Helle W, Sabelis MW (eds) </w:t>
      </w:r>
      <w:r>
        <w:rPr>
          <w:rFonts w:ascii="Times New Roman" w:hAnsi="Times New Roman"/>
          <w:i/>
          <w:sz w:val="24"/>
          <w:szCs w:val="24"/>
        </w:rPr>
        <w:t>Spider mites: their biology, natural enemies and control. Vol. 1A</w:t>
      </w:r>
      <w:r>
        <w:rPr>
          <w:rFonts w:ascii="Times New Roman" w:hAnsi="Times New Roman"/>
          <w:sz w:val="24"/>
          <w:szCs w:val="24"/>
        </w:rPr>
        <w:t xml:space="preserve"> 129–139. Elsevier Science Publishers B.V., Amsterdam.</w:t>
      </w:r>
    </w:p>
    <w:p w14:paraId="304DBF7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Helms KR, Vinson SB (2002) Widespread association of the invasive ant </w:t>
      </w:r>
      <w:r>
        <w:rPr>
          <w:rFonts w:ascii="Times New Roman" w:hAnsi="Times New Roman"/>
          <w:i/>
          <w:sz w:val="24"/>
          <w:szCs w:val="24"/>
        </w:rPr>
        <w:t>Solenopsis invicta</w:t>
      </w:r>
      <w:r>
        <w:rPr>
          <w:rFonts w:ascii="Times New Roman" w:hAnsi="Times New Roman"/>
          <w:sz w:val="24"/>
          <w:szCs w:val="24"/>
        </w:rPr>
        <w:t xml:space="preserve"> with an invasive mealybug. </w:t>
      </w:r>
      <w:r>
        <w:rPr>
          <w:rFonts w:ascii="Times New Roman" w:hAnsi="Times New Roman"/>
          <w:i/>
          <w:sz w:val="24"/>
          <w:szCs w:val="24"/>
        </w:rPr>
        <w:t>Ecology</w:t>
      </w:r>
      <w:r>
        <w:rPr>
          <w:rFonts w:ascii="Times New Roman" w:hAnsi="Times New Roman"/>
          <w:sz w:val="24"/>
          <w:szCs w:val="24"/>
        </w:rPr>
        <w:t xml:space="preserve"> 83: 2425–2438.</w:t>
      </w:r>
    </w:p>
    <w:p w14:paraId="31B74B7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Hely PC, Pasfield G, Gellatley JG (1982) </w:t>
      </w:r>
      <w:r>
        <w:rPr>
          <w:rFonts w:ascii="Times New Roman" w:hAnsi="Times New Roman"/>
          <w:i/>
          <w:sz w:val="24"/>
          <w:szCs w:val="24"/>
        </w:rPr>
        <w:t xml:space="preserve">Insect pests of fruit and vegetables in NSW. </w:t>
      </w:r>
      <w:r>
        <w:rPr>
          <w:rFonts w:ascii="Times New Roman" w:hAnsi="Times New Roman"/>
          <w:sz w:val="24"/>
          <w:szCs w:val="24"/>
        </w:rPr>
        <w:t>Department of Agriculture, Sydney.</w:t>
      </w:r>
    </w:p>
    <w:p w14:paraId="5FD6EB2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Hill DS (2008) </w:t>
      </w:r>
      <w:r>
        <w:rPr>
          <w:rFonts w:ascii="Times New Roman" w:hAnsi="Times New Roman"/>
          <w:i/>
          <w:sz w:val="24"/>
          <w:szCs w:val="24"/>
        </w:rPr>
        <w:t xml:space="preserve">Pests of crops in warmer climates and their control. </w:t>
      </w:r>
      <w:r>
        <w:rPr>
          <w:rFonts w:ascii="Times New Roman" w:hAnsi="Times New Roman"/>
          <w:sz w:val="24"/>
          <w:szCs w:val="24"/>
        </w:rPr>
        <w:t>Springer-Verlag, Skegness.</w:t>
      </w:r>
    </w:p>
    <w:p w14:paraId="5307DF4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Holldobler B, Wilson EO (1977) The number of queens: an important trait in ant evolution. </w:t>
      </w:r>
      <w:r>
        <w:rPr>
          <w:rFonts w:ascii="Times New Roman" w:hAnsi="Times New Roman"/>
          <w:i/>
          <w:sz w:val="24"/>
          <w:szCs w:val="24"/>
        </w:rPr>
        <w:t>Naturwissenschaften</w:t>
      </w:r>
      <w:r>
        <w:rPr>
          <w:rFonts w:ascii="Times New Roman" w:hAnsi="Times New Roman"/>
          <w:sz w:val="24"/>
          <w:szCs w:val="24"/>
        </w:rPr>
        <w:t xml:space="preserve"> 64: 8–15.</w:t>
      </w:r>
    </w:p>
    <w:p w14:paraId="700CA14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Holloway JD (1985) Subfamily Stictopterinae: </w:t>
      </w:r>
      <w:r>
        <w:rPr>
          <w:rFonts w:ascii="Times New Roman" w:hAnsi="Times New Roman"/>
          <w:i/>
          <w:sz w:val="24"/>
          <w:szCs w:val="24"/>
        </w:rPr>
        <w:t xml:space="preserve">Stictoptera grisea </w:t>
      </w:r>
      <w:r>
        <w:rPr>
          <w:rFonts w:ascii="Times New Roman" w:hAnsi="Times New Roman"/>
          <w:sz w:val="24"/>
          <w:szCs w:val="24"/>
        </w:rPr>
        <w:t>Moore. The Moths of Borneo. http://www.mothsofborneo.com/part-14/stictopterinae/stictopterinae_1_8.php Accessed 28 July 2011.</w:t>
      </w:r>
    </w:p>
    <w:p w14:paraId="2F93BA0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Holway DA, Lach L, Suarez AV, Tsutsui ND, Case TJ (2002) The causes and consequences of ant invasions. </w:t>
      </w:r>
      <w:r>
        <w:rPr>
          <w:rFonts w:ascii="Times New Roman" w:hAnsi="Times New Roman"/>
          <w:i/>
          <w:sz w:val="24"/>
          <w:szCs w:val="24"/>
        </w:rPr>
        <w:t>Annual Review of Ecology and Systematics</w:t>
      </w:r>
      <w:r>
        <w:rPr>
          <w:rFonts w:ascii="Times New Roman" w:hAnsi="Times New Roman"/>
          <w:sz w:val="24"/>
          <w:szCs w:val="24"/>
        </w:rPr>
        <w:t xml:space="preserve"> 33: 181–233.</w:t>
      </w:r>
    </w:p>
    <w:p w14:paraId="51551A1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Horn CL (1940) Existence of only one variety of cultivated mangosteen explained by asexually formed "seed". </w:t>
      </w:r>
      <w:r>
        <w:rPr>
          <w:rFonts w:ascii="Times New Roman" w:hAnsi="Times New Roman"/>
          <w:i/>
          <w:sz w:val="24"/>
          <w:szCs w:val="24"/>
        </w:rPr>
        <w:t>Science</w:t>
      </w:r>
      <w:r>
        <w:rPr>
          <w:rFonts w:ascii="Times New Roman" w:hAnsi="Times New Roman"/>
          <w:sz w:val="24"/>
          <w:szCs w:val="24"/>
        </w:rPr>
        <w:t xml:space="preserve"> 92: 237–238.</w:t>
      </w:r>
    </w:p>
    <w:p w14:paraId="48D6423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Hoy LE, Whiting DC (1997) Low-temperature storage as a postharvest treatment to control (</w:t>
      </w:r>
      <w:r>
        <w:rPr>
          <w:rFonts w:ascii="Times New Roman" w:hAnsi="Times New Roman"/>
          <w:i/>
          <w:sz w:val="24"/>
          <w:szCs w:val="24"/>
        </w:rPr>
        <w:t>Pseudococcus affinis</w:t>
      </w:r>
      <w:r>
        <w:rPr>
          <w:rFonts w:ascii="Times New Roman" w:hAnsi="Times New Roman"/>
          <w:sz w:val="24"/>
          <w:szCs w:val="24"/>
        </w:rPr>
        <w:t xml:space="preserve">) (Homoptera: Pseudococcidae) on royal gala apples. </w:t>
      </w:r>
      <w:r>
        <w:rPr>
          <w:rFonts w:ascii="Times New Roman" w:hAnsi="Times New Roman"/>
          <w:i/>
          <w:sz w:val="24"/>
          <w:szCs w:val="24"/>
        </w:rPr>
        <w:t>Entomological Society of America: Annual Meeting</w:t>
      </w:r>
      <w:r>
        <w:rPr>
          <w:rFonts w:ascii="Times New Roman" w:hAnsi="Times New Roman"/>
          <w:sz w:val="24"/>
          <w:szCs w:val="24"/>
        </w:rPr>
        <w:t xml:space="preserve"> 90: 1377–1381.</w:t>
      </w:r>
    </w:p>
    <w:p w14:paraId="5EB60BD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Huffaker CB, Van de Vrie M, McMurtry JA (1969) The ecology of tetranychid mites and their natural control. </w:t>
      </w:r>
      <w:r>
        <w:rPr>
          <w:rFonts w:ascii="Times New Roman" w:hAnsi="Times New Roman"/>
          <w:i/>
          <w:sz w:val="24"/>
          <w:szCs w:val="24"/>
        </w:rPr>
        <w:t>Annual Review of Entomology</w:t>
      </w:r>
      <w:r>
        <w:rPr>
          <w:rFonts w:ascii="Times New Roman" w:hAnsi="Times New Roman"/>
          <w:sz w:val="24"/>
          <w:szCs w:val="24"/>
        </w:rPr>
        <w:t xml:space="preserve"> 14: 125–174.</w:t>
      </w:r>
    </w:p>
    <w:p w14:paraId="08F23B1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Hughes J, Vogler AP (2004) The phylogeny of acorn weevils (genus </w:t>
      </w:r>
      <w:r>
        <w:rPr>
          <w:rFonts w:ascii="Times New Roman" w:hAnsi="Times New Roman"/>
          <w:i/>
          <w:sz w:val="24"/>
          <w:szCs w:val="24"/>
        </w:rPr>
        <w:t>Curculio</w:t>
      </w:r>
      <w:r>
        <w:rPr>
          <w:rFonts w:ascii="Times New Roman" w:hAnsi="Times New Roman"/>
          <w:sz w:val="24"/>
          <w:szCs w:val="24"/>
        </w:rPr>
        <w:t xml:space="preserve">) from mitochondrial and nuclear DNA sequences: the problem of incomplete data. </w:t>
      </w:r>
      <w:r>
        <w:rPr>
          <w:rFonts w:ascii="Times New Roman" w:hAnsi="Times New Roman"/>
          <w:i/>
          <w:sz w:val="24"/>
          <w:szCs w:val="24"/>
        </w:rPr>
        <w:t>Molecular Phylogenetics and Evolution</w:t>
      </w:r>
      <w:r>
        <w:rPr>
          <w:rFonts w:ascii="Times New Roman" w:hAnsi="Times New Roman"/>
          <w:sz w:val="24"/>
          <w:szCs w:val="24"/>
        </w:rPr>
        <w:t xml:space="preserve"> 32: 601–615.</w:t>
      </w:r>
    </w:p>
    <w:p w14:paraId="4FD182F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IAQA (2008) </w:t>
      </w:r>
      <w:r>
        <w:rPr>
          <w:rFonts w:ascii="Times New Roman" w:hAnsi="Times New Roman"/>
          <w:i/>
          <w:sz w:val="24"/>
          <w:szCs w:val="24"/>
        </w:rPr>
        <w:t>Import proposal of mangosteens from Indonesia</w:t>
      </w:r>
      <w:r>
        <w:rPr>
          <w:rFonts w:ascii="Times New Roman" w:hAnsi="Times New Roman"/>
          <w:sz w:val="24"/>
          <w:szCs w:val="24"/>
        </w:rPr>
        <w:t>. Agency for Agricultural Quarantine, Ministry of Agriculture, Jakarta, Indonesia.</w:t>
      </w:r>
    </w:p>
    <w:p w14:paraId="339B5FD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IAQA (2010) </w:t>
      </w:r>
      <w:r>
        <w:rPr>
          <w:rFonts w:ascii="Times New Roman" w:hAnsi="Times New Roman"/>
          <w:i/>
          <w:sz w:val="24"/>
          <w:szCs w:val="24"/>
        </w:rPr>
        <w:t>Additional information for the production, packhouse and pest management of Indonesian mangosteen</w:t>
      </w:r>
      <w:r>
        <w:rPr>
          <w:rFonts w:ascii="Times New Roman" w:hAnsi="Times New Roman"/>
          <w:sz w:val="24"/>
          <w:szCs w:val="24"/>
        </w:rPr>
        <w:t>. Agency for Agricultural Quarantine, Ministry of Agriculture, Jakarta, Indonesia.</w:t>
      </w:r>
    </w:p>
    <w:p w14:paraId="6AB8372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IAQA (2011) </w:t>
      </w:r>
      <w:r>
        <w:rPr>
          <w:rFonts w:ascii="Times New Roman" w:hAnsi="Times New Roman"/>
          <w:i/>
          <w:sz w:val="24"/>
          <w:szCs w:val="24"/>
        </w:rPr>
        <w:t>Additional information for the production, packhouse and pest management of Indonesian mangosteen</w:t>
      </w:r>
      <w:r>
        <w:rPr>
          <w:rFonts w:ascii="Times New Roman" w:hAnsi="Times New Roman"/>
          <w:sz w:val="24"/>
          <w:szCs w:val="24"/>
        </w:rPr>
        <w:t>. Agency for Agricultural Quarantine, Ministry of Agriculture, Jakarta, Indonesia.</w:t>
      </w:r>
    </w:p>
    <w:p w14:paraId="3827FB8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Ibrahim AG (1994) The biology and natural control of the scale </w:t>
      </w:r>
      <w:r>
        <w:rPr>
          <w:rFonts w:ascii="Times New Roman" w:hAnsi="Times New Roman"/>
          <w:i/>
          <w:sz w:val="24"/>
          <w:szCs w:val="24"/>
        </w:rPr>
        <w:t>Drepanococcus chiton</w:t>
      </w:r>
      <w:r>
        <w:rPr>
          <w:rFonts w:ascii="Times New Roman" w:hAnsi="Times New Roman"/>
          <w:sz w:val="24"/>
          <w:szCs w:val="24"/>
        </w:rPr>
        <w:t xml:space="preserve"> (Green) (Homoptera: Coccidae), a minor pest of carambola in Malaysia. </w:t>
      </w:r>
      <w:r>
        <w:rPr>
          <w:rFonts w:ascii="Times New Roman" w:hAnsi="Times New Roman"/>
          <w:i/>
          <w:sz w:val="24"/>
          <w:szCs w:val="24"/>
        </w:rPr>
        <w:t>Pertanika Journal of Tropical Agricultural Science</w:t>
      </w:r>
      <w:r>
        <w:rPr>
          <w:rFonts w:ascii="Times New Roman" w:hAnsi="Times New Roman"/>
          <w:sz w:val="24"/>
          <w:szCs w:val="24"/>
        </w:rPr>
        <w:t xml:space="preserve"> 17: 209–212.</w:t>
      </w:r>
    </w:p>
    <w:p w14:paraId="70E849C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Idham SH, Maryana N, Sartiami D, Nurmansyah A, Wiyono S, Amalia H (2009) </w:t>
      </w:r>
      <w:r>
        <w:rPr>
          <w:rFonts w:ascii="Times New Roman" w:hAnsi="Times New Roman"/>
          <w:i/>
          <w:sz w:val="24"/>
          <w:szCs w:val="24"/>
        </w:rPr>
        <w:t>Laporan Akhir Kegiatan: Surveilans organisme pengganggu tumbuhan (opt) manggis (</w:t>
      </w:r>
      <w:r>
        <w:rPr>
          <w:rFonts w:ascii="Times New Roman" w:hAnsi="Times New Roman"/>
          <w:sz w:val="24"/>
          <w:szCs w:val="24"/>
        </w:rPr>
        <w:t>Garcinia mangostana</w:t>
      </w:r>
      <w:r>
        <w:rPr>
          <w:rFonts w:ascii="Times New Roman" w:hAnsi="Times New Roman"/>
          <w:i/>
          <w:sz w:val="24"/>
          <w:szCs w:val="24"/>
        </w:rPr>
        <w:t xml:space="preserve"> L.) di kabupaten Bogor</w:t>
      </w:r>
      <w:r>
        <w:rPr>
          <w:rFonts w:ascii="Times New Roman" w:hAnsi="Times New Roman"/>
          <w:sz w:val="24"/>
          <w:szCs w:val="24"/>
        </w:rPr>
        <w:t>. Departemen Proteksi tanaman Fakuitas Pertanian, Institut Pertanian Bogor, Bogor, Indonesia.</w:t>
      </w:r>
    </w:p>
    <w:p w14:paraId="1A62F67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IPPC (2012) Invasive ant, </w:t>
      </w:r>
      <w:r>
        <w:rPr>
          <w:rFonts w:ascii="Times New Roman" w:hAnsi="Times New Roman"/>
          <w:i/>
          <w:sz w:val="24"/>
          <w:szCs w:val="24"/>
        </w:rPr>
        <w:t>Wasmannia auropunctata</w:t>
      </w:r>
      <w:r>
        <w:rPr>
          <w:rFonts w:ascii="Times New Roman" w:hAnsi="Times New Roman"/>
          <w:sz w:val="24"/>
          <w:szCs w:val="24"/>
        </w:rPr>
        <w:t>, in Far North Queensland. The International Plant Protection Convention. https://www.ippc.int/index.php?id=1110879&amp;no_cache=1&amp;frompage=72&amp;tx_pestreport_pi1%5BshowUid%5D=217130 Accessed 12 January 2012.</w:t>
      </w:r>
    </w:p>
    <w:p w14:paraId="6195FC4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IPTEKnet (2005) Teknologi tepat guna Warintek - Menteri Negara Riset dan Teknologi. TTG Budidaya pertanian: Manggis (</w:t>
      </w:r>
      <w:r>
        <w:rPr>
          <w:rFonts w:ascii="Times New Roman" w:hAnsi="Times New Roman"/>
          <w:i/>
          <w:sz w:val="24"/>
          <w:szCs w:val="24"/>
        </w:rPr>
        <w:t xml:space="preserve">Garcinia mangostana </w:t>
      </w:r>
      <w:r>
        <w:rPr>
          <w:rFonts w:ascii="Times New Roman" w:hAnsi="Times New Roman"/>
          <w:sz w:val="24"/>
          <w:szCs w:val="24"/>
        </w:rPr>
        <w:t>L.). http://www.iptek.net.id/ind/warintek/?mnu=6&amp;ttg=2&amp;doc=2a14 Accessed 16 November 2011.</w:t>
      </w:r>
    </w:p>
    <w:p w14:paraId="51FC5A2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Iswari D, Kustaryati A, Murdita W (2011) </w:t>
      </w:r>
      <w:r>
        <w:rPr>
          <w:rFonts w:ascii="Times New Roman" w:hAnsi="Times New Roman"/>
          <w:i/>
          <w:sz w:val="24"/>
          <w:szCs w:val="24"/>
        </w:rPr>
        <w:t>Report on confirmation of non-host status of mangosteen (</w:t>
      </w:r>
      <w:r>
        <w:rPr>
          <w:rFonts w:ascii="Times New Roman" w:hAnsi="Times New Roman"/>
          <w:sz w:val="24"/>
          <w:szCs w:val="24"/>
        </w:rPr>
        <w:t>Garcina mangostana</w:t>
      </w:r>
      <w:r>
        <w:rPr>
          <w:rFonts w:ascii="Times New Roman" w:hAnsi="Times New Roman"/>
          <w:i/>
          <w:sz w:val="24"/>
          <w:szCs w:val="24"/>
        </w:rPr>
        <w:t xml:space="preserve"> L) to </w:t>
      </w:r>
      <w:r>
        <w:rPr>
          <w:rFonts w:ascii="Times New Roman" w:hAnsi="Times New Roman"/>
          <w:sz w:val="24"/>
          <w:szCs w:val="24"/>
        </w:rPr>
        <w:t>Bactrocera carambolae</w:t>
      </w:r>
      <w:r>
        <w:rPr>
          <w:rFonts w:ascii="Times New Roman" w:hAnsi="Times New Roman"/>
          <w:i/>
          <w:sz w:val="24"/>
          <w:szCs w:val="24"/>
        </w:rPr>
        <w:t xml:space="preserve"> Drew &amp; Hancock and </w:t>
      </w:r>
      <w:r>
        <w:rPr>
          <w:rFonts w:ascii="Times New Roman" w:hAnsi="Times New Roman"/>
          <w:sz w:val="24"/>
          <w:szCs w:val="24"/>
        </w:rPr>
        <w:t>B. papayae</w:t>
      </w:r>
      <w:r>
        <w:rPr>
          <w:rFonts w:ascii="Times New Roman" w:hAnsi="Times New Roman"/>
          <w:i/>
          <w:sz w:val="24"/>
          <w:szCs w:val="24"/>
        </w:rPr>
        <w:t xml:space="preserve"> Drew &amp; Hancock</w:t>
      </w:r>
      <w:r>
        <w:rPr>
          <w:rFonts w:ascii="Times New Roman" w:hAnsi="Times New Roman"/>
          <w:sz w:val="24"/>
          <w:szCs w:val="24"/>
        </w:rPr>
        <w:t>. Directorate General of Horticulture, Directorate of Horticulture Protection, Ministry of Agriculture, Indonesia.</w:t>
      </w:r>
    </w:p>
    <w:p w14:paraId="591C727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Ito F, Yamane S, Eguchi K, Noerdjito WA, Kahono S, Tsuji K, Ohkawara K, Nishida T, Nakamura K (2001) Ant species diversity in the Bogor Botanic Garden, West Java, Indonesia, with descriptions of two new species of the genus </w:t>
      </w:r>
      <w:r>
        <w:rPr>
          <w:rFonts w:ascii="Times New Roman" w:hAnsi="Times New Roman"/>
          <w:i/>
          <w:sz w:val="24"/>
          <w:szCs w:val="24"/>
        </w:rPr>
        <w:t xml:space="preserve">Leptanilla </w:t>
      </w:r>
      <w:r>
        <w:rPr>
          <w:rFonts w:ascii="Times New Roman" w:hAnsi="Times New Roman"/>
          <w:sz w:val="24"/>
          <w:szCs w:val="24"/>
        </w:rPr>
        <w:t xml:space="preserve">(Hymenoptera, Formicidae). </w:t>
      </w:r>
      <w:r>
        <w:rPr>
          <w:rFonts w:ascii="Times New Roman" w:hAnsi="Times New Roman"/>
          <w:i/>
          <w:sz w:val="24"/>
          <w:szCs w:val="24"/>
        </w:rPr>
        <w:t>Tropics</w:t>
      </w:r>
      <w:r>
        <w:rPr>
          <w:rFonts w:ascii="Times New Roman" w:hAnsi="Times New Roman"/>
          <w:sz w:val="24"/>
          <w:szCs w:val="24"/>
        </w:rPr>
        <w:t xml:space="preserve"> 10: 379–404.</w:t>
      </w:r>
    </w:p>
    <w:p w14:paraId="33615F8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Jacoby M (1896) Descriptions of the new genera and species of phytophagous coleoptera obtained by Dr. Modigliani in Sumatra. </w:t>
      </w:r>
      <w:r>
        <w:rPr>
          <w:rFonts w:ascii="Times New Roman" w:hAnsi="Times New Roman"/>
          <w:i/>
          <w:sz w:val="24"/>
          <w:szCs w:val="24"/>
        </w:rPr>
        <w:t>Annali del Museo Civico di Storia Naturale di Genova Serie 2a</w:t>
      </w:r>
      <w:r>
        <w:rPr>
          <w:rFonts w:ascii="Times New Roman" w:hAnsi="Times New Roman"/>
          <w:sz w:val="24"/>
          <w:szCs w:val="24"/>
        </w:rPr>
        <w:t xml:space="preserve"> 16: 377–501.</w:t>
      </w:r>
    </w:p>
    <w:p w14:paraId="399AC5B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Jeppson LR, Keifer HH, Baker EW (1975) </w:t>
      </w:r>
      <w:r>
        <w:rPr>
          <w:rFonts w:ascii="Times New Roman" w:hAnsi="Times New Roman"/>
          <w:i/>
          <w:sz w:val="24"/>
          <w:szCs w:val="24"/>
        </w:rPr>
        <w:t xml:space="preserve">Mites injurious to economic plants. </w:t>
      </w:r>
      <w:r>
        <w:rPr>
          <w:rFonts w:ascii="Times New Roman" w:hAnsi="Times New Roman"/>
          <w:sz w:val="24"/>
          <w:szCs w:val="24"/>
        </w:rPr>
        <w:t>University of California, Berkeley.</w:t>
      </w:r>
    </w:p>
    <w:p w14:paraId="01A0BBA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Kahono S, Mursidawati S, Erniwati (2010) Komunitas serangga pada bunga </w:t>
      </w:r>
      <w:r>
        <w:rPr>
          <w:rFonts w:ascii="Times New Roman" w:hAnsi="Times New Roman"/>
          <w:i/>
          <w:sz w:val="24"/>
          <w:szCs w:val="24"/>
        </w:rPr>
        <w:t xml:space="preserve">Rafflesia patma </w:t>
      </w:r>
      <w:r>
        <w:rPr>
          <w:rFonts w:ascii="Times New Roman" w:hAnsi="Times New Roman"/>
          <w:sz w:val="24"/>
          <w:szCs w:val="24"/>
        </w:rPr>
        <w:t xml:space="preserve">Blume (Rafflesiaceae) di luar habitat aslinya Kebun Raya Bogor Kota Bogor Provinsi Java Barat Indonesia. </w:t>
      </w:r>
      <w:r>
        <w:rPr>
          <w:rFonts w:ascii="Times New Roman" w:hAnsi="Times New Roman"/>
          <w:i/>
          <w:sz w:val="24"/>
          <w:szCs w:val="24"/>
        </w:rPr>
        <w:t>Jurnal Biologi Indonesia</w:t>
      </w:r>
      <w:r>
        <w:rPr>
          <w:rFonts w:ascii="Times New Roman" w:hAnsi="Times New Roman"/>
          <w:sz w:val="24"/>
          <w:szCs w:val="24"/>
        </w:rPr>
        <w:t xml:space="preserve"> 6: 429–442.</w:t>
      </w:r>
    </w:p>
    <w:p w14:paraId="0E4ACC6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Kalshoven LGE (1981) </w:t>
      </w:r>
      <w:r>
        <w:rPr>
          <w:rFonts w:ascii="Times New Roman" w:hAnsi="Times New Roman"/>
          <w:i/>
          <w:sz w:val="24"/>
          <w:szCs w:val="24"/>
        </w:rPr>
        <w:t xml:space="preserve">Pests of crops in Indonesia. </w:t>
      </w:r>
      <w:r>
        <w:rPr>
          <w:rFonts w:ascii="Times New Roman" w:hAnsi="Times New Roman"/>
          <w:sz w:val="24"/>
          <w:szCs w:val="24"/>
        </w:rPr>
        <w:t>Ichtiar Baru - Van Hoeve, Jakarta.</w:t>
      </w:r>
    </w:p>
    <w:p w14:paraId="66907F1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Kennedy GG, Smitley DR (1985) Dispersal. In Helle W, Sabelis MW (eds) </w:t>
      </w:r>
      <w:r>
        <w:rPr>
          <w:rFonts w:ascii="Times New Roman" w:hAnsi="Times New Roman"/>
          <w:i/>
          <w:sz w:val="24"/>
          <w:szCs w:val="24"/>
        </w:rPr>
        <w:t>Spider mites: their biology, natural enemies and control. Vol. 1A</w:t>
      </w:r>
      <w:r>
        <w:rPr>
          <w:rFonts w:ascii="Times New Roman" w:hAnsi="Times New Roman"/>
          <w:sz w:val="24"/>
          <w:szCs w:val="24"/>
        </w:rPr>
        <w:t xml:space="preserve"> 233–242. Elsevier Science Publishers B.V., Amsterdam.</w:t>
      </w:r>
    </w:p>
    <w:p w14:paraId="5069258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Kosztarab M (1990) Economic importance. In Rosen D (ed) </w:t>
      </w:r>
      <w:r>
        <w:rPr>
          <w:rFonts w:ascii="Times New Roman" w:hAnsi="Times New Roman"/>
          <w:i/>
          <w:sz w:val="24"/>
          <w:szCs w:val="24"/>
        </w:rPr>
        <w:t>Armored scale insects: their biology, natural enemies and control. Vol. 4B</w:t>
      </w:r>
      <w:r>
        <w:rPr>
          <w:rFonts w:ascii="Times New Roman" w:hAnsi="Times New Roman"/>
          <w:sz w:val="24"/>
          <w:szCs w:val="24"/>
        </w:rPr>
        <w:t xml:space="preserve"> 307–311. Elsevier Science Publishers B.V., Amsterdam.</w:t>
      </w:r>
    </w:p>
    <w:p w14:paraId="6CD1B82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Koteja J (1990a) Embryonic development: ovipary and vivipary. In Rosen D (ed) </w:t>
      </w:r>
      <w:r>
        <w:rPr>
          <w:rFonts w:ascii="Times New Roman" w:hAnsi="Times New Roman"/>
          <w:i/>
          <w:sz w:val="24"/>
          <w:szCs w:val="24"/>
        </w:rPr>
        <w:t>Armored scale insects: their biology, natural enemies and control. Vol. 4A</w:t>
      </w:r>
      <w:r>
        <w:rPr>
          <w:rFonts w:ascii="Times New Roman" w:hAnsi="Times New Roman"/>
          <w:sz w:val="24"/>
          <w:szCs w:val="24"/>
        </w:rPr>
        <w:t xml:space="preserve"> 233–242. Elsevier Science Publishers B.V., Amsterdam.</w:t>
      </w:r>
    </w:p>
    <w:p w14:paraId="4492C9F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Koteja J (1990b) Life history. In Rosen D (ed) </w:t>
      </w:r>
      <w:r>
        <w:rPr>
          <w:rFonts w:ascii="Times New Roman" w:hAnsi="Times New Roman"/>
          <w:i/>
          <w:sz w:val="24"/>
          <w:szCs w:val="24"/>
        </w:rPr>
        <w:t>Armoured scale insects: their biology, natural enemies and control. Vol. 4A</w:t>
      </w:r>
      <w:r>
        <w:rPr>
          <w:rFonts w:ascii="Times New Roman" w:hAnsi="Times New Roman"/>
          <w:sz w:val="24"/>
          <w:szCs w:val="24"/>
        </w:rPr>
        <w:t xml:space="preserve"> 243–254. Elsevier Science Publishers B.V., Amsterdam.</w:t>
      </w:r>
    </w:p>
    <w:p w14:paraId="4E5C120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Lach L, Thomas ML (2008) Invasive ants in Australia: documented and potential ecological consequences. </w:t>
      </w:r>
      <w:r>
        <w:rPr>
          <w:rFonts w:ascii="Times New Roman" w:hAnsi="Times New Roman"/>
          <w:i/>
          <w:sz w:val="24"/>
          <w:szCs w:val="24"/>
        </w:rPr>
        <w:t>Australian Journal of Entomology</w:t>
      </w:r>
      <w:r>
        <w:rPr>
          <w:rFonts w:ascii="Times New Roman" w:hAnsi="Times New Roman"/>
          <w:sz w:val="24"/>
          <w:szCs w:val="24"/>
        </w:rPr>
        <w:t xml:space="preserve"> 47: 275–288.</w:t>
      </w:r>
    </w:p>
    <w:p w14:paraId="3D2C80F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Lavagnino NJ, Carreira VP, Mensch J, Hasson E, Fanara JJ (2008) Geographic distribution and hosts of </w:t>
      </w:r>
      <w:r>
        <w:rPr>
          <w:rFonts w:ascii="Times New Roman" w:hAnsi="Times New Roman"/>
          <w:i/>
          <w:sz w:val="24"/>
          <w:szCs w:val="24"/>
        </w:rPr>
        <w:t xml:space="preserve">Zaprionus indianus </w:t>
      </w:r>
      <w:r>
        <w:rPr>
          <w:rFonts w:ascii="Times New Roman" w:hAnsi="Times New Roman"/>
          <w:sz w:val="24"/>
          <w:szCs w:val="24"/>
        </w:rPr>
        <w:t xml:space="preserve">(Diptera: Drosophilidae) in North-Eastern Argentina. </w:t>
      </w:r>
      <w:r>
        <w:rPr>
          <w:rFonts w:ascii="Times New Roman" w:hAnsi="Times New Roman"/>
          <w:i/>
          <w:sz w:val="24"/>
          <w:szCs w:val="24"/>
        </w:rPr>
        <w:t>Revista de la Sociedad Entomológica Argentina</w:t>
      </w:r>
      <w:r>
        <w:rPr>
          <w:rFonts w:ascii="Times New Roman" w:hAnsi="Times New Roman"/>
          <w:sz w:val="24"/>
          <w:szCs w:val="24"/>
        </w:rPr>
        <w:t xml:space="preserve"> 67: 189–192.</w:t>
      </w:r>
    </w:p>
    <w:p w14:paraId="6F5B74B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Le Breton J, Delabie JHC, Chazeau J, Dejean A, Jourdan H (2004) Experimental evidence of large-scale unicoloniality in the tramp ant </w:t>
      </w:r>
      <w:r>
        <w:rPr>
          <w:rFonts w:ascii="Times New Roman" w:hAnsi="Times New Roman"/>
          <w:i/>
          <w:sz w:val="24"/>
          <w:szCs w:val="24"/>
        </w:rPr>
        <w:t>Wasmannia auropunctata</w:t>
      </w:r>
      <w:r>
        <w:rPr>
          <w:rFonts w:ascii="Times New Roman" w:hAnsi="Times New Roman"/>
          <w:sz w:val="24"/>
          <w:szCs w:val="24"/>
        </w:rPr>
        <w:t xml:space="preserve"> (Roger). </w:t>
      </w:r>
      <w:r>
        <w:rPr>
          <w:rFonts w:ascii="Times New Roman" w:hAnsi="Times New Roman"/>
          <w:i/>
          <w:sz w:val="24"/>
          <w:szCs w:val="24"/>
        </w:rPr>
        <w:t>Journal of Insect Behavior</w:t>
      </w:r>
      <w:r>
        <w:rPr>
          <w:rFonts w:ascii="Times New Roman" w:hAnsi="Times New Roman"/>
          <w:sz w:val="24"/>
          <w:szCs w:val="24"/>
        </w:rPr>
        <w:t xml:space="preserve"> 17: 263–271.</w:t>
      </w:r>
    </w:p>
    <w:p w14:paraId="22988DA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Leach PL (1997) </w:t>
      </w:r>
      <w:r>
        <w:rPr>
          <w:rFonts w:ascii="Times New Roman" w:hAnsi="Times New Roman"/>
          <w:i/>
          <w:sz w:val="24"/>
          <w:szCs w:val="24"/>
        </w:rPr>
        <w:t xml:space="preserve">Determination the susceptibility of mangosteen, </w:t>
      </w:r>
      <w:r>
        <w:rPr>
          <w:rFonts w:ascii="Times New Roman" w:hAnsi="Times New Roman"/>
          <w:sz w:val="24"/>
          <w:szCs w:val="24"/>
        </w:rPr>
        <w:t>Garcinia mangostana</w:t>
      </w:r>
      <w:r>
        <w:rPr>
          <w:rFonts w:ascii="Times New Roman" w:hAnsi="Times New Roman"/>
          <w:i/>
          <w:sz w:val="24"/>
          <w:szCs w:val="24"/>
        </w:rPr>
        <w:t xml:space="preserve"> L., to infestation by papaya fruit fly, </w:t>
      </w:r>
      <w:r>
        <w:rPr>
          <w:rFonts w:ascii="Times New Roman" w:hAnsi="Times New Roman"/>
          <w:sz w:val="24"/>
          <w:szCs w:val="24"/>
        </w:rPr>
        <w:t>Bactrocera papayae</w:t>
      </w:r>
      <w:r>
        <w:rPr>
          <w:rFonts w:ascii="Times New Roman" w:hAnsi="Times New Roman"/>
          <w:i/>
          <w:sz w:val="24"/>
          <w:szCs w:val="24"/>
        </w:rPr>
        <w:t xml:space="preserve"> Drew and Hancock (Diptera: Tephritidae)</w:t>
      </w:r>
      <w:r>
        <w:rPr>
          <w:rFonts w:ascii="Times New Roman" w:hAnsi="Times New Roman"/>
          <w:sz w:val="24"/>
          <w:szCs w:val="24"/>
        </w:rPr>
        <w:t>. Department of Primary Industries, Brisbane.</w:t>
      </w:r>
    </w:p>
    <w:p w14:paraId="517F3A7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Lim T, Sangchote S (2003) Diseases of mangosteen. In Ploetz RC (ed) </w:t>
      </w:r>
      <w:r>
        <w:rPr>
          <w:rFonts w:ascii="Times New Roman" w:hAnsi="Times New Roman"/>
          <w:i/>
          <w:sz w:val="24"/>
          <w:szCs w:val="24"/>
        </w:rPr>
        <w:t>Diseases of tropical fruit crops</w:t>
      </w:r>
      <w:r>
        <w:rPr>
          <w:rFonts w:ascii="Times New Roman" w:hAnsi="Times New Roman"/>
          <w:sz w:val="24"/>
          <w:szCs w:val="24"/>
        </w:rPr>
        <w:t xml:space="preserve"> 365–372. CAB International, Wallingford.</w:t>
      </w:r>
    </w:p>
    <w:p w14:paraId="18F328F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Lowe S, Browne M, Boudjelas S, de Poorter M (2000) </w:t>
      </w:r>
      <w:r>
        <w:rPr>
          <w:rFonts w:ascii="Times New Roman" w:hAnsi="Times New Roman"/>
          <w:i/>
          <w:sz w:val="24"/>
          <w:szCs w:val="24"/>
        </w:rPr>
        <w:t>100 of the world's worst invasive alien species: a selection from the Global Invasive Species Database</w:t>
      </w:r>
      <w:r>
        <w:rPr>
          <w:rFonts w:ascii="Times New Roman" w:hAnsi="Times New Roman"/>
          <w:sz w:val="24"/>
          <w:szCs w:val="24"/>
        </w:rPr>
        <w:t>. The Invasive Species Specialist Group, Auckland.</w:t>
      </w:r>
    </w:p>
    <w:p w14:paraId="43788DD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Magsig-Castillo J, Morse JG, Walker GP, Bi JL, Rugman-Jones PF (2010) Phoretic dispersal of armoured scale crawlers (Hemiptera: Diaspididae). </w:t>
      </w:r>
      <w:r>
        <w:rPr>
          <w:rFonts w:ascii="Times New Roman" w:hAnsi="Times New Roman"/>
          <w:i/>
          <w:sz w:val="24"/>
          <w:szCs w:val="24"/>
        </w:rPr>
        <w:t>Journal of Economic Entomology</w:t>
      </w:r>
      <w:r>
        <w:rPr>
          <w:rFonts w:ascii="Times New Roman" w:hAnsi="Times New Roman"/>
          <w:sz w:val="24"/>
          <w:szCs w:val="24"/>
        </w:rPr>
        <w:t xml:space="preserve"> 103: 1172–1179.</w:t>
      </w:r>
    </w:p>
    <w:p w14:paraId="02E6245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Mahmood R, Mohyuddin AI, Kazimi SK (1983) </w:t>
      </w:r>
      <w:r>
        <w:rPr>
          <w:rFonts w:ascii="Times New Roman" w:hAnsi="Times New Roman"/>
          <w:i/>
          <w:sz w:val="24"/>
          <w:szCs w:val="24"/>
        </w:rPr>
        <w:t xml:space="preserve">Rastrococcus spinosus </w:t>
      </w:r>
      <w:r>
        <w:rPr>
          <w:rFonts w:ascii="Times New Roman" w:hAnsi="Times New Roman"/>
          <w:sz w:val="24"/>
          <w:szCs w:val="24"/>
        </w:rPr>
        <w:t xml:space="preserve">(Robinson) (Homoptera: Pseudococcidae) and its natural enemies in Pakistan. pp. 291–294. </w:t>
      </w:r>
      <w:r>
        <w:rPr>
          <w:rFonts w:ascii="Times New Roman" w:hAnsi="Times New Roman"/>
          <w:i/>
          <w:sz w:val="24"/>
          <w:szCs w:val="24"/>
        </w:rPr>
        <w:t xml:space="preserve">Proceedings of the 1st Pakistan Congress of Zoology 1980 </w:t>
      </w:r>
      <w:r>
        <w:rPr>
          <w:rFonts w:ascii="Times New Roman" w:hAnsi="Times New Roman"/>
          <w:sz w:val="24"/>
          <w:szCs w:val="24"/>
        </w:rPr>
        <w:t>.</w:t>
      </w:r>
    </w:p>
    <w:p w14:paraId="520D9A3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Mansyah E, Muas I, M.Jawal AS, Sobir (2010) Morphological variability of apomictic mangosteen (</w:t>
      </w:r>
      <w:r>
        <w:rPr>
          <w:rFonts w:ascii="Times New Roman" w:hAnsi="Times New Roman"/>
          <w:i/>
          <w:sz w:val="24"/>
          <w:szCs w:val="24"/>
        </w:rPr>
        <w:t>Garcinia mangostana</w:t>
      </w:r>
      <w:r>
        <w:rPr>
          <w:rFonts w:ascii="Times New Roman" w:hAnsi="Times New Roman"/>
          <w:sz w:val="24"/>
          <w:szCs w:val="24"/>
        </w:rPr>
        <w:t xml:space="preserve"> L.) in Indonesia: morphological evidence of natural populations from Sumatra and Java. </w:t>
      </w:r>
      <w:r>
        <w:rPr>
          <w:rFonts w:ascii="Times New Roman" w:hAnsi="Times New Roman"/>
          <w:i/>
          <w:sz w:val="24"/>
          <w:szCs w:val="24"/>
        </w:rPr>
        <w:t>SABRAO Journal of Breeding and Genetics</w:t>
      </w:r>
      <w:r>
        <w:rPr>
          <w:rFonts w:ascii="Times New Roman" w:hAnsi="Times New Roman"/>
          <w:sz w:val="24"/>
          <w:szCs w:val="24"/>
        </w:rPr>
        <w:t xml:space="preserve"> 42: 1–8.</w:t>
      </w:r>
    </w:p>
    <w:p w14:paraId="6EE1093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Marotta S (1997) General life history.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251–256. Elsevier Science Publishers B.V., Amsterdam.</w:t>
      </w:r>
    </w:p>
    <w:p w14:paraId="4A2A80E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Marotta S, Tranfaglia A (1997) Seasonal history; diapause.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343–350. Elsevier Science Publishers B.V., Amsterdam.</w:t>
      </w:r>
    </w:p>
    <w:p w14:paraId="5BA0118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Marshall GAK (1923) Three new species of Curculionidae from Java. </w:t>
      </w:r>
      <w:r>
        <w:rPr>
          <w:rFonts w:ascii="Times New Roman" w:hAnsi="Times New Roman"/>
          <w:i/>
          <w:sz w:val="24"/>
          <w:szCs w:val="24"/>
        </w:rPr>
        <w:t>Treubia</w:t>
      </w:r>
      <w:r>
        <w:rPr>
          <w:rFonts w:ascii="Times New Roman" w:hAnsi="Times New Roman"/>
          <w:sz w:val="24"/>
          <w:szCs w:val="24"/>
        </w:rPr>
        <w:t xml:space="preserve"> 3: 267–271.</w:t>
      </w:r>
    </w:p>
    <w:p w14:paraId="26CD72A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Martin Kessing JL, Tenbrink VL, Mau RFL, Hara AH (2007) </w:t>
      </w:r>
      <w:r>
        <w:rPr>
          <w:rFonts w:ascii="Times New Roman" w:hAnsi="Times New Roman"/>
          <w:i/>
          <w:sz w:val="24"/>
          <w:szCs w:val="24"/>
        </w:rPr>
        <w:t xml:space="preserve">Saissetia coffeae </w:t>
      </w:r>
      <w:r>
        <w:rPr>
          <w:rFonts w:ascii="Times New Roman" w:hAnsi="Times New Roman"/>
          <w:sz w:val="24"/>
          <w:szCs w:val="24"/>
        </w:rPr>
        <w:t>(Walker). Crop Knowledge Master. http://www.extento.hawaii.edu/kbase/crop/Type/s_coffea.htm Accessed 10 November 2011.</w:t>
      </w:r>
    </w:p>
    <w:p w14:paraId="32B4989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Mathur RN, Singh B (1960) A list of insect pests of forest plants in India and the adjacent countries (arranged alphabetically according to the plant genera and species, for the use of Forest Officers). </w:t>
      </w:r>
      <w:r>
        <w:rPr>
          <w:rFonts w:ascii="Times New Roman" w:hAnsi="Times New Roman"/>
          <w:i/>
          <w:sz w:val="24"/>
          <w:szCs w:val="24"/>
        </w:rPr>
        <w:t>Indian Forest Bulletin</w:t>
      </w:r>
      <w:r>
        <w:rPr>
          <w:rFonts w:ascii="Times New Roman" w:hAnsi="Times New Roman"/>
          <w:sz w:val="24"/>
          <w:szCs w:val="24"/>
        </w:rPr>
        <w:t xml:space="preserve"> 171: 2–3.</w:t>
      </w:r>
    </w:p>
    <w:p w14:paraId="554E682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Matile-Ferrero D (1997) The adult female.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5–21. Elsevier Science Publishers B.V., Amsterdam.</w:t>
      </w:r>
    </w:p>
    <w:p w14:paraId="3BFE090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May TW, Milne J, Shingles S, Jones RH (2003) </w:t>
      </w:r>
      <w:r>
        <w:rPr>
          <w:rFonts w:ascii="Times New Roman" w:hAnsi="Times New Roman"/>
          <w:i/>
          <w:sz w:val="24"/>
          <w:szCs w:val="24"/>
        </w:rPr>
        <w:t xml:space="preserve">Fungi of Australia vol. 2b: catalogue and bibliography of Australian fungi 2. Basidiomycota p.p. &amp; Myxomycota p.p. </w:t>
      </w:r>
      <w:r>
        <w:rPr>
          <w:rFonts w:ascii="Times New Roman" w:hAnsi="Times New Roman"/>
          <w:sz w:val="24"/>
          <w:szCs w:val="24"/>
        </w:rPr>
        <w:t>Australian Biological Resources Study, Canberra.</w:t>
      </w:r>
    </w:p>
    <w:p w14:paraId="1BACB36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Maynard GV, Hamilton JG, Grimshaw JF (2004) Quarantine-phytosanitary, sanitary and incursion management: an Australian entomological perspective. </w:t>
      </w:r>
      <w:r>
        <w:rPr>
          <w:rFonts w:ascii="Times New Roman" w:hAnsi="Times New Roman"/>
          <w:i/>
          <w:sz w:val="24"/>
          <w:szCs w:val="24"/>
        </w:rPr>
        <w:t>Australian Journal of Entomology</w:t>
      </w:r>
      <w:r>
        <w:rPr>
          <w:rFonts w:ascii="Times New Roman" w:hAnsi="Times New Roman"/>
          <w:sz w:val="24"/>
          <w:szCs w:val="24"/>
        </w:rPr>
        <w:t xml:space="preserve"> 43: 318–328.</w:t>
      </w:r>
    </w:p>
    <w:p w14:paraId="4B6C0F5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McClure MS (1990a) Impact on host plants. In Rosen D (ed) </w:t>
      </w:r>
      <w:r>
        <w:rPr>
          <w:rFonts w:ascii="Times New Roman" w:hAnsi="Times New Roman"/>
          <w:i/>
          <w:sz w:val="24"/>
          <w:szCs w:val="24"/>
        </w:rPr>
        <w:t>Armored scale insects: their biology, natural enemies and control. Vol. 4B</w:t>
      </w:r>
      <w:r>
        <w:rPr>
          <w:rFonts w:ascii="Times New Roman" w:hAnsi="Times New Roman"/>
          <w:sz w:val="24"/>
          <w:szCs w:val="24"/>
        </w:rPr>
        <w:t xml:space="preserve"> 289–291. Elsevier Science Publishers B.V., Amsterdam.</w:t>
      </w:r>
    </w:p>
    <w:p w14:paraId="0B94BBD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McClure MS (1990b) Seasonal history. In Rosen D (ed) </w:t>
      </w:r>
      <w:r>
        <w:rPr>
          <w:rFonts w:ascii="Times New Roman" w:hAnsi="Times New Roman"/>
          <w:i/>
          <w:sz w:val="24"/>
          <w:szCs w:val="24"/>
        </w:rPr>
        <w:t>Armored scale insects: their biology, natural enemies and control. Vol. 4B</w:t>
      </w:r>
      <w:r>
        <w:rPr>
          <w:rFonts w:ascii="Times New Roman" w:hAnsi="Times New Roman"/>
          <w:sz w:val="24"/>
          <w:szCs w:val="24"/>
        </w:rPr>
        <w:t xml:space="preserve"> 315–318. Elsevier Science Publishers B.V., Amsterdam.</w:t>
      </w:r>
    </w:p>
    <w:p w14:paraId="63F80FE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McMahon P, Purwantara A (2004) </w:t>
      </w:r>
      <w:r>
        <w:rPr>
          <w:rFonts w:ascii="Times New Roman" w:hAnsi="Times New Roman"/>
          <w:i/>
          <w:sz w:val="24"/>
          <w:szCs w:val="24"/>
        </w:rPr>
        <w:t xml:space="preserve">Phytophthora </w:t>
      </w:r>
      <w:r>
        <w:rPr>
          <w:rFonts w:ascii="Times New Roman" w:hAnsi="Times New Roman"/>
          <w:sz w:val="24"/>
          <w:szCs w:val="24"/>
        </w:rPr>
        <w:t xml:space="preserve">on cocoa. In Drenth A, Guest DI (eds) </w:t>
      </w:r>
      <w:r>
        <w:rPr>
          <w:rFonts w:ascii="Times New Roman" w:hAnsi="Times New Roman"/>
          <w:i/>
          <w:sz w:val="24"/>
          <w:szCs w:val="24"/>
        </w:rPr>
        <w:t xml:space="preserve">Diversity and management of </w:t>
      </w:r>
      <w:r>
        <w:rPr>
          <w:rFonts w:ascii="Times New Roman" w:hAnsi="Times New Roman"/>
          <w:sz w:val="24"/>
          <w:szCs w:val="24"/>
        </w:rPr>
        <w:t>Phytophthora</w:t>
      </w:r>
      <w:r>
        <w:rPr>
          <w:rFonts w:ascii="Times New Roman" w:hAnsi="Times New Roman"/>
          <w:i/>
          <w:sz w:val="24"/>
          <w:szCs w:val="24"/>
        </w:rPr>
        <w:t xml:space="preserve"> in Southeast Asia</w:t>
      </w:r>
      <w:r>
        <w:rPr>
          <w:rFonts w:ascii="Times New Roman" w:hAnsi="Times New Roman"/>
          <w:sz w:val="24"/>
          <w:szCs w:val="24"/>
        </w:rPr>
        <w:t xml:space="preserve"> 104–115. Australian Centre for International Agricultural Research, Canberra.</w:t>
      </w:r>
    </w:p>
    <w:p w14:paraId="3E8641F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Meijerman L, Ulenberg SA (2004) Eurasian Tortricidae: </w:t>
      </w:r>
      <w:r>
        <w:rPr>
          <w:rFonts w:ascii="Times New Roman" w:hAnsi="Times New Roman"/>
          <w:i/>
          <w:sz w:val="24"/>
          <w:szCs w:val="24"/>
        </w:rPr>
        <w:t>Dudua aprobola</w:t>
      </w:r>
      <w:r>
        <w:rPr>
          <w:rFonts w:ascii="Times New Roman" w:hAnsi="Times New Roman"/>
          <w:sz w:val="24"/>
          <w:szCs w:val="24"/>
        </w:rPr>
        <w:t>. Arthropods of Economic Importance. http://wbd.etibioinformatics.nl/bis/tortricidae.php?selected=beschrijving&amp;menuentry=soorten&amp;id=183 Accessed 11 November 2011.</w:t>
      </w:r>
    </w:p>
    <w:p w14:paraId="3F9CA98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Migeon A, Dorkeld F (2010) Spider mites web: a comprehensive database for the Tetranychidae. http://www1.montpellier.inra.fr/CBGP/spmweb/ Accessed August 2011.</w:t>
      </w:r>
    </w:p>
    <w:p w14:paraId="78202D8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Miller DR, Davidson JA (2005a) </w:t>
      </w:r>
      <w:r>
        <w:rPr>
          <w:rFonts w:ascii="Times New Roman" w:hAnsi="Times New Roman"/>
          <w:i/>
          <w:sz w:val="24"/>
          <w:szCs w:val="24"/>
        </w:rPr>
        <w:t xml:space="preserve">Armored scale insect pests of trees and shrubs. </w:t>
      </w:r>
      <w:r>
        <w:rPr>
          <w:rFonts w:ascii="Times New Roman" w:hAnsi="Times New Roman"/>
          <w:sz w:val="24"/>
          <w:szCs w:val="24"/>
        </w:rPr>
        <w:t>Cornell University Press, New York.</w:t>
      </w:r>
    </w:p>
    <w:p w14:paraId="057F888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Miller DR, Davidson JA (2005b) </w:t>
      </w:r>
      <w:r>
        <w:rPr>
          <w:rFonts w:ascii="Times New Roman" w:hAnsi="Times New Roman"/>
          <w:i/>
          <w:sz w:val="24"/>
          <w:szCs w:val="24"/>
        </w:rPr>
        <w:t xml:space="preserve">Diaspis boisduvalii </w:t>
      </w:r>
      <w:r>
        <w:rPr>
          <w:rFonts w:ascii="Times New Roman" w:hAnsi="Times New Roman"/>
          <w:sz w:val="24"/>
          <w:szCs w:val="24"/>
        </w:rPr>
        <w:t xml:space="preserve">Signoret. </w:t>
      </w:r>
      <w:r>
        <w:rPr>
          <w:rFonts w:ascii="Times New Roman" w:hAnsi="Times New Roman"/>
          <w:i/>
          <w:sz w:val="24"/>
          <w:szCs w:val="24"/>
        </w:rPr>
        <w:t>Armored scale insect pests of trees and shrubs (Hemiptera: Diaspididae)</w:t>
      </w:r>
      <w:r>
        <w:rPr>
          <w:rFonts w:ascii="Times New Roman" w:hAnsi="Times New Roman"/>
          <w:sz w:val="24"/>
          <w:szCs w:val="24"/>
        </w:rPr>
        <w:t xml:space="preserve"> 180–181. Comstock Publishing Associates, Cornell University Press, Ithaca.</w:t>
      </w:r>
    </w:p>
    <w:p w14:paraId="08A69AD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Miller DR, Denno BD, Gimpel ME (2011) Diaspididae: Diaspidinae &amp; Leucaspidinae. ScaleNet, Catalogue Query Results. http://www.sel.barc.usda.gov/scalenet/scalenet.htm</w:t>
      </w:r>
      <w:r>
        <w:rPr>
          <w:rFonts w:ascii="Times New Roman" w:hAnsi="Times New Roman"/>
          <w:sz w:val="24"/>
          <w:szCs w:val="24"/>
          <w:u w:val="single"/>
        </w:rPr>
        <w:t xml:space="preserve"> </w:t>
      </w:r>
      <w:r>
        <w:rPr>
          <w:rFonts w:ascii="Times New Roman" w:hAnsi="Times New Roman"/>
          <w:sz w:val="24"/>
          <w:szCs w:val="24"/>
        </w:rPr>
        <w:t xml:space="preserve"> Accessed November 2011.</w:t>
      </w:r>
    </w:p>
    <w:p w14:paraId="7A8DCE4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Miller DR, Rung A, Venable GL, Gill RJ (2007) Scale insects: identification tools for species of quarantine significance. http://www.sel.barc.usda.gov/ScaleKeys/ScaleInsectsHome/ScaleInsectsHome.html Accessed 24 August 2010.</w:t>
      </w:r>
    </w:p>
    <w:p w14:paraId="2D2EE31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Miller GL, Miller DR (2002) </w:t>
      </w:r>
      <w:r>
        <w:rPr>
          <w:rFonts w:ascii="Times New Roman" w:hAnsi="Times New Roman"/>
          <w:i/>
          <w:sz w:val="24"/>
          <w:szCs w:val="24"/>
        </w:rPr>
        <w:t>Dysmicoccus</w:t>
      </w:r>
      <w:r>
        <w:rPr>
          <w:rFonts w:ascii="Times New Roman" w:hAnsi="Times New Roman"/>
          <w:sz w:val="24"/>
          <w:szCs w:val="24"/>
        </w:rPr>
        <w:t xml:space="preserve"> Ferris and similar genera (Hemiptera: Coccoidea: Pseudococcidae) of the gulf state region including a description of a new United States records. </w:t>
      </w:r>
      <w:r>
        <w:rPr>
          <w:rFonts w:ascii="Times New Roman" w:hAnsi="Times New Roman"/>
          <w:i/>
          <w:sz w:val="24"/>
          <w:szCs w:val="24"/>
        </w:rPr>
        <w:t>Proceedings of the Entomological Society of Washington</w:t>
      </w:r>
      <w:r>
        <w:rPr>
          <w:rFonts w:ascii="Times New Roman" w:hAnsi="Times New Roman"/>
          <w:sz w:val="24"/>
          <w:szCs w:val="24"/>
        </w:rPr>
        <w:t xml:space="preserve"> 104: 968–979.</w:t>
      </w:r>
    </w:p>
    <w:p w14:paraId="7ACAC1D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Miller GL, Williams ML (1997) The male test.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49–54. Elsevier Science Publishers B.V., Amsterdam.</w:t>
      </w:r>
    </w:p>
    <w:p w14:paraId="4F7B692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Mound LA (1996) Thysanoptera. In Wells A (ed) </w:t>
      </w:r>
      <w:r>
        <w:rPr>
          <w:rFonts w:ascii="Times New Roman" w:hAnsi="Times New Roman"/>
          <w:i/>
          <w:sz w:val="24"/>
          <w:szCs w:val="24"/>
        </w:rPr>
        <w:t>Zoological catalogue of Australia: volume 26: Psocoptera, Phthiraptera, Thysanoptera</w:t>
      </w:r>
      <w:r>
        <w:rPr>
          <w:rFonts w:ascii="Times New Roman" w:hAnsi="Times New Roman"/>
          <w:sz w:val="24"/>
          <w:szCs w:val="24"/>
        </w:rPr>
        <w:t xml:space="preserve"> Vol. 26 edn, 249–332. CSIRO, Melbourne.</w:t>
      </w:r>
    </w:p>
    <w:p w14:paraId="4C7E471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Mueller DK, Kelley PJ, VanRyckeghem AR (2006) Mold mites </w:t>
      </w:r>
      <w:r>
        <w:rPr>
          <w:rFonts w:ascii="Times New Roman" w:hAnsi="Times New Roman"/>
          <w:i/>
          <w:sz w:val="24"/>
          <w:szCs w:val="24"/>
        </w:rPr>
        <w:t xml:space="preserve">Tyrophagus putrescentiae </w:t>
      </w:r>
      <w:r>
        <w:rPr>
          <w:rFonts w:ascii="Times New Roman" w:hAnsi="Times New Roman"/>
          <w:sz w:val="24"/>
          <w:szCs w:val="24"/>
        </w:rPr>
        <w:t xml:space="preserve">(Shrank) in stored products. </w:t>
      </w:r>
      <w:r>
        <w:rPr>
          <w:rFonts w:ascii="Times New Roman" w:hAnsi="Times New Roman"/>
          <w:i/>
          <w:sz w:val="24"/>
          <w:szCs w:val="24"/>
        </w:rPr>
        <w:t>9th International Working Conference on stored product protection</w:t>
      </w:r>
      <w:r>
        <w:rPr>
          <w:rFonts w:ascii="Times New Roman" w:hAnsi="Times New Roman"/>
          <w:sz w:val="24"/>
          <w:szCs w:val="24"/>
        </w:rPr>
        <w:t xml:space="preserve"> 1117–1122. Insect Limited Inc., Indiana.</w:t>
      </w:r>
    </w:p>
    <w:p w14:paraId="237A77E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Nafus D (2000) Coconut scale (</w:t>
      </w:r>
      <w:r>
        <w:rPr>
          <w:rFonts w:ascii="Times New Roman" w:hAnsi="Times New Roman"/>
          <w:i/>
          <w:sz w:val="24"/>
          <w:szCs w:val="24"/>
        </w:rPr>
        <w:t>Aspidiotus destructor</w:t>
      </w:r>
      <w:r>
        <w:rPr>
          <w:rFonts w:ascii="Times New Roman" w:hAnsi="Times New Roman"/>
          <w:sz w:val="24"/>
          <w:szCs w:val="24"/>
        </w:rPr>
        <w:t xml:space="preserve"> Signoret) ADAP 2000-5. Agricultural Pests of the Pacific. http://www.ctahr.hawaii.edu/adap/Publications/ADAP_pubs/2000-5.pdf Accessed 11 May 2011.</w:t>
      </w:r>
    </w:p>
    <w:p w14:paraId="2C57A3E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Nagao MA, Leite HMC, Hara AH, Niino-DuPonte RY (2004) Mangosteen caterpillar. Insect Pests IP-14. Cooperative Extension Service, College of Tropical Agriculture and Human Resources, University of Hawaii at Mãnoa. http://www.ctahr.hawaii.edu/oc/freepubs/pdf/IP-14.pdf Accessed 15 November 2011.</w:t>
      </w:r>
    </w:p>
    <w:p w14:paraId="3936ADF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Nasuton DA (2006) </w:t>
      </w:r>
      <w:r>
        <w:rPr>
          <w:rFonts w:ascii="Times New Roman" w:hAnsi="Times New Roman"/>
          <w:i/>
          <w:sz w:val="24"/>
          <w:szCs w:val="24"/>
        </w:rPr>
        <w:t>Development of evaluation system of mangosteen fruit with non-destructive ultrasonic waves.</w:t>
      </w:r>
      <w:r>
        <w:rPr>
          <w:rFonts w:ascii="Times New Roman" w:hAnsi="Times New Roman"/>
          <w:sz w:val="24"/>
          <w:szCs w:val="24"/>
        </w:rPr>
        <w:t xml:space="preserve"> PhD thesis, Bogor Agricultural University, Bogor, Indonesia.</w:t>
      </w:r>
    </w:p>
    <w:p w14:paraId="01BD355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Navajas M, Gutierrez J, Williams M, Gotoh T (2001) Synonymy between two spider mite species, </w:t>
      </w:r>
      <w:r>
        <w:rPr>
          <w:rFonts w:ascii="Times New Roman" w:hAnsi="Times New Roman"/>
          <w:i/>
          <w:sz w:val="24"/>
          <w:szCs w:val="24"/>
        </w:rPr>
        <w:t xml:space="preserve">Tetranychus kanzawai </w:t>
      </w:r>
      <w:r>
        <w:rPr>
          <w:rFonts w:ascii="Times New Roman" w:hAnsi="Times New Roman"/>
          <w:sz w:val="24"/>
          <w:szCs w:val="24"/>
        </w:rPr>
        <w:t xml:space="preserve">and </w:t>
      </w:r>
      <w:r>
        <w:rPr>
          <w:rFonts w:ascii="Times New Roman" w:hAnsi="Times New Roman"/>
          <w:i/>
          <w:sz w:val="24"/>
          <w:szCs w:val="24"/>
        </w:rPr>
        <w:t>T. hydrangeae</w:t>
      </w:r>
      <w:r>
        <w:rPr>
          <w:rFonts w:ascii="Times New Roman" w:hAnsi="Times New Roman"/>
          <w:sz w:val="24"/>
          <w:szCs w:val="24"/>
        </w:rPr>
        <w:t xml:space="preserve"> (Acari: Tetranychidae), shown by ribosomal ITS2 sequences and cross-breeding experiments. </w:t>
      </w:r>
      <w:r>
        <w:rPr>
          <w:rFonts w:ascii="Times New Roman" w:hAnsi="Times New Roman"/>
          <w:i/>
          <w:sz w:val="24"/>
          <w:szCs w:val="24"/>
        </w:rPr>
        <w:t>Bulletin of Entomological Research</w:t>
      </w:r>
      <w:r>
        <w:rPr>
          <w:rFonts w:ascii="Times New Roman" w:hAnsi="Times New Roman"/>
          <w:sz w:val="24"/>
          <w:szCs w:val="24"/>
        </w:rPr>
        <w:t xml:space="preserve"> 91: 117–123.</w:t>
      </w:r>
    </w:p>
    <w:p w14:paraId="52B475E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Nechols JR, Seibert TF (1985) Biological control of the spherical mealybug, </w:t>
      </w:r>
      <w:r>
        <w:rPr>
          <w:rFonts w:ascii="Times New Roman" w:hAnsi="Times New Roman"/>
          <w:i/>
          <w:sz w:val="24"/>
          <w:szCs w:val="24"/>
        </w:rPr>
        <w:t>Nipaecoccus</w:t>
      </w:r>
      <w:r>
        <w:rPr>
          <w:rFonts w:ascii="Times New Roman" w:hAnsi="Times New Roman"/>
          <w:sz w:val="24"/>
          <w:szCs w:val="24"/>
        </w:rPr>
        <w:t xml:space="preserve"> </w:t>
      </w:r>
      <w:r>
        <w:rPr>
          <w:rFonts w:ascii="Times New Roman" w:hAnsi="Times New Roman"/>
          <w:i/>
          <w:sz w:val="24"/>
          <w:szCs w:val="24"/>
        </w:rPr>
        <w:t>vastator</w:t>
      </w:r>
      <w:r>
        <w:rPr>
          <w:rFonts w:ascii="Times New Roman" w:hAnsi="Times New Roman"/>
          <w:sz w:val="24"/>
          <w:szCs w:val="24"/>
        </w:rPr>
        <w:t xml:space="preserve"> (Homoptera: Pseudococcidae): assessment by ant exclusion. </w:t>
      </w:r>
      <w:r>
        <w:rPr>
          <w:rFonts w:ascii="Times New Roman" w:hAnsi="Times New Roman"/>
          <w:i/>
          <w:sz w:val="24"/>
          <w:szCs w:val="24"/>
        </w:rPr>
        <w:t>Environmental Entomology</w:t>
      </w:r>
      <w:r>
        <w:rPr>
          <w:rFonts w:ascii="Times New Roman" w:hAnsi="Times New Roman"/>
          <w:sz w:val="24"/>
          <w:szCs w:val="24"/>
        </w:rPr>
        <w:t xml:space="preserve"> 14: 45–47.</w:t>
      </w:r>
    </w:p>
    <w:p w14:paraId="701B8E8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Ness JH, Bronstein JL (2004) The effects of invasive ants on prospective ant mutualists. </w:t>
      </w:r>
      <w:r>
        <w:rPr>
          <w:rFonts w:ascii="Times New Roman" w:hAnsi="Times New Roman"/>
          <w:i/>
          <w:sz w:val="24"/>
          <w:szCs w:val="24"/>
        </w:rPr>
        <w:t>Biological Invasions</w:t>
      </w:r>
      <w:r>
        <w:rPr>
          <w:rFonts w:ascii="Times New Roman" w:hAnsi="Times New Roman"/>
          <w:sz w:val="24"/>
          <w:szCs w:val="24"/>
        </w:rPr>
        <w:t xml:space="preserve"> 6: 445–461.</w:t>
      </w:r>
    </w:p>
    <w:p w14:paraId="6C370A8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Nielsen ES, Edwards ED, Rangsi TV (1996) </w:t>
      </w:r>
      <w:r>
        <w:rPr>
          <w:rFonts w:ascii="Times New Roman" w:hAnsi="Times New Roman"/>
          <w:i/>
          <w:sz w:val="24"/>
          <w:szCs w:val="24"/>
        </w:rPr>
        <w:t xml:space="preserve">Checklist of the Lepidoptera of Australia. </w:t>
      </w:r>
      <w:r>
        <w:rPr>
          <w:rFonts w:ascii="Times New Roman" w:hAnsi="Times New Roman"/>
          <w:sz w:val="24"/>
          <w:szCs w:val="24"/>
        </w:rPr>
        <w:t>Commonwealth Scientific and Industrial Research Organisation, Collingwood.</w:t>
      </w:r>
    </w:p>
    <w:p w14:paraId="169C069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Oberprieler RG, Marvaldi AE, Anderson RS (2007) Weevils, weevils, weevils everywhere. </w:t>
      </w:r>
      <w:r>
        <w:rPr>
          <w:rFonts w:ascii="Times New Roman" w:hAnsi="Times New Roman"/>
          <w:i/>
          <w:sz w:val="24"/>
          <w:szCs w:val="24"/>
        </w:rPr>
        <w:t>Zootaxa</w:t>
      </w:r>
      <w:r>
        <w:rPr>
          <w:rFonts w:ascii="Times New Roman" w:hAnsi="Times New Roman"/>
          <w:sz w:val="24"/>
          <w:szCs w:val="24"/>
        </w:rPr>
        <w:t xml:space="preserve"> 1668: 491–520.</w:t>
      </w:r>
    </w:p>
    <w:p w14:paraId="7AB6443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Okada T, Carson HL (1983) The genera </w:t>
      </w:r>
      <w:r>
        <w:rPr>
          <w:rFonts w:ascii="Times New Roman" w:hAnsi="Times New Roman"/>
          <w:i/>
          <w:sz w:val="24"/>
          <w:szCs w:val="24"/>
        </w:rPr>
        <w:t>Phorticella</w:t>
      </w:r>
      <w:r>
        <w:rPr>
          <w:rFonts w:ascii="Times New Roman" w:hAnsi="Times New Roman"/>
          <w:sz w:val="24"/>
          <w:szCs w:val="24"/>
        </w:rPr>
        <w:t xml:space="preserve"> Duda and </w:t>
      </w:r>
      <w:r>
        <w:rPr>
          <w:rFonts w:ascii="Times New Roman" w:hAnsi="Times New Roman"/>
          <w:i/>
          <w:sz w:val="24"/>
          <w:szCs w:val="24"/>
        </w:rPr>
        <w:t>Zaprionus</w:t>
      </w:r>
      <w:r>
        <w:rPr>
          <w:rFonts w:ascii="Times New Roman" w:hAnsi="Times New Roman"/>
          <w:sz w:val="24"/>
          <w:szCs w:val="24"/>
        </w:rPr>
        <w:t xml:space="preserve"> Coquillett (Diptera: Drosophilidae) of the Oriental region and New Guinea. </w:t>
      </w:r>
      <w:r>
        <w:rPr>
          <w:rFonts w:ascii="Times New Roman" w:hAnsi="Times New Roman"/>
          <w:i/>
          <w:sz w:val="24"/>
          <w:szCs w:val="24"/>
        </w:rPr>
        <w:t>Kontyû, Tokyo</w:t>
      </w:r>
      <w:r>
        <w:rPr>
          <w:rFonts w:ascii="Times New Roman" w:hAnsi="Times New Roman"/>
          <w:sz w:val="24"/>
          <w:szCs w:val="24"/>
        </w:rPr>
        <w:t xml:space="preserve"> 51: 539–553.</w:t>
      </w:r>
    </w:p>
    <w:p w14:paraId="3D64F9D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Ooi PAC, Winotai A, Peña JE (2002) Pests of minor tropical fruits. In Peña JE, Sharp JL, Wysoki M (eds) </w:t>
      </w:r>
      <w:r>
        <w:rPr>
          <w:rFonts w:ascii="Times New Roman" w:hAnsi="Times New Roman"/>
          <w:i/>
          <w:sz w:val="24"/>
          <w:szCs w:val="24"/>
        </w:rPr>
        <w:t>Tropical fruit pests and pollinators: biology, economic importance, natural enemies and control</w:t>
      </w:r>
      <w:r>
        <w:rPr>
          <w:rFonts w:ascii="Times New Roman" w:hAnsi="Times New Roman"/>
          <w:sz w:val="24"/>
          <w:szCs w:val="24"/>
        </w:rPr>
        <w:t xml:space="preserve"> 315–321. CAB International, Wallingford.</w:t>
      </w:r>
    </w:p>
    <w:p w14:paraId="65D21FC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Osborne LS, Durant LO, Jackson M, Fooshee C (2005) Mealybugs: introduction to mealybugs. Insect and related pests of flowers and foliage plants: some important, common, and potential pests in the southeastern United States. http://www.mrec.ifas.ufl.edu/lso/entomol/ncstate/mealy.htm Accessed 6 May 2008.</w:t>
      </w:r>
    </w:p>
    <w:p w14:paraId="491ABBC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Osman MB, Milan AR (2006) </w:t>
      </w:r>
      <w:r>
        <w:rPr>
          <w:rFonts w:ascii="Times New Roman" w:hAnsi="Times New Roman"/>
          <w:i/>
          <w:sz w:val="24"/>
          <w:szCs w:val="24"/>
        </w:rPr>
        <w:t xml:space="preserve">Mangosteen </w:t>
      </w:r>
      <w:r>
        <w:rPr>
          <w:rFonts w:ascii="Times New Roman" w:hAnsi="Times New Roman"/>
          <w:sz w:val="24"/>
          <w:szCs w:val="24"/>
        </w:rPr>
        <w:t>Garcinia mangostana</w:t>
      </w:r>
      <w:r>
        <w:rPr>
          <w:rFonts w:ascii="Times New Roman" w:hAnsi="Times New Roman"/>
          <w:i/>
          <w:sz w:val="24"/>
          <w:szCs w:val="24"/>
        </w:rPr>
        <w:t xml:space="preserve"> L.</w:t>
      </w:r>
      <w:r>
        <w:rPr>
          <w:rFonts w:ascii="Times New Roman" w:hAnsi="Times New Roman"/>
          <w:sz w:val="24"/>
          <w:szCs w:val="24"/>
        </w:rPr>
        <w:t xml:space="preserve"> University of Southampton, Southampton.</w:t>
      </w:r>
    </w:p>
    <w:p w14:paraId="21A1FBD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Pacific Fruit Fly Web (2002) Asian papaya fruit fly (</w:t>
      </w:r>
      <w:r>
        <w:rPr>
          <w:rFonts w:ascii="Times New Roman" w:hAnsi="Times New Roman"/>
          <w:i/>
          <w:sz w:val="24"/>
          <w:szCs w:val="24"/>
        </w:rPr>
        <w:t>Bactrocera papayae</w:t>
      </w:r>
      <w:r>
        <w:rPr>
          <w:rFonts w:ascii="Times New Roman" w:hAnsi="Times New Roman"/>
          <w:sz w:val="24"/>
          <w:szCs w:val="24"/>
        </w:rPr>
        <w:t xml:space="preserve"> Drew and Hancock). SPC Plant Protection Service. http://www.spc.int/pacifly/Species_profiles/B_papayae.htm Accessed 23 February 2012.</w:t>
      </w:r>
    </w:p>
    <w:p w14:paraId="5E470BF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Pableo FB, Velasco CJ (1994) Mangosteen thrips and its control. </w:t>
      </w:r>
      <w:r>
        <w:rPr>
          <w:rFonts w:ascii="Times New Roman" w:hAnsi="Times New Roman"/>
          <w:i/>
          <w:sz w:val="24"/>
          <w:szCs w:val="24"/>
        </w:rPr>
        <w:t>Philippine Journal of Plant Industry</w:t>
      </w:r>
      <w:r>
        <w:rPr>
          <w:rFonts w:ascii="Times New Roman" w:hAnsi="Times New Roman"/>
          <w:sz w:val="24"/>
          <w:szCs w:val="24"/>
        </w:rPr>
        <w:t xml:space="preserve"> 59: 91–101.</w:t>
      </w:r>
    </w:p>
    <w:p w14:paraId="66A3110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Paparatti B, Speranza S (2005) Management of chestnut weevil (</w:t>
      </w:r>
      <w:r>
        <w:rPr>
          <w:rFonts w:ascii="Times New Roman" w:hAnsi="Times New Roman"/>
          <w:i/>
          <w:sz w:val="24"/>
          <w:szCs w:val="24"/>
        </w:rPr>
        <w:t xml:space="preserve">Curculio </w:t>
      </w:r>
      <w:r>
        <w:rPr>
          <w:rFonts w:ascii="Times New Roman" w:hAnsi="Times New Roman"/>
          <w:sz w:val="24"/>
          <w:szCs w:val="24"/>
        </w:rPr>
        <w:t xml:space="preserve">spp.), insect key-pest in central Italy. </w:t>
      </w:r>
      <w:r>
        <w:rPr>
          <w:rFonts w:ascii="Times New Roman" w:hAnsi="Times New Roman"/>
          <w:i/>
          <w:sz w:val="24"/>
          <w:szCs w:val="24"/>
        </w:rPr>
        <w:t>Acta Horticulturae</w:t>
      </w:r>
      <w:r>
        <w:rPr>
          <w:rFonts w:ascii="Times New Roman" w:hAnsi="Times New Roman"/>
          <w:sz w:val="24"/>
          <w:szCs w:val="24"/>
        </w:rPr>
        <w:t xml:space="preserve"> 693: 551–556.</w:t>
      </w:r>
    </w:p>
    <w:p w14:paraId="18D0C42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Peña JE, Mohyuddin AI (1997) Insect pests. In Litz RE (ed) </w:t>
      </w:r>
      <w:r>
        <w:rPr>
          <w:rFonts w:ascii="Times New Roman" w:hAnsi="Times New Roman"/>
          <w:i/>
          <w:sz w:val="24"/>
          <w:szCs w:val="24"/>
        </w:rPr>
        <w:t>The mango: botany, production and uses</w:t>
      </w:r>
      <w:r>
        <w:rPr>
          <w:rFonts w:ascii="Times New Roman" w:hAnsi="Times New Roman"/>
          <w:sz w:val="24"/>
          <w:szCs w:val="24"/>
        </w:rPr>
        <w:t xml:space="preserve"> 327–362. CAB International, Wallingford.</w:t>
      </w:r>
    </w:p>
    <w:p w14:paraId="1C0310F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PHTRI (2010) </w:t>
      </w:r>
      <w:r>
        <w:rPr>
          <w:rFonts w:ascii="Times New Roman" w:hAnsi="Times New Roman"/>
          <w:i/>
          <w:sz w:val="24"/>
          <w:szCs w:val="24"/>
        </w:rPr>
        <w:t>Integrated supply chain management of exotic fruits from the ASEAN region</w:t>
      </w:r>
      <w:r>
        <w:rPr>
          <w:rFonts w:ascii="Times New Roman" w:hAnsi="Times New Roman"/>
          <w:sz w:val="24"/>
          <w:szCs w:val="24"/>
        </w:rPr>
        <w:t>. Chiang Mai University (CMU), Thailand.</w:t>
      </w:r>
    </w:p>
    <w:p w14:paraId="3CAEE86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Ploetz RC (2004) Tropical fruit crops and the diseases that affect their production. In Del Claro K (ed) </w:t>
      </w:r>
      <w:r>
        <w:rPr>
          <w:rFonts w:ascii="Times New Roman" w:hAnsi="Times New Roman"/>
          <w:i/>
          <w:sz w:val="24"/>
          <w:szCs w:val="24"/>
        </w:rPr>
        <w:t>Tropical biology and conservation</w:t>
      </w:r>
      <w:r>
        <w:rPr>
          <w:rFonts w:ascii="Times New Roman" w:hAnsi="Times New Roman"/>
          <w:sz w:val="24"/>
          <w:szCs w:val="24"/>
        </w:rPr>
        <w:t xml:space="preserve"> 1–36. EOLSS Publishers, Oxford.</w:t>
      </w:r>
    </w:p>
    <w:p w14:paraId="1D16063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Pola FH (2009) </w:t>
      </w:r>
      <w:r>
        <w:rPr>
          <w:rFonts w:ascii="Times New Roman" w:hAnsi="Times New Roman"/>
          <w:i/>
          <w:sz w:val="24"/>
          <w:szCs w:val="24"/>
        </w:rPr>
        <w:t>Inventarisasi hama manggis (Garcinia mangostana L.) di kebun manggis pusat kajiam buah tropoka, Tajur, Bogor, Jawa Barat</w:t>
      </w:r>
      <w:r>
        <w:rPr>
          <w:rFonts w:ascii="Times New Roman" w:hAnsi="Times New Roman"/>
          <w:sz w:val="24"/>
          <w:szCs w:val="24"/>
        </w:rPr>
        <w:t>. Departemen Proteksi Tanaman Fakiltas Pertanian Institut Pertanian Bogor, Bogor.</w:t>
      </w:r>
    </w:p>
    <w:p w14:paraId="70F852A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Poole MC (2010) </w:t>
      </w:r>
      <w:r>
        <w:rPr>
          <w:rFonts w:ascii="Times New Roman" w:hAnsi="Times New Roman"/>
          <w:i/>
          <w:sz w:val="24"/>
          <w:szCs w:val="24"/>
        </w:rPr>
        <w:t>An annotated catalogue of insect and allied species associated with Western Australian agriculture and related industries: perennial draft, July 2010</w:t>
      </w:r>
      <w:r>
        <w:rPr>
          <w:rFonts w:ascii="Times New Roman" w:hAnsi="Times New Roman"/>
          <w:sz w:val="24"/>
          <w:szCs w:val="24"/>
        </w:rPr>
        <w:t>. Department of Agriculture, Western Australia.</w:t>
      </w:r>
    </w:p>
    <w:p w14:paraId="01889EA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Portales JM (2011) </w:t>
      </w:r>
      <w:r>
        <w:rPr>
          <w:rFonts w:ascii="Times New Roman" w:hAnsi="Times New Roman"/>
          <w:i/>
          <w:sz w:val="24"/>
          <w:szCs w:val="24"/>
        </w:rPr>
        <w:t>Phytophthora</w:t>
      </w:r>
      <w:r>
        <w:rPr>
          <w:rFonts w:ascii="Times New Roman" w:hAnsi="Times New Roman"/>
          <w:sz w:val="24"/>
          <w:szCs w:val="24"/>
        </w:rPr>
        <w:t xml:space="preserve"> diseases in the Philippines. In Drenth A, Guest DI (eds) </w:t>
      </w:r>
      <w:r>
        <w:rPr>
          <w:rFonts w:ascii="Times New Roman" w:hAnsi="Times New Roman"/>
          <w:i/>
          <w:sz w:val="24"/>
          <w:szCs w:val="24"/>
        </w:rPr>
        <w:t xml:space="preserve">Diversity and management of </w:t>
      </w:r>
      <w:r>
        <w:rPr>
          <w:rFonts w:ascii="Times New Roman" w:hAnsi="Times New Roman"/>
          <w:sz w:val="24"/>
          <w:szCs w:val="24"/>
        </w:rPr>
        <w:t>Phytophthora</w:t>
      </w:r>
      <w:r>
        <w:rPr>
          <w:rFonts w:ascii="Times New Roman" w:hAnsi="Times New Roman"/>
          <w:i/>
          <w:sz w:val="24"/>
          <w:szCs w:val="24"/>
        </w:rPr>
        <w:t xml:space="preserve"> in Southeast Asia. ACIAR Monograph No.14</w:t>
      </w:r>
      <w:r>
        <w:rPr>
          <w:rFonts w:ascii="Times New Roman" w:hAnsi="Times New Roman"/>
          <w:sz w:val="24"/>
          <w:szCs w:val="24"/>
        </w:rPr>
        <w:t xml:space="preserve"> 90–93. Australian Centre for International Agricultural Research, Canberra.</w:t>
      </w:r>
    </w:p>
    <w:p w14:paraId="713A29A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Rahayu M, Sari IN (2011) Budidaya Manggis. http://ntb.litbang.deptan.go.id/ind/pub/2010/F10-1.pdf Accessed 18 November 2011.</w:t>
      </w:r>
    </w:p>
    <w:p w14:paraId="5F5BE69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Reddy GVP, Cruz ZT, Muniappan R (2007) Attraction of fruit-piercing moth </w:t>
      </w:r>
      <w:r>
        <w:rPr>
          <w:rFonts w:ascii="Times New Roman" w:hAnsi="Times New Roman"/>
          <w:i/>
          <w:sz w:val="24"/>
          <w:szCs w:val="24"/>
        </w:rPr>
        <w:t>Eudocima phalonia</w:t>
      </w:r>
      <w:r>
        <w:rPr>
          <w:rFonts w:ascii="Times New Roman" w:hAnsi="Times New Roman"/>
          <w:sz w:val="24"/>
          <w:szCs w:val="24"/>
        </w:rPr>
        <w:t xml:space="preserve"> (Lepidoptera: Noctuidae) to different fruit baits. </w:t>
      </w:r>
      <w:r>
        <w:rPr>
          <w:rFonts w:ascii="Times New Roman" w:hAnsi="Times New Roman"/>
          <w:i/>
          <w:sz w:val="24"/>
          <w:szCs w:val="24"/>
        </w:rPr>
        <w:t>Crop Protection</w:t>
      </w:r>
      <w:r>
        <w:rPr>
          <w:rFonts w:ascii="Times New Roman" w:hAnsi="Times New Roman"/>
          <w:sz w:val="24"/>
          <w:szCs w:val="24"/>
        </w:rPr>
        <w:t xml:space="preserve"> 26: 664–667.</w:t>
      </w:r>
    </w:p>
    <w:p w14:paraId="63AA4A2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Rizali A, Bos MM, Buchori D, Yamane S, Schulze CH (2008) Ants in tropical urban habitats: the myrmecofauna in a densely populated area of Bogor, West Java, Indonesia. </w:t>
      </w:r>
      <w:r>
        <w:rPr>
          <w:rFonts w:ascii="Times New Roman" w:hAnsi="Times New Roman"/>
          <w:i/>
          <w:sz w:val="24"/>
          <w:szCs w:val="24"/>
        </w:rPr>
        <w:t>HAYATI Journal of Biosciences</w:t>
      </w:r>
      <w:r>
        <w:rPr>
          <w:rFonts w:ascii="Times New Roman" w:hAnsi="Times New Roman"/>
          <w:sz w:val="24"/>
          <w:szCs w:val="24"/>
        </w:rPr>
        <w:t xml:space="preserve"> 15: 77–84.</w:t>
      </w:r>
    </w:p>
    <w:p w14:paraId="16ECB54F" w14:textId="77777777" w:rsidR="009D3DC8" w:rsidRDefault="009D3DC8">
      <w:pPr>
        <w:rPr>
          <w:rFonts w:ascii="Times New Roman" w:hAnsi="Times New Roman"/>
          <w:sz w:val="24"/>
          <w:szCs w:val="24"/>
        </w:rPr>
      </w:pPr>
      <w:r>
        <w:rPr>
          <w:rFonts w:ascii="Times New Roman" w:hAnsi="Times New Roman"/>
          <w:sz w:val="24"/>
          <w:szCs w:val="24"/>
        </w:rPr>
        <w:br w:type="page"/>
      </w:r>
    </w:p>
    <w:p w14:paraId="11F44F1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Robert V, Stegehuis G, Staplers JA (2005) </w:t>
      </w:r>
      <w:r>
        <w:rPr>
          <w:rFonts w:ascii="Times New Roman" w:hAnsi="Times New Roman"/>
          <w:i/>
          <w:sz w:val="24"/>
          <w:szCs w:val="24"/>
        </w:rPr>
        <w:t xml:space="preserve">Brooksia tropicalis </w:t>
      </w:r>
      <w:r>
        <w:rPr>
          <w:rFonts w:ascii="Times New Roman" w:hAnsi="Times New Roman"/>
          <w:sz w:val="24"/>
          <w:szCs w:val="24"/>
        </w:rPr>
        <w:t>Hansf. 1956. Fungal Databases, Nomenclature and Species Banks Online Taxonomic Novelties Submission. http://www.mycobank.org/MycoTaxo.aspx?Link=T&amp;Rec=293863 Accessed 25 August 2011.</w:t>
      </w:r>
    </w:p>
    <w:p w14:paraId="648A484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Robinson GS, Ackery PR, Kitching IJ, Beccaloni GW, Hernández LM (2001) </w:t>
      </w:r>
      <w:r>
        <w:rPr>
          <w:rFonts w:ascii="Times New Roman" w:hAnsi="Times New Roman"/>
          <w:i/>
          <w:sz w:val="24"/>
          <w:szCs w:val="24"/>
        </w:rPr>
        <w:t xml:space="preserve">Host plants of the moth and butterfly caterpillars of the Oriental region. </w:t>
      </w:r>
      <w:r>
        <w:rPr>
          <w:rFonts w:ascii="Times New Roman" w:hAnsi="Times New Roman"/>
          <w:sz w:val="24"/>
          <w:szCs w:val="24"/>
        </w:rPr>
        <w:t>Natural History Museum, London.</w:t>
      </w:r>
    </w:p>
    <w:p w14:paraId="28044E8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Robinson GS, Ackery PR, Kitching IJ, Beccaloni GW, Hernández LM (2010) Hosts: a database of the world's Lepidopteran hostplants. National History Museum, London. http://www.nhm.ac.uk Accessed 27 July 2011.</w:t>
      </w:r>
    </w:p>
    <w:p w14:paraId="4845260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Robinson R, Tunsell V (2009) Report of progress 2007-08. Forest Check.The Department of Environment and Conservation, Kensington, Western Australia. http://www.dec.wa.gov.au Accessed 15 November 2011.</w:t>
      </w:r>
    </w:p>
    <w:p w14:paraId="1FD088A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Rohrbach KG, Beardsley JW Jr, German TL, Reimer NJ, Sanford WG (1988) Mealybug wilt, mealybugs and ants on pineapple. </w:t>
      </w:r>
      <w:r>
        <w:rPr>
          <w:rFonts w:ascii="Times New Roman" w:hAnsi="Times New Roman"/>
          <w:i/>
          <w:sz w:val="24"/>
          <w:szCs w:val="24"/>
        </w:rPr>
        <w:t>Plant Disease</w:t>
      </w:r>
      <w:r>
        <w:rPr>
          <w:rFonts w:ascii="Times New Roman" w:hAnsi="Times New Roman"/>
          <w:sz w:val="24"/>
          <w:szCs w:val="24"/>
        </w:rPr>
        <w:t xml:space="preserve"> 72: 558–565.</w:t>
      </w:r>
    </w:p>
    <w:p w14:paraId="1E1630C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Ruinard J (1958) </w:t>
      </w:r>
      <w:r>
        <w:rPr>
          <w:rFonts w:ascii="Times New Roman" w:hAnsi="Times New Roman"/>
          <w:i/>
          <w:sz w:val="24"/>
          <w:szCs w:val="24"/>
        </w:rPr>
        <w:t xml:space="preserve">Onderzoekingen omtrent levenswijze, economische betekenis en bestrijdingsmogelijkheden der stengelboorders van het suikerriet op Java. </w:t>
      </w:r>
      <w:r>
        <w:rPr>
          <w:rFonts w:ascii="Times New Roman" w:hAnsi="Times New Roman"/>
          <w:sz w:val="24"/>
          <w:szCs w:val="24"/>
        </w:rPr>
        <w:t>Proefschrift Landbouwhogeschool, Wageningen.</w:t>
      </w:r>
    </w:p>
    <w:p w14:paraId="545AF7A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Russell LM (1941) A classification of the scale insect genus </w:t>
      </w:r>
      <w:r>
        <w:rPr>
          <w:rFonts w:ascii="Times New Roman" w:hAnsi="Times New Roman"/>
          <w:i/>
          <w:sz w:val="24"/>
          <w:szCs w:val="24"/>
        </w:rPr>
        <w:t>Asterolecanium</w:t>
      </w:r>
      <w:r>
        <w:rPr>
          <w:rFonts w:ascii="Times New Roman" w:hAnsi="Times New Roman"/>
          <w:sz w:val="24"/>
          <w:szCs w:val="24"/>
        </w:rPr>
        <w:t xml:space="preserve">. </w:t>
      </w:r>
      <w:r>
        <w:rPr>
          <w:rFonts w:ascii="Times New Roman" w:hAnsi="Times New Roman"/>
          <w:i/>
          <w:sz w:val="24"/>
          <w:szCs w:val="24"/>
        </w:rPr>
        <w:t>United States Department of Agriculture Miscellaneous Publication</w:t>
      </w:r>
      <w:r>
        <w:rPr>
          <w:rFonts w:ascii="Times New Roman" w:hAnsi="Times New Roman"/>
          <w:sz w:val="24"/>
          <w:szCs w:val="24"/>
        </w:rPr>
        <w:t xml:space="preserve"> 424: 1–319.</w:t>
      </w:r>
    </w:p>
    <w:p w14:paraId="40DC5B1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SADI-ACIAR (2008) </w:t>
      </w:r>
      <w:r>
        <w:rPr>
          <w:rFonts w:ascii="Times New Roman" w:hAnsi="Times New Roman"/>
          <w:i/>
          <w:sz w:val="24"/>
          <w:szCs w:val="24"/>
        </w:rPr>
        <w:t>Final report - the potential for mangosteen in eastern Indonesia</w:t>
      </w:r>
      <w:r>
        <w:rPr>
          <w:rFonts w:ascii="Times New Roman" w:hAnsi="Times New Roman"/>
          <w:sz w:val="24"/>
          <w:szCs w:val="24"/>
        </w:rPr>
        <w:t>. ACIAR, Canberra.</w:t>
      </w:r>
    </w:p>
    <w:p w14:paraId="609FB13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Sanchez FF, Laigo FM (1968) Notes on the cacao tussock moth, </w:t>
      </w:r>
      <w:r>
        <w:rPr>
          <w:rFonts w:ascii="Times New Roman" w:hAnsi="Times New Roman"/>
          <w:i/>
          <w:sz w:val="24"/>
          <w:szCs w:val="24"/>
        </w:rPr>
        <w:t>Orgyia australis postica</w:t>
      </w:r>
      <w:r>
        <w:rPr>
          <w:rFonts w:ascii="Times New Roman" w:hAnsi="Times New Roman"/>
          <w:sz w:val="24"/>
          <w:szCs w:val="24"/>
        </w:rPr>
        <w:t xml:space="preserve"> Walker (Lymantriidae: Lepidoptera). </w:t>
      </w:r>
      <w:r>
        <w:rPr>
          <w:rFonts w:ascii="Times New Roman" w:hAnsi="Times New Roman"/>
          <w:i/>
          <w:sz w:val="24"/>
          <w:szCs w:val="24"/>
        </w:rPr>
        <w:t>Philippine Entomologist</w:t>
      </w:r>
      <w:r>
        <w:rPr>
          <w:rFonts w:ascii="Times New Roman" w:hAnsi="Times New Roman"/>
          <w:sz w:val="24"/>
          <w:szCs w:val="24"/>
        </w:rPr>
        <w:t xml:space="preserve"> 1: 67–71.</w:t>
      </w:r>
    </w:p>
    <w:p w14:paraId="695E4A5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Schatz H (2006) Catalogue of known oribatid mite species (Acari Oribatida) from the Central American landbridge (first part). </w:t>
      </w:r>
      <w:r>
        <w:rPr>
          <w:rFonts w:ascii="Times New Roman" w:hAnsi="Times New Roman"/>
          <w:i/>
          <w:sz w:val="24"/>
          <w:szCs w:val="24"/>
        </w:rPr>
        <w:t>Tropical Zoology</w:t>
      </w:r>
      <w:r>
        <w:rPr>
          <w:rFonts w:ascii="Times New Roman" w:hAnsi="Times New Roman"/>
          <w:sz w:val="24"/>
          <w:szCs w:val="24"/>
        </w:rPr>
        <w:t xml:space="preserve"> 19: 209–288.</w:t>
      </w:r>
    </w:p>
    <w:p w14:paraId="6157EB9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Semangun H (2000) </w:t>
      </w:r>
      <w:r>
        <w:rPr>
          <w:rFonts w:ascii="Times New Roman" w:hAnsi="Times New Roman"/>
          <w:i/>
          <w:sz w:val="24"/>
          <w:szCs w:val="24"/>
        </w:rPr>
        <w:t xml:space="preserve">Penyakit-penyakit tanaman perkebunan di Indonesia. </w:t>
      </w:r>
      <w:r>
        <w:rPr>
          <w:rFonts w:ascii="Times New Roman" w:hAnsi="Times New Roman"/>
          <w:sz w:val="24"/>
          <w:szCs w:val="24"/>
        </w:rPr>
        <w:t>Gadjah Mada University Press, Yogyakarta.</w:t>
      </w:r>
    </w:p>
    <w:p w14:paraId="04F6BC5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Shivas RG (1989) Fungal and bacterial diseases of plants in Western Australia. </w:t>
      </w:r>
      <w:r>
        <w:rPr>
          <w:rFonts w:ascii="Times New Roman" w:hAnsi="Times New Roman"/>
          <w:i/>
          <w:sz w:val="24"/>
          <w:szCs w:val="24"/>
        </w:rPr>
        <w:t>Journal of the Royal Society of Western Australia</w:t>
      </w:r>
      <w:r>
        <w:rPr>
          <w:rFonts w:ascii="Times New Roman" w:hAnsi="Times New Roman"/>
          <w:sz w:val="24"/>
          <w:szCs w:val="24"/>
        </w:rPr>
        <w:t xml:space="preserve"> 72: 1–62.</w:t>
      </w:r>
    </w:p>
    <w:p w14:paraId="08A4AC2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Shivas RG, Suyoko S, Raga N, Hyde KD (1996) Some disease-associated microorganisms on plants in Irian Jaya, Indonesia. </w:t>
      </w:r>
      <w:r>
        <w:rPr>
          <w:rFonts w:ascii="Times New Roman" w:hAnsi="Times New Roman"/>
          <w:i/>
          <w:sz w:val="24"/>
          <w:szCs w:val="24"/>
        </w:rPr>
        <w:t>Australasian Plant Pathology</w:t>
      </w:r>
      <w:r>
        <w:rPr>
          <w:rFonts w:ascii="Times New Roman" w:hAnsi="Times New Roman"/>
          <w:sz w:val="24"/>
          <w:szCs w:val="24"/>
        </w:rPr>
        <w:t xml:space="preserve"> 25: 36–49.</w:t>
      </w:r>
    </w:p>
    <w:p w14:paraId="306C22E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Sim J, Khoo C, Lee L, Cheah Y (2010) Molecular diversity of fungal endophytes isolated from </w:t>
      </w:r>
      <w:r>
        <w:rPr>
          <w:rFonts w:ascii="Times New Roman" w:hAnsi="Times New Roman"/>
          <w:i/>
          <w:sz w:val="24"/>
          <w:szCs w:val="24"/>
        </w:rPr>
        <w:t>Garcinia mangostana</w:t>
      </w:r>
      <w:r>
        <w:rPr>
          <w:rFonts w:ascii="Times New Roman" w:hAnsi="Times New Roman"/>
          <w:sz w:val="24"/>
          <w:szCs w:val="24"/>
        </w:rPr>
        <w:t xml:space="preserve"> and </w:t>
      </w:r>
      <w:r>
        <w:rPr>
          <w:rFonts w:ascii="Times New Roman" w:hAnsi="Times New Roman"/>
          <w:i/>
          <w:sz w:val="24"/>
          <w:szCs w:val="24"/>
        </w:rPr>
        <w:t>Garcinia parvifolia</w:t>
      </w:r>
      <w:r>
        <w:rPr>
          <w:rFonts w:ascii="Times New Roman" w:hAnsi="Times New Roman"/>
          <w:sz w:val="24"/>
          <w:szCs w:val="24"/>
        </w:rPr>
        <w:t xml:space="preserve">. </w:t>
      </w:r>
      <w:r>
        <w:rPr>
          <w:rFonts w:ascii="Times New Roman" w:hAnsi="Times New Roman"/>
          <w:i/>
          <w:sz w:val="24"/>
          <w:szCs w:val="24"/>
        </w:rPr>
        <w:t>Journal of Microbiology and Biotechnology</w:t>
      </w:r>
      <w:r>
        <w:rPr>
          <w:rFonts w:ascii="Times New Roman" w:hAnsi="Times New Roman"/>
          <w:sz w:val="24"/>
          <w:szCs w:val="24"/>
        </w:rPr>
        <w:t xml:space="preserve"> 20: 651–658.</w:t>
      </w:r>
    </w:p>
    <w:p w14:paraId="3F83417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Singh KG (1980) </w:t>
      </w:r>
      <w:r>
        <w:rPr>
          <w:rFonts w:ascii="Times New Roman" w:hAnsi="Times New Roman"/>
          <w:i/>
          <w:sz w:val="24"/>
          <w:szCs w:val="24"/>
        </w:rPr>
        <w:t xml:space="preserve">A check list of host and disease in Malaysia. </w:t>
      </w:r>
      <w:r>
        <w:rPr>
          <w:rFonts w:ascii="Times New Roman" w:hAnsi="Times New Roman"/>
          <w:sz w:val="24"/>
          <w:szCs w:val="24"/>
        </w:rPr>
        <w:t>Ministry of Agriculture, Malaysia.</w:t>
      </w:r>
    </w:p>
    <w:p w14:paraId="29728A3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Siswanto, Muhamad R, Omar D, Karmawati E (2008) Life tables and population parameters of </w:t>
      </w:r>
      <w:r>
        <w:rPr>
          <w:rFonts w:ascii="Times New Roman" w:hAnsi="Times New Roman"/>
          <w:i/>
          <w:sz w:val="24"/>
          <w:szCs w:val="24"/>
        </w:rPr>
        <w:t>Helopeltis antonii</w:t>
      </w:r>
      <w:r>
        <w:rPr>
          <w:rFonts w:ascii="Times New Roman" w:hAnsi="Times New Roman"/>
          <w:sz w:val="24"/>
          <w:szCs w:val="24"/>
        </w:rPr>
        <w:t xml:space="preserve"> (Hemeptera: Miridae) reared on cashew </w:t>
      </w:r>
      <w:r>
        <w:rPr>
          <w:rFonts w:ascii="Times New Roman" w:hAnsi="Times New Roman"/>
          <w:i/>
          <w:sz w:val="24"/>
          <w:szCs w:val="24"/>
        </w:rPr>
        <w:t>(Anacardium occidentale</w:t>
      </w:r>
      <w:r>
        <w:rPr>
          <w:rFonts w:ascii="Times New Roman" w:hAnsi="Times New Roman"/>
          <w:sz w:val="24"/>
          <w:szCs w:val="24"/>
        </w:rPr>
        <w:t xml:space="preserve"> L.). </w:t>
      </w:r>
      <w:r>
        <w:rPr>
          <w:rFonts w:ascii="Times New Roman" w:hAnsi="Times New Roman"/>
          <w:i/>
          <w:sz w:val="24"/>
          <w:szCs w:val="24"/>
        </w:rPr>
        <w:t>Journal of Bioscience</w:t>
      </w:r>
      <w:r>
        <w:rPr>
          <w:rFonts w:ascii="Times New Roman" w:hAnsi="Times New Roman"/>
          <w:sz w:val="24"/>
          <w:szCs w:val="24"/>
        </w:rPr>
        <w:t xml:space="preserve"> 19: 91–101.</w:t>
      </w:r>
    </w:p>
    <w:p w14:paraId="2A2DCEC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Smith D, Beattie GAC, Broadley RH (1997) </w:t>
      </w:r>
      <w:r>
        <w:rPr>
          <w:rFonts w:ascii="Times New Roman" w:hAnsi="Times New Roman"/>
          <w:i/>
          <w:sz w:val="24"/>
          <w:szCs w:val="24"/>
        </w:rPr>
        <w:t xml:space="preserve">Citrus pests and their natural enemies: intergrated pest management in Australia. </w:t>
      </w:r>
      <w:r>
        <w:rPr>
          <w:rFonts w:ascii="Times New Roman" w:hAnsi="Times New Roman"/>
          <w:sz w:val="24"/>
          <w:szCs w:val="24"/>
        </w:rPr>
        <w:t>Queensland Department of Primary Industries, Brisbane.</w:t>
      </w:r>
    </w:p>
    <w:p w14:paraId="3A627DD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Smith MR (1965) House-infesting ants of the eastern United States. </w:t>
      </w:r>
      <w:r>
        <w:rPr>
          <w:rFonts w:ascii="Times New Roman" w:hAnsi="Times New Roman"/>
          <w:i/>
          <w:sz w:val="24"/>
          <w:szCs w:val="24"/>
        </w:rPr>
        <w:t>United States Department of Agriculture, Agricultural Research Service, Technical Bulletin</w:t>
      </w:r>
      <w:r>
        <w:rPr>
          <w:rFonts w:ascii="Times New Roman" w:hAnsi="Times New Roman"/>
          <w:sz w:val="24"/>
          <w:szCs w:val="24"/>
        </w:rPr>
        <w:t xml:space="preserve"> 1326: 1–105.</w:t>
      </w:r>
    </w:p>
    <w:p w14:paraId="6F834B6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Sobir, Poerwanto R (2007) Mangosteen genetics and improvement. </w:t>
      </w:r>
      <w:r>
        <w:rPr>
          <w:rFonts w:ascii="Times New Roman" w:hAnsi="Times New Roman"/>
          <w:i/>
          <w:sz w:val="24"/>
          <w:szCs w:val="24"/>
        </w:rPr>
        <w:t>International Journal of Plant Breeding</w:t>
      </w:r>
      <w:r>
        <w:rPr>
          <w:rFonts w:ascii="Times New Roman" w:hAnsi="Times New Roman"/>
          <w:sz w:val="24"/>
          <w:szCs w:val="24"/>
        </w:rPr>
        <w:t xml:space="preserve"> 1: 105–111.</w:t>
      </w:r>
    </w:p>
    <w:p w14:paraId="1AF03FC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Sobir, Poerwanto R, Santosa E, Sinaga S, Mansyah E (2011) Genetic variability in the apomictic mangosteen (</w:t>
      </w:r>
      <w:r>
        <w:rPr>
          <w:rFonts w:ascii="Times New Roman" w:hAnsi="Times New Roman"/>
          <w:i/>
          <w:sz w:val="24"/>
          <w:szCs w:val="24"/>
        </w:rPr>
        <w:t>Garcinia mangostana</w:t>
      </w:r>
      <w:r>
        <w:rPr>
          <w:rFonts w:ascii="Times New Roman" w:hAnsi="Times New Roman"/>
          <w:sz w:val="24"/>
          <w:szCs w:val="24"/>
        </w:rPr>
        <w:t>) and its close relatives (</w:t>
      </w:r>
      <w:r>
        <w:rPr>
          <w:rFonts w:ascii="Times New Roman" w:hAnsi="Times New Roman"/>
          <w:i/>
          <w:sz w:val="24"/>
          <w:szCs w:val="24"/>
        </w:rPr>
        <w:t xml:space="preserve">Garcinia </w:t>
      </w:r>
      <w:r>
        <w:rPr>
          <w:rFonts w:ascii="Times New Roman" w:hAnsi="Times New Roman"/>
          <w:sz w:val="24"/>
          <w:szCs w:val="24"/>
        </w:rPr>
        <w:t xml:space="preserve">spp.) based on ISSR markers. </w:t>
      </w:r>
      <w:r>
        <w:rPr>
          <w:rFonts w:ascii="Times New Roman" w:hAnsi="Times New Roman"/>
          <w:i/>
          <w:sz w:val="24"/>
          <w:szCs w:val="24"/>
        </w:rPr>
        <w:t>Biodiversitas</w:t>
      </w:r>
      <w:r>
        <w:rPr>
          <w:rFonts w:ascii="Times New Roman" w:hAnsi="Times New Roman"/>
          <w:sz w:val="24"/>
          <w:szCs w:val="24"/>
        </w:rPr>
        <w:t xml:space="preserve"> 12: 59–63.</w:t>
      </w:r>
    </w:p>
    <w:p w14:paraId="0DCC7AB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Soekarna D, Kilin D (1981) Research activities on storage insects at CRIA. </w:t>
      </w:r>
      <w:r>
        <w:rPr>
          <w:rFonts w:ascii="Times New Roman" w:hAnsi="Times New Roman"/>
          <w:i/>
          <w:sz w:val="24"/>
          <w:szCs w:val="24"/>
        </w:rPr>
        <w:t>Pests of stored products.Proceedings of BIOTROP Symposium on pests of stored products</w:t>
      </w:r>
      <w:r>
        <w:rPr>
          <w:rFonts w:ascii="Times New Roman" w:hAnsi="Times New Roman"/>
          <w:sz w:val="24"/>
          <w:szCs w:val="24"/>
        </w:rPr>
        <w:t xml:space="preserve"> 127–139. Bogor.</w:t>
      </w:r>
    </w:p>
    <w:p w14:paraId="788C466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Spangler SM, Agnello AM (1991) Comstock mealybug: </w:t>
      </w:r>
      <w:r>
        <w:rPr>
          <w:rFonts w:ascii="Times New Roman" w:hAnsi="Times New Roman"/>
          <w:i/>
          <w:sz w:val="24"/>
          <w:szCs w:val="24"/>
        </w:rPr>
        <w:t xml:space="preserve">Pseudococcus comstocki </w:t>
      </w:r>
      <w:r>
        <w:rPr>
          <w:rFonts w:ascii="Times New Roman" w:hAnsi="Times New Roman"/>
          <w:sz w:val="24"/>
          <w:szCs w:val="24"/>
        </w:rPr>
        <w:t>(Kuwana). New York state integrated pest management program. http://www.nysipm.cornell.edu/ Accessed 29 July 2008.</w:t>
      </w:r>
    </w:p>
    <w:p w14:paraId="387680D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Srivastava RP (1997) </w:t>
      </w:r>
      <w:r>
        <w:rPr>
          <w:rFonts w:ascii="Times New Roman" w:hAnsi="Times New Roman"/>
          <w:i/>
          <w:sz w:val="24"/>
          <w:szCs w:val="24"/>
        </w:rPr>
        <w:t xml:space="preserve">Mango insect pest management. </w:t>
      </w:r>
      <w:r>
        <w:rPr>
          <w:rFonts w:ascii="Times New Roman" w:hAnsi="Times New Roman"/>
          <w:sz w:val="24"/>
          <w:szCs w:val="24"/>
        </w:rPr>
        <w:t>International Book Distributing Company, Lucknow.</w:t>
      </w:r>
    </w:p>
    <w:p w14:paraId="353894D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Stephens AEA, Kriticos DJ, Leriche A (2007) The current and future potential geographical distribution of the oriental fruit fly, </w:t>
      </w:r>
      <w:r>
        <w:rPr>
          <w:rFonts w:ascii="Times New Roman" w:hAnsi="Times New Roman"/>
          <w:i/>
          <w:sz w:val="24"/>
          <w:szCs w:val="24"/>
        </w:rPr>
        <w:t>Bactrocera dorsalis</w:t>
      </w:r>
      <w:r>
        <w:rPr>
          <w:rFonts w:ascii="Times New Roman" w:hAnsi="Times New Roman"/>
          <w:sz w:val="24"/>
          <w:szCs w:val="24"/>
        </w:rPr>
        <w:t xml:space="preserve"> (Diptera: Tephritidae). </w:t>
      </w:r>
      <w:r>
        <w:rPr>
          <w:rFonts w:ascii="Times New Roman" w:hAnsi="Times New Roman"/>
          <w:i/>
          <w:sz w:val="24"/>
          <w:szCs w:val="24"/>
        </w:rPr>
        <w:t>Bulletin of Entomological Research</w:t>
      </w:r>
      <w:r>
        <w:rPr>
          <w:rFonts w:ascii="Times New Roman" w:hAnsi="Times New Roman"/>
          <w:sz w:val="24"/>
          <w:szCs w:val="24"/>
        </w:rPr>
        <w:t xml:space="preserve"> 97: 369–378.</w:t>
      </w:r>
    </w:p>
    <w:p w14:paraId="56B2B77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Stonedahl GM (1991) The Oriental species of </w:t>
      </w:r>
      <w:r>
        <w:rPr>
          <w:rFonts w:ascii="Times New Roman" w:hAnsi="Times New Roman"/>
          <w:i/>
          <w:sz w:val="24"/>
          <w:szCs w:val="24"/>
        </w:rPr>
        <w:t>Helopeltis</w:t>
      </w:r>
      <w:r>
        <w:rPr>
          <w:rFonts w:ascii="Times New Roman" w:hAnsi="Times New Roman"/>
          <w:sz w:val="24"/>
          <w:szCs w:val="24"/>
        </w:rPr>
        <w:t xml:space="preserve"> (Heteroptera: Miridae): a review of economic literature and guide to identification. </w:t>
      </w:r>
      <w:r>
        <w:rPr>
          <w:rFonts w:ascii="Times New Roman" w:hAnsi="Times New Roman"/>
          <w:i/>
          <w:sz w:val="24"/>
          <w:szCs w:val="24"/>
        </w:rPr>
        <w:t>Bulletin of Entomological Research</w:t>
      </w:r>
      <w:r>
        <w:rPr>
          <w:rFonts w:ascii="Times New Roman" w:hAnsi="Times New Roman"/>
          <w:sz w:val="24"/>
          <w:szCs w:val="24"/>
        </w:rPr>
        <w:t xml:space="preserve"> 81: 465–490.</w:t>
      </w:r>
    </w:p>
    <w:p w14:paraId="21348B3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Subías LS (2004) Listado sistemático, sinonímico y biogeográfico de los ácaros oribátidos (Acariformes: oribatida) del mundo (Excepto fósiles). http://escalera.bio.ucm.es/usuarios/bba/cont/docs/169.pdf Accessed 2011.</w:t>
      </w:r>
    </w:p>
    <w:p w14:paraId="77CDD861"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Swirski E, Ben-Dov Y, Wysoki M (1997) Other subtropical fruit trees. In Ben-Dov Y, Hodgson CJ (eds) </w:t>
      </w:r>
      <w:r>
        <w:rPr>
          <w:rFonts w:ascii="Times New Roman" w:hAnsi="Times New Roman"/>
          <w:i/>
          <w:sz w:val="24"/>
          <w:szCs w:val="24"/>
        </w:rPr>
        <w:t>Soft scale insects - their biology, natural enemies and control</w:t>
      </w:r>
      <w:r>
        <w:rPr>
          <w:rFonts w:ascii="Times New Roman" w:hAnsi="Times New Roman"/>
          <w:sz w:val="24"/>
          <w:szCs w:val="24"/>
        </w:rPr>
        <w:t xml:space="preserve"> 271–292. Elsevier Science Publisher B.V., Amsterdam.</w:t>
      </w:r>
    </w:p>
    <w:p w14:paraId="2EF2F6C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Takagi S (1990) The adult female. In Rosen D (ed) </w:t>
      </w:r>
      <w:r>
        <w:rPr>
          <w:rFonts w:ascii="Times New Roman" w:hAnsi="Times New Roman"/>
          <w:i/>
          <w:sz w:val="24"/>
          <w:szCs w:val="24"/>
        </w:rPr>
        <w:t>Armored scale insects: their biology, natural enemies and control. Vol 4A</w:t>
      </w:r>
      <w:r>
        <w:rPr>
          <w:rFonts w:ascii="Times New Roman" w:hAnsi="Times New Roman"/>
          <w:sz w:val="24"/>
          <w:szCs w:val="24"/>
        </w:rPr>
        <w:t xml:space="preserve"> 5–20. Elsevier Science Publishers B.V., Amsterdam.</w:t>
      </w:r>
    </w:p>
    <w:p w14:paraId="39F2F02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Talekar NS (1991) Thrips in Southeast Asia. </w:t>
      </w:r>
      <w:r>
        <w:rPr>
          <w:rFonts w:ascii="Times New Roman" w:hAnsi="Times New Roman"/>
          <w:i/>
          <w:sz w:val="24"/>
          <w:szCs w:val="24"/>
        </w:rPr>
        <w:t>Proceedings of a regional consultation workshop</w:t>
      </w:r>
      <w:r>
        <w:rPr>
          <w:rFonts w:ascii="Times New Roman" w:hAnsi="Times New Roman"/>
          <w:sz w:val="24"/>
          <w:szCs w:val="24"/>
        </w:rPr>
        <w:t xml:space="preserve"> 1–74. Asian Vegetable Research and Development Center, AVRDC Publication No. 91-342.</w:t>
      </w:r>
    </w:p>
    <w:p w14:paraId="37F43EF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Tamit MH (2002) Invasive alien species resource directory: Brunei Darussalam. Asean Biodiversity. http://www.arcbc.org.ph/arcbcweb/pdf/vol2no4/20-21_sr_invasive_brunei.pdf Accessed 16 November 2011.</w:t>
      </w:r>
    </w:p>
    <w:p w14:paraId="302177E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Tenbrink VL, Hara AH (1992a) </w:t>
      </w:r>
      <w:r>
        <w:rPr>
          <w:rFonts w:ascii="Times New Roman" w:hAnsi="Times New Roman"/>
          <w:i/>
          <w:sz w:val="24"/>
          <w:szCs w:val="24"/>
        </w:rPr>
        <w:t>Diaspis boisduvalii</w:t>
      </w:r>
      <w:r>
        <w:rPr>
          <w:rFonts w:ascii="Times New Roman" w:hAnsi="Times New Roman"/>
          <w:sz w:val="24"/>
          <w:szCs w:val="24"/>
        </w:rPr>
        <w:t xml:space="preserve"> (Signoret). http://www.extento.hawaii.edu/kbase/crop/type/d_boisdu.htm Accessed 23 August 2010a.</w:t>
      </w:r>
    </w:p>
    <w:p w14:paraId="0F01CCC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Tenbrink VL, Hara AH (1992b) </w:t>
      </w:r>
      <w:r>
        <w:rPr>
          <w:rFonts w:ascii="Times New Roman" w:hAnsi="Times New Roman"/>
          <w:i/>
          <w:sz w:val="24"/>
          <w:szCs w:val="24"/>
        </w:rPr>
        <w:t xml:space="preserve">Technomyrmex albipes </w:t>
      </w:r>
      <w:r>
        <w:rPr>
          <w:rFonts w:ascii="Times New Roman" w:hAnsi="Times New Roman"/>
          <w:sz w:val="24"/>
          <w:szCs w:val="24"/>
        </w:rPr>
        <w:t>(Fr. Smith). http://www.extento.hawaii.edu/kbase/crop/Type/technomy.htm Accessed 11 November 2011b.</w:t>
      </w:r>
    </w:p>
    <w:p w14:paraId="5319014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Thaung MM (2008) Biodiversity survey of coelomycetes in Burma. </w:t>
      </w:r>
      <w:r>
        <w:rPr>
          <w:rFonts w:ascii="Times New Roman" w:hAnsi="Times New Roman"/>
          <w:i/>
          <w:sz w:val="24"/>
          <w:szCs w:val="24"/>
        </w:rPr>
        <w:t>Australasian Mycologist</w:t>
      </w:r>
      <w:r>
        <w:rPr>
          <w:rFonts w:ascii="Times New Roman" w:hAnsi="Times New Roman"/>
          <w:sz w:val="24"/>
          <w:szCs w:val="24"/>
        </w:rPr>
        <w:t xml:space="preserve"> 27: 74–110.</w:t>
      </w:r>
    </w:p>
    <w:p w14:paraId="0152A94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Tjoa T (1960) </w:t>
      </w:r>
      <w:r>
        <w:rPr>
          <w:rFonts w:ascii="Times New Roman" w:hAnsi="Times New Roman"/>
          <w:i/>
          <w:sz w:val="24"/>
          <w:szCs w:val="24"/>
        </w:rPr>
        <w:t xml:space="preserve">Disapsis boisduvalii </w:t>
      </w:r>
      <w:r>
        <w:rPr>
          <w:rFonts w:ascii="Times New Roman" w:hAnsi="Times New Roman"/>
          <w:sz w:val="24"/>
          <w:szCs w:val="24"/>
        </w:rPr>
        <w:t xml:space="preserve">an injurious pest of </w:t>
      </w:r>
      <w:r>
        <w:rPr>
          <w:rFonts w:ascii="Times New Roman" w:hAnsi="Times New Roman"/>
          <w:i/>
          <w:sz w:val="24"/>
          <w:szCs w:val="24"/>
        </w:rPr>
        <w:t xml:space="preserve">Cattleya </w:t>
      </w:r>
      <w:r>
        <w:rPr>
          <w:rFonts w:ascii="Times New Roman" w:hAnsi="Times New Roman"/>
          <w:sz w:val="24"/>
          <w:szCs w:val="24"/>
        </w:rPr>
        <w:t xml:space="preserve">orchids. </w:t>
      </w:r>
      <w:r>
        <w:rPr>
          <w:rFonts w:ascii="Times New Roman" w:hAnsi="Times New Roman"/>
          <w:i/>
          <w:sz w:val="24"/>
          <w:szCs w:val="24"/>
        </w:rPr>
        <w:t>Tehnik Pertanian</w:t>
      </w:r>
      <w:r>
        <w:rPr>
          <w:rFonts w:ascii="Times New Roman" w:hAnsi="Times New Roman"/>
          <w:sz w:val="24"/>
          <w:szCs w:val="24"/>
        </w:rPr>
        <w:t xml:space="preserve"> 9: 105–113.</w:t>
      </w:r>
    </w:p>
    <w:p w14:paraId="5B33FFB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Tsao PH, Gruber LC, Portales LA, Gochangco AM, Luzaran PB, de los Santos AB, Pag H (1994) Some new records of </w:t>
      </w:r>
      <w:r>
        <w:rPr>
          <w:rFonts w:ascii="Times New Roman" w:hAnsi="Times New Roman"/>
          <w:i/>
          <w:sz w:val="24"/>
          <w:szCs w:val="24"/>
        </w:rPr>
        <w:t>Phytophthora</w:t>
      </w:r>
      <w:r>
        <w:rPr>
          <w:rFonts w:ascii="Times New Roman" w:hAnsi="Times New Roman"/>
          <w:sz w:val="24"/>
          <w:szCs w:val="24"/>
        </w:rPr>
        <w:t xml:space="preserve"> crown and root rots in the Philippines and in world literature. </w:t>
      </w:r>
      <w:r>
        <w:rPr>
          <w:rFonts w:ascii="Times New Roman" w:hAnsi="Times New Roman"/>
          <w:i/>
          <w:sz w:val="24"/>
          <w:szCs w:val="24"/>
        </w:rPr>
        <w:t>Phytopathology</w:t>
      </w:r>
      <w:r>
        <w:rPr>
          <w:rFonts w:ascii="Times New Roman" w:hAnsi="Times New Roman"/>
          <w:sz w:val="24"/>
          <w:szCs w:val="24"/>
        </w:rPr>
        <w:t xml:space="preserve"> 84: 871.</w:t>
      </w:r>
    </w:p>
    <w:p w14:paraId="74E73A1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Ulloa-Chacon P, Cherix D (1990) The little fire ant </w:t>
      </w:r>
      <w:r>
        <w:rPr>
          <w:rFonts w:ascii="Times New Roman" w:hAnsi="Times New Roman"/>
          <w:i/>
          <w:sz w:val="24"/>
          <w:szCs w:val="24"/>
        </w:rPr>
        <w:t>Wasmannia auropunctata</w:t>
      </w:r>
      <w:r>
        <w:rPr>
          <w:rFonts w:ascii="Times New Roman" w:hAnsi="Times New Roman"/>
          <w:sz w:val="24"/>
          <w:szCs w:val="24"/>
        </w:rPr>
        <w:t xml:space="preserve"> (R.) (Hymenoptera: Formicidae). In Vander Meer RK, Jaffe K, Cedeno A (eds) </w:t>
      </w:r>
      <w:r>
        <w:rPr>
          <w:rFonts w:ascii="Times New Roman" w:hAnsi="Times New Roman"/>
          <w:i/>
          <w:sz w:val="24"/>
          <w:szCs w:val="24"/>
        </w:rPr>
        <w:t>Applied myrmecology: a world perspective</w:t>
      </w:r>
      <w:r>
        <w:rPr>
          <w:rFonts w:ascii="Times New Roman" w:hAnsi="Times New Roman"/>
          <w:sz w:val="24"/>
          <w:szCs w:val="24"/>
        </w:rPr>
        <w:t xml:space="preserve"> 281–289. Westview Press, San Francisco.</w:t>
      </w:r>
    </w:p>
    <w:p w14:paraId="65ADA69A"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Unahawutti U, Oonthonglang P (2002) </w:t>
      </w:r>
      <w:r>
        <w:rPr>
          <w:rFonts w:ascii="Times New Roman" w:hAnsi="Times New Roman"/>
          <w:i/>
          <w:sz w:val="24"/>
          <w:szCs w:val="24"/>
        </w:rPr>
        <w:t>Laboratory study on the possible attack of the Oriental fruit fly (Diptera: Tephritidae) on mangosteens</w:t>
      </w:r>
      <w:r>
        <w:rPr>
          <w:rFonts w:ascii="Times New Roman" w:hAnsi="Times New Roman"/>
          <w:sz w:val="24"/>
          <w:szCs w:val="24"/>
        </w:rPr>
        <w:t>. Department of Agriculture, Thailand.</w:t>
      </w:r>
    </w:p>
    <w:p w14:paraId="51DD5F2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USDA-APHIS (2006) </w:t>
      </w:r>
      <w:r>
        <w:rPr>
          <w:rFonts w:ascii="Times New Roman" w:hAnsi="Times New Roman"/>
          <w:i/>
          <w:sz w:val="24"/>
          <w:szCs w:val="24"/>
        </w:rPr>
        <w:t xml:space="preserve">Movement of mangosteen, </w:t>
      </w:r>
      <w:r>
        <w:rPr>
          <w:rFonts w:ascii="Times New Roman" w:hAnsi="Times New Roman"/>
          <w:sz w:val="24"/>
          <w:szCs w:val="24"/>
        </w:rPr>
        <w:t>Garcinia mangostana</w:t>
      </w:r>
      <w:r>
        <w:rPr>
          <w:rFonts w:ascii="Times New Roman" w:hAnsi="Times New Roman"/>
          <w:i/>
          <w:sz w:val="24"/>
          <w:szCs w:val="24"/>
        </w:rPr>
        <w:t>, from Hawaii into the Continental United States. A pathway-initiated risk assessment</w:t>
      </w:r>
      <w:r>
        <w:rPr>
          <w:rFonts w:ascii="Times New Roman" w:hAnsi="Times New Roman"/>
          <w:sz w:val="24"/>
          <w:szCs w:val="24"/>
        </w:rPr>
        <w:t>. Plant Protection and Quarantine, Center for Plant Health Science and Technology, Honolulu, Hawaii.</w:t>
      </w:r>
    </w:p>
    <w:p w14:paraId="349822A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USDA-APHIS (2007) </w:t>
      </w:r>
      <w:r>
        <w:rPr>
          <w:rFonts w:ascii="Times New Roman" w:hAnsi="Times New Roman"/>
          <w:i/>
          <w:sz w:val="24"/>
          <w:szCs w:val="24"/>
        </w:rPr>
        <w:t xml:space="preserve">Importation of </w:t>
      </w:r>
      <w:r>
        <w:rPr>
          <w:rFonts w:ascii="Times New Roman" w:hAnsi="Times New Roman"/>
          <w:sz w:val="24"/>
          <w:szCs w:val="24"/>
        </w:rPr>
        <w:t>Litchi chinensis</w:t>
      </w:r>
      <w:r>
        <w:rPr>
          <w:rFonts w:ascii="Times New Roman" w:hAnsi="Times New Roman"/>
          <w:i/>
          <w:sz w:val="24"/>
          <w:szCs w:val="24"/>
        </w:rPr>
        <w:t xml:space="preserve"> (litchi or lychee), </w:t>
      </w:r>
      <w:r>
        <w:rPr>
          <w:rFonts w:ascii="Times New Roman" w:hAnsi="Times New Roman"/>
          <w:sz w:val="24"/>
          <w:szCs w:val="24"/>
        </w:rPr>
        <w:t>Dimocarpus longan</w:t>
      </w:r>
      <w:r>
        <w:rPr>
          <w:rFonts w:ascii="Times New Roman" w:hAnsi="Times New Roman"/>
          <w:i/>
          <w:sz w:val="24"/>
          <w:szCs w:val="24"/>
        </w:rPr>
        <w:t xml:space="preserve"> (longan), </w:t>
      </w:r>
      <w:r>
        <w:rPr>
          <w:rFonts w:ascii="Times New Roman" w:hAnsi="Times New Roman"/>
          <w:sz w:val="24"/>
          <w:szCs w:val="24"/>
        </w:rPr>
        <w:t>Mangifera indica</w:t>
      </w:r>
      <w:r>
        <w:rPr>
          <w:rFonts w:ascii="Times New Roman" w:hAnsi="Times New Roman"/>
          <w:i/>
          <w:sz w:val="24"/>
          <w:szCs w:val="24"/>
        </w:rPr>
        <w:t xml:space="preserve"> (mango), </w:t>
      </w:r>
      <w:r>
        <w:rPr>
          <w:rFonts w:ascii="Times New Roman" w:hAnsi="Times New Roman"/>
          <w:sz w:val="24"/>
          <w:szCs w:val="24"/>
        </w:rPr>
        <w:t>Garcinia mangostana</w:t>
      </w:r>
      <w:r>
        <w:rPr>
          <w:rFonts w:ascii="Times New Roman" w:hAnsi="Times New Roman"/>
          <w:i/>
          <w:sz w:val="24"/>
          <w:szCs w:val="24"/>
        </w:rPr>
        <w:t xml:space="preserve"> L. (mangosteen), </w:t>
      </w:r>
      <w:r>
        <w:rPr>
          <w:rFonts w:ascii="Times New Roman" w:hAnsi="Times New Roman"/>
          <w:sz w:val="24"/>
          <w:szCs w:val="24"/>
        </w:rPr>
        <w:t>Nephelium lappaceum</w:t>
      </w:r>
      <w:r>
        <w:rPr>
          <w:rFonts w:ascii="Times New Roman" w:hAnsi="Times New Roman"/>
          <w:i/>
          <w:sz w:val="24"/>
          <w:szCs w:val="24"/>
        </w:rPr>
        <w:t xml:space="preserve"> L. (rambutan), and </w:t>
      </w:r>
      <w:r>
        <w:rPr>
          <w:rFonts w:ascii="Times New Roman" w:hAnsi="Times New Roman"/>
          <w:sz w:val="24"/>
          <w:szCs w:val="24"/>
        </w:rPr>
        <w:t>Ananas comosus</w:t>
      </w:r>
      <w:r>
        <w:rPr>
          <w:rFonts w:ascii="Times New Roman" w:hAnsi="Times New Roman"/>
          <w:i/>
          <w:sz w:val="24"/>
          <w:szCs w:val="24"/>
        </w:rPr>
        <w:t xml:space="preserve"> (pineapple) into the United States from </w:t>
      </w:r>
      <w:r>
        <w:rPr>
          <w:rFonts w:ascii="Times New Roman" w:hAnsi="Times New Roman"/>
          <w:i/>
          <w:sz w:val="24"/>
          <w:szCs w:val="24"/>
        </w:rPr>
        <w:lastRenderedPageBreak/>
        <w:t>Thailand</w:t>
      </w:r>
      <w:r>
        <w:rPr>
          <w:rFonts w:ascii="Times New Roman" w:hAnsi="Times New Roman"/>
          <w:sz w:val="24"/>
          <w:szCs w:val="24"/>
        </w:rPr>
        <w:t>. Animal and Plant Health Inspection Service, United States Department of Agriculture, Washington, D.C.</w:t>
      </w:r>
    </w:p>
    <w:p w14:paraId="4B761F15"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Van der Meer Mohr JC (1927) Overzicht van de dierlijke vijanden van de kapokcultuur op Java. </w:t>
      </w:r>
      <w:r>
        <w:rPr>
          <w:rFonts w:ascii="Times New Roman" w:hAnsi="Times New Roman"/>
          <w:i/>
          <w:sz w:val="24"/>
          <w:szCs w:val="24"/>
        </w:rPr>
        <w:t>Bulletin-Instituut voor Plantenziekten</w:t>
      </w:r>
      <w:r>
        <w:rPr>
          <w:rFonts w:ascii="Times New Roman" w:hAnsi="Times New Roman"/>
          <w:sz w:val="24"/>
          <w:szCs w:val="24"/>
        </w:rPr>
        <w:t xml:space="preserve"> 21: 1–22.</w:t>
      </w:r>
    </w:p>
    <w:p w14:paraId="0D934E3C"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Van Eecke DR (1928) De Heterocera van Sumatra [The Heterocera of Sumatra]. </w:t>
      </w:r>
      <w:r>
        <w:rPr>
          <w:rFonts w:ascii="Times New Roman" w:hAnsi="Times New Roman"/>
          <w:i/>
          <w:sz w:val="24"/>
          <w:szCs w:val="24"/>
        </w:rPr>
        <w:t>Zoologische Mededeelingen</w:t>
      </w:r>
      <w:r>
        <w:rPr>
          <w:rFonts w:ascii="Times New Roman" w:hAnsi="Times New Roman"/>
          <w:sz w:val="24"/>
          <w:szCs w:val="24"/>
        </w:rPr>
        <w:t xml:space="preserve"> 11: 80–81.</w:t>
      </w:r>
    </w:p>
    <w:p w14:paraId="672D12F6"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Van Sauers-Muller A (2005) Host plants of the carambola fruit fly, </w:t>
      </w:r>
      <w:r>
        <w:rPr>
          <w:rFonts w:ascii="Times New Roman" w:hAnsi="Times New Roman"/>
          <w:i/>
          <w:sz w:val="24"/>
          <w:szCs w:val="24"/>
        </w:rPr>
        <w:t>Bactrocera carambolae</w:t>
      </w:r>
      <w:r>
        <w:rPr>
          <w:rFonts w:ascii="Times New Roman" w:hAnsi="Times New Roman"/>
          <w:sz w:val="24"/>
          <w:szCs w:val="24"/>
        </w:rPr>
        <w:t xml:space="preserve"> Drew &amp; Hancock (Diptera: Tephritidae), in Suriname, South America. </w:t>
      </w:r>
      <w:r>
        <w:rPr>
          <w:rFonts w:ascii="Times New Roman" w:hAnsi="Times New Roman"/>
          <w:i/>
          <w:sz w:val="24"/>
          <w:szCs w:val="24"/>
        </w:rPr>
        <w:t>Neotropical Entomology</w:t>
      </w:r>
      <w:r>
        <w:rPr>
          <w:rFonts w:ascii="Times New Roman" w:hAnsi="Times New Roman"/>
          <w:sz w:val="24"/>
          <w:szCs w:val="24"/>
        </w:rPr>
        <w:t xml:space="preserve"> 34: 203–214.</w:t>
      </w:r>
    </w:p>
    <w:p w14:paraId="473D45E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Venette RC, Davis EE (2004) </w:t>
      </w:r>
      <w:r>
        <w:rPr>
          <w:rFonts w:ascii="Times New Roman" w:hAnsi="Times New Roman"/>
          <w:i/>
          <w:sz w:val="24"/>
          <w:szCs w:val="24"/>
        </w:rPr>
        <w:t xml:space="preserve">Mini risk assessment: passionvine mealybug: </w:t>
      </w:r>
      <w:r>
        <w:rPr>
          <w:rFonts w:ascii="Times New Roman" w:hAnsi="Times New Roman"/>
          <w:sz w:val="24"/>
          <w:szCs w:val="24"/>
        </w:rPr>
        <w:t>Planococcus minor</w:t>
      </w:r>
      <w:r>
        <w:rPr>
          <w:rFonts w:ascii="Times New Roman" w:hAnsi="Times New Roman"/>
          <w:i/>
          <w:sz w:val="24"/>
          <w:szCs w:val="24"/>
        </w:rPr>
        <w:t xml:space="preserve"> (Maskell) (Pseudococcidae: Hemiptera)</w:t>
      </w:r>
      <w:r>
        <w:rPr>
          <w:rFonts w:ascii="Times New Roman" w:hAnsi="Times New Roman"/>
          <w:sz w:val="24"/>
          <w:szCs w:val="24"/>
        </w:rPr>
        <w:t>. United States Department of Agriculture, Washington, D.C.</w:t>
      </w:r>
    </w:p>
    <w:p w14:paraId="14B077C8"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Vranjic JA (1997) Effects on host plant.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323–336. Elsevier Science Publishers B.V., Amsterdam.</w:t>
      </w:r>
    </w:p>
    <w:p w14:paraId="50EFEF9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Wakamura S, Arakaki N, Yamamoto M, Hiradate S, Yasui H, Kinjo K, Yamazawa H, Ando T (2005) Sex pheromone and related compounds in the Ishigaki and Okinawa strains of the tussock moth </w:t>
      </w:r>
      <w:r>
        <w:rPr>
          <w:rFonts w:ascii="Times New Roman" w:hAnsi="Times New Roman"/>
          <w:i/>
          <w:sz w:val="24"/>
          <w:szCs w:val="24"/>
        </w:rPr>
        <w:t xml:space="preserve">Orgyia postica </w:t>
      </w:r>
      <w:r>
        <w:rPr>
          <w:rFonts w:ascii="Times New Roman" w:hAnsi="Times New Roman"/>
          <w:sz w:val="24"/>
          <w:szCs w:val="24"/>
        </w:rPr>
        <w:t xml:space="preserve">(Walker) (Lepidoptera: Lymantriidae). </w:t>
      </w:r>
      <w:r>
        <w:rPr>
          <w:rFonts w:ascii="Times New Roman" w:hAnsi="Times New Roman"/>
          <w:i/>
          <w:sz w:val="24"/>
          <w:szCs w:val="24"/>
        </w:rPr>
        <w:t>Bioscience Biotechnology Biochemistry</w:t>
      </w:r>
      <w:r>
        <w:rPr>
          <w:rFonts w:ascii="Times New Roman" w:hAnsi="Times New Roman"/>
          <w:sz w:val="24"/>
          <w:szCs w:val="24"/>
        </w:rPr>
        <w:t xml:space="preserve"> 69: 957–965.</w:t>
      </w:r>
    </w:p>
    <w:p w14:paraId="1FC7A66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Walter DE (2006) </w:t>
      </w:r>
      <w:r>
        <w:rPr>
          <w:rFonts w:ascii="Times New Roman" w:hAnsi="Times New Roman"/>
          <w:i/>
          <w:sz w:val="24"/>
          <w:szCs w:val="24"/>
        </w:rPr>
        <w:t>Tetranychus</w:t>
      </w:r>
      <w:r>
        <w:rPr>
          <w:rFonts w:ascii="Times New Roman" w:hAnsi="Times New Roman"/>
          <w:sz w:val="24"/>
          <w:szCs w:val="24"/>
        </w:rPr>
        <w:t>. Invasive mite identification: tools for quarantine and plant protection. http://keys.lucidcentral.org/keys/v3/mites/Invasive_Mite_Identification/key/Tetranychinae/Media/Html/Tetranychus.htm Accessed 24 October 2011.</w:t>
      </w:r>
    </w:p>
    <w:p w14:paraId="4947DE3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Wang H, Norton RA, Lu J (1999) Notes on the development of </w:t>
      </w:r>
      <w:r>
        <w:rPr>
          <w:rFonts w:ascii="Times New Roman" w:hAnsi="Times New Roman"/>
          <w:i/>
          <w:sz w:val="24"/>
          <w:szCs w:val="24"/>
        </w:rPr>
        <w:t>Afronothrus incisivus</w:t>
      </w:r>
      <w:r>
        <w:rPr>
          <w:rFonts w:ascii="Times New Roman" w:hAnsi="Times New Roman"/>
          <w:sz w:val="24"/>
          <w:szCs w:val="24"/>
        </w:rPr>
        <w:t xml:space="preserve"> (Acari: Oribatida) with new distribution records from Asia and Australia. </w:t>
      </w:r>
      <w:r>
        <w:rPr>
          <w:rFonts w:ascii="Times New Roman" w:hAnsi="Times New Roman"/>
          <w:i/>
          <w:sz w:val="24"/>
          <w:szCs w:val="24"/>
        </w:rPr>
        <w:t>Systematic and Applied Acarology</w:t>
      </w:r>
      <w:r>
        <w:rPr>
          <w:rFonts w:ascii="Times New Roman" w:hAnsi="Times New Roman"/>
          <w:sz w:val="24"/>
          <w:szCs w:val="24"/>
        </w:rPr>
        <w:t xml:space="preserve"> 4: 111–120.</w:t>
      </w:r>
    </w:p>
    <w:p w14:paraId="6524B62D"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Waterhouse DF (1993) </w:t>
      </w:r>
      <w:r>
        <w:rPr>
          <w:rFonts w:ascii="Times New Roman" w:hAnsi="Times New Roman"/>
          <w:i/>
          <w:sz w:val="24"/>
          <w:szCs w:val="24"/>
        </w:rPr>
        <w:t>The major arthropod pests and weeds of agriculture in southeast Asia: distribution, importance and origin</w:t>
      </w:r>
      <w:r>
        <w:rPr>
          <w:rFonts w:ascii="Times New Roman" w:hAnsi="Times New Roman"/>
          <w:sz w:val="24"/>
          <w:szCs w:val="24"/>
        </w:rPr>
        <w:t>. ACIAR, Canberra.</w:t>
      </w:r>
    </w:p>
    <w:p w14:paraId="4C6DC02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Watson GW (2005a) Diaspididae: </w:t>
      </w:r>
      <w:r>
        <w:rPr>
          <w:rFonts w:ascii="Times New Roman" w:hAnsi="Times New Roman"/>
          <w:i/>
          <w:sz w:val="24"/>
          <w:szCs w:val="24"/>
        </w:rPr>
        <w:t>Aspidiotus destructor</w:t>
      </w:r>
      <w:r>
        <w:rPr>
          <w:rFonts w:ascii="Times New Roman" w:hAnsi="Times New Roman"/>
          <w:sz w:val="24"/>
          <w:szCs w:val="24"/>
        </w:rPr>
        <w:t>. Arthropods of Economic Importance. http://nlbif.eti.uva.nl/bis/diaspididae.php?menuentry=soorten&amp;id=90 Accessed 11 May 2011a.</w:t>
      </w:r>
    </w:p>
    <w:p w14:paraId="29716FE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Watson GW (2005b) Diaspididae: </w:t>
      </w:r>
      <w:r>
        <w:rPr>
          <w:rFonts w:ascii="Times New Roman" w:hAnsi="Times New Roman"/>
          <w:i/>
          <w:sz w:val="24"/>
          <w:szCs w:val="24"/>
        </w:rPr>
        <w:t>Ischnaspis longirostris</w:t>
      </w:r>
      <w:r>
        <w:rPr>
          <w:rFonts w:ascii="Times New Roman" w:hAnsi="Times New Roman"/>
          <w:sz w:val="24"/>
          <w:szCs w:val="24"/>
        </w:rPr>
        <w:t>. Arthropods of Economic Importance. http://wbd.etibioinformatics.nl/bis/diaspididae.php?menuentry=soorten&amp;id=129 Accessed 30 September 2011b.</w:t>
      </w:r>
    </w:p>
    <w:p w14:paraId="7FDF0C04" w14:textId="77777777" w:rsidR="009D3DC8" w:rsidRDefault="009D3DC8">
      <w:pPr>
        <w:rPr>
          <w:rFonts w:ascii="Times New Roman" w:hAnsi="Times New Roman"/>
          <w:sz w:val="24"/>
          <w:szCs w:val="24"/>
        </w:rPr>
      </w:pPr>
      <w:r>
        <w:rPr>
          <w:rFonts w:ascii="Times New Roman" w:hAnsi="Times New Roman"/>
          <w:sz w:val="24"/>
          <w:szCs w:val="24"/>
        </w:rPr>
        <w:br w:type="page"/>
      </w:r>
    </w:p>
    <w:p w14:paraId="2ADCF58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Watson GW (2005c) Diaspididae: </w:t>
      </w:r>
      <w:r>
        <w:rPr>
          <w:rFonts w:ascii="Times New Roman" w:hAnsi="Times New Roman"/>
          <w:i/>
          <w:sz w:val="24"/>
          <w:szCs w:val="24"/>
        </w:rPr>
        <w:t>Pseudaonidia trilobitiformis</w:t>
      </w:r>
      <w:r>
        <w:rPr>
          <w:rFonts w:ascii="Times New Roman" w:hAnsi="Times New Roman"/>
          <w:sz w:val="24"/>
          <w:szCs w:val="24"/>
        </w:rPr>
        <w:t>. Arthropods of Economic Importance. http://wbd.etibioinformatics.nl/bis/diaspididae.php?selected=beschrijving&amp;menuentry=soorten&amp;id=168 Accessed 10 November 2011c.</w:t>
      </w:r>
    </w:p>
    <w:p w14:paraId="79C3400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Weatheronline (2011) Climate of the world: Indonesia. http://www.weatheronline.co.uk/reports/climate/Indonesia.htm Accessed 7 December 2011.</w:t>
      </w:r>
    </w:p>
    <w:p w14:paraId="527C81D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Wetterer JK, Porter SD (2003) The little fire ant, </w:t>
      </w:r>
      <w:r>
        <w:rPr>
          <w:rFonts w:ascii="Times New Roman" w:hAnsi="Times New Roman"/>
          <w:i/>
          <w:sz w:val="24"/>
          <w:szCs w:val="24"/>
        </w:rPr>
        <w:t>Wasmannia auropunctata</w:t>
      </w:r>
      <w:r>
        <w:rPr>
          <w:rFonts w:ascii="Times New Roman" w:hAnsi="Times New Roman"/>
          <w:sz w:val="24"/>
          <w:szCs w:val="24"/>
        </w:rPr>
        <w:t xml:space="preserve">: distribution, impact, and control. </w:t>
      </w:r>
      <w:r>
        <w:rPr>
          <w:rFonts w:ascii="Times New Roman" w:hAnsi="Times New Roman"/>
          <w:i/>
          <w:sz w:val="24"/>
          <w:szCs w:val="24"/>
        </w:rPr>
        <w:t>Sociobiology</w:t>
      </w:r>
      <w:r>
        <w:rPr>
          <w:rFonts w:ascii="Times New Roman" w:hAnsi="Times New Roman"/>
          <w:sz w:val="24"/>
          <w:szCs w:val="24"/>
        </w:rPr>
        <w:t xml:space="preserve"> 42: 1–41.</w:t>
      </w:r>
    </w:p>
    <w:p w14:paraId="0D8F115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Wetterer JK, Walsh PD, White LJT (1999) </w:t>
      </w:r>
      <w:r>
        <w:rPr>
          <w:rFonts w:ascii="Times New Roman" w:hAnsi="Times New Roman"/>
          <w:i/>
          <w:sz w:val="24"/>
          <w:szCs w:val="24"/>
        </w:rPr>
        <w:t xml:space="preserve">Wasmannia auropunctata </w:t>
      </w:r>
      <w:r>
        <w:rPr>
          <w:rFonts w:ascii="Times New Roman" w:hAnsi="Times New Roman"/>
          <w:sz w:val="24"/>
          <w:szCs w:val="24"/>
        </w:rPr>
        <w:t xml:space="preserve">(Roger) (Hymenoptera: Formicidae), a destructive tramp-ant, in wildlife refuges of Gabon. </w:t>
      </w:r>
      <w:r>
        <w:rPr>
          <w:rFonts w:ascii="Times New Roman" w:hAnsi="Times New Roman"/>
          <w:i/>
          <w:sz w:val="24"/>
          <w:szCs w:val="24"/>
        </w:rPr>
        <w:t>African Entomology</w:t>
      </w:r>
      <w:r>
        <w:rPr>
          <w:rFonts w:ascii="Times New Roman" w:hAnsi="Times New Roman"/>
          <w:sz w:val="24"/>
          <w:szCs w:val="24"/>
        </w:rPr>
        <w:t xml:space="preserve"> 7: 292–294.</w:t>
      </w:r>
    </w:p>
    <w:p w14:paraId="449A1652"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Wheeler MR, Takada H (1964) Diptera: Drosophilidae. </w:t>
      </w:r>
      <w:r>
        <w:rPr>
          <w:rFonts w:ascii="Times New Roman" w:hAnsi="Times New Roman"/>
          <w:i/>
          <w:sz w:val="24"/>
          <w:szCs w:val="24"/>
        </w:rPr>
        <w:t>Insects of Micronesia</w:t>
      </w:r>
      <w:r>
        <w:rPr>
          <w:rFonts w:ascii="Times New Roman" w:hAnsi="Times New Roman"/>
          <w:sz w:val="24"/>
          <w:szCs w:val="24"/>
        </w:rPr>
        <w:t xml:space="preserve"> 14: 163–242.</w:t>
      </w:r>
    </w:p>
    <w:p w14:paraId="66571317"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White IM, Elson-Harris MM (1992) </w:t>
      </w:r>
      <w:r>
        <w:rPr>
          <w:rFonts w:ascii="Times New Roman" w:hAnsi="Times New Roman"/>
          <w:i/>
          <w:sz w:val="24"/>
          <w:szCs w:val="24"/>
        </w:rPr>
        <w:t xml:space="preserve">Fruit flies of economic significance: their identification and bionomics. </w:t>
      </w:r>
      <w:r>
        <w:rPr>
          <w:rFonts w:ascii="Times New Roman" w:hAnsi="Times New Roman"/>
          <w:sz w:val="24"/>
          <w:szCs w:val="24"/>
        </w:rPr>
        <w:t>CAB International, Wallingford.</w:t>
      </w:r>
    </w:p>
    <w:p w14:paraId="3584484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Wibawa WD (2009) </w:t>
      </w:r>
      <w:r>
        <w:rPr>
          <w:rFonts w:ascii="Times New Roman" w:hAnsi="Times New Roman"/>
          <w:i/>
          <w:sz w:val="24"/>
          <w:szCs w:val="24"/>
        </w:rPr>
        <w:t xml:space="preserve">Standard operating procedure (SOP) manggis Kabupaten Sukabumi. </w:t>
      </w:r>
      <w:r>
        <w:rPr>
          <w:rFonts w:ascii="Times New Roman" w:hAnsi="Times New Roman"/>
          <w:sz w:val="24"/>
          <w:szCs w:val="24"/>
        </w:rPr>
        <w:t>Direktorat Budidaya Tanaman Buah, Direktorat Jenderal Hortikultura, Departemen Pertanian, Indonesia.</w:t>
      </w:r>
    </w:p>
    <w:p w14:paraId="2ED4927F"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Williams DJ (2004) </w:t>
      </w:r>
      <w:r>
        <w:rPr>
          <w:rFonts w:ascii="Times New Roman" w:hAnsi="Times New Roman"/>
          <w:i/>
          <w:sz w:val="24"/>
          <w:szCs w:val="24"/>
        </w:rPr>
        <w:t xml:space="preserve">Mealybugs of Southern Asia. </w:t>
      </w:r>
      <w:r>
        <w:rPr>
          <w:rFonts w:ascii="Times New Roman" w:hAnsi="Times New Roman"/>
          <w:sz w:val="24"/>
          <w:szCs w:val="24"/>
        </w:rPr>
        <w:t>Natural History Museum and Southdene, Kuala Lumpur.</w:t>
      </w:r>
    </w:p>
    <w:p w14:paraId="2C04E46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Williams DJ, Watson GW (1988a) </w:t>
      </w:r>
      <w:r>
        <w:rPr>
          <w:rFonts w:ascii="Times New Roman" w:hAnsi="Times New Roman"/>
          <w:i/>
          <w:sz w:val="24"/>
          <w:szCs w:val="24"/>
        </w:rPr>
        <w:t>The scale insects of the tropical South Pacific region: part i. the armoured scales (Diaspididae)</w:t>
      </w:r>
      <w:r>
        <w:rPr>
          <w:rFonts w:ascii="Times New Roman" w:hAnsi="Times New Roman"/>
          <w:sz w:val="24"/>
          <w:szCs w:val="24"/>
        </w:rPr>
        <w:t>. CAB International, Wallingford.</w:t>
      </w:r>
    </w:p>
    <w:p w14:paraId="52BB548E"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Williams DJ, Watson GW (1988b) </w:t>
      </w:r>
      <w:r>
        <w:rPr>
          <w:rFonts w:ascii="Times New Roman" w:hAnsi="Times New Roman"/>
          <w:i/>
          <w:sz w:val="24"/>
          <w:szCs w:val="24"/>
        </w:rPr>
        <w:t xml:space="preserve">The scale insects of the tropical South Pacific region: part ii. the mealybugs (Pseudococcidae). </w:t>
      </w:r>
      <w:r>
        <w:rPr>
          <w:rFonts w:ascii="Times New Roman" w:hAnsi="Times New Roman"/>
          <w:sz w:val="24"/>
          <w:szCs w:val="24"/>
        </w:rPr>
        <w:t>CAB International, Wallingford.</w:t>
      </w:r>
    </w:p>
    <w:p w14:paraId="77A79F34"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 xml:space="preserve">Williams ML (1997) The immature stages. In Ben-Dov Y, Hodgson CJ (eds) </w:t>
      </w:r>
      <w:r>
        <w:rPr>
          <w:rFonts w:ascii="Times New Roman" w:hAnsi="Times New Roman"/>
          <w:i/>
          <w:sz w:val="24"/>
          <w:szCs w:val="24"/>
        </w:rPr>
        <w:t>Soft scale insects: their biology, natural enemies and control. Vol. 7A</w:t>
      </w:r>
      <w:r>
        <w:rPr>
          <w:rFonts w:ascii="Times New Roman" w:hAnsi="Times New Roman"/>
          <w:sz w:val="24"/>
          <w:szCs w:val="24"/>
        </w:rPr>
        <w:t xml:space="preserve"> 31–48. Elsevier Science Publishers B.V., Amsterdam.</w:t>
      </w:r>
    </w:p>
    <w:p w14:paraId="74938300"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Windle C (2011) Electric ant. DEEDI, Queensland. http://www.dpi.gld.gov.au/4790_6453.htm Accessed 24 November 2011.</w:t>
      </w:r>
    </w:p>
    <w:p w14:paraId="5A15939B"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WTO (1995) The WTO agreement on the application of sanitary and phytosanitary measures (SPS agreement). World Trade Organization, Geneva.</w:t>
      </w:r>
    </w:p>
    <w:p w14:paraId="08CC7DD9"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t>Yaacob O, Tindall HD (1995) Mangosteen cultivation. FAO Plant production and protection paper 129. Food and Agriculture Organization of the United Nations, Rome.</w:t>
      </w:r>
    </w:p>
    <w:p w14:paraId="2804ADD3" w14:textId="77777777" w:rsidR="009D3DC8" w:rsidRDefault="009D3DC8">
      <w:pPr>
        <w:tabs>
          <w:tab w:val="left" w:pos="0"/>
        </w:tabs>
        <w:spacing w:after="240"/>
        <w:rPr>
          <w:rFonts w:ascii="Times New Roman" w:hAnsi="Times New Roman"/>
          <w:sz w:val="24"/>
          <w:szCs w:val="24"/>
        </w:rPr>
      </w:pPr>
      <w:r>
        <w:rPr>
          <w:rFonts w:ascii="Times New Roman" w:hAnsi="Times New Roman"/>
          <w:sz w:val="24"/>
          <w:szCs w:val="24"/>
        </w:rPr>
        <w:lastRenderedPageBreak/>
        <w:t xml:space="preserve">Yunus A, Ho TH (1980) </w:t>
      </w:r>
      <w:r>
        <w:rPr>
          <w:rFonts w:ascii="Times New Roman" w:hAnsi="Times New Roman"/>
          <w:i/>
          <w:sz w:val="24"/>
          <w:szCs w:val="24"/>
        </w:rPr>
        <w:t>List of economic pests, host plants, parasites and predators in West Malaysia (1920-1978)</w:t>
      </w:r>
      <w:r>
        <w:rPr>
          <w:rFonts w:ascii="Times New Roman" w:hAnsi="Times New Roman"/>
          <w:sz w:val="24"/>
          <w:szCs w:val="24"/>
        </w:rPr>
        <w:t>. Bulletin no. 152, Ministry of Agriculture, Kuala Lumpur.</w:t>
      </w:r>
    </w:p>
    <w:p w14:paraId="568D2FC6" w14:textId="77777777" w:rsidR="009D3DC8" w:rsidRDefault="009D3DC8">
      <w:pPr>
        <w:tabs>
          <w:tab w:val="left" w:pos="0"/>
        </w:tabs>
        <w:rPr>
          <w:rFonts w:ascii="Times New Roman" w:hAnsi="Times New Roman"/>
          <w:sz w:val="24"/>
          <w:szCs w:val="24"/>
        </w:rPr>
      </w:pPr>
      <w:r>
        <w:rPr>
          <w:rFonts w:ascii="Times New Roman" w:hAnsi="Times New Roman"/>
          <w:sz w:val="24"/>
          <w:szCs w:val="24"/>
        </w:rPr>
        <w:t xml:space="preserve">Zhang ZQ (2003) </w:t>
      </w:r>
      <w:r>
        <w:rPr>
          <w:rFonts w:ascii="Times New Roman" w:hAnsi="Times New Roman"/>
          <w:i/>
          <w:sz w:val="24"/>
          <w:szCs w:val="24"/>
        </w:rPr>
        <w:t xml:space="preserve">Mites of greenhouses: identification, biology and control. </w:t>
      </w:r>
      <w:r>
        <w:rPr>
          <w:rFonts w:ascii="Times New Roman" w:hAnsi="Times New Roman"/>
          <w:sz w:val="24"/>
          <w:szCs w:val="24"/>
        </w:rPr>
        <w:t>CABI Publishing, Wallingford.</w:t>
      </w:r>
    </w:p>
    <w:p w14:paraId="016E9AA5" w14:textId="77777777" w:rsidR="009D3DC8" w:rsidRDefault="009D3DC8"/>
    <w:p w14:paraId="0B2F6C02" w14:textId="77777777" w:rsidR="009D3DC8" w:rsidRDefault="009D3DC8"/>
    <w:sectPr w:rsidR="009D3DC8">
      <w:headerReference w:type="default" r:id="rId63"/>
      <w:type w:val="odd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8A904" w14:textId="77777777" w:rsidR="00CB6C07" w:rsidRDefault="00CB6C07">
      <w:pPr>
        <w:spacing w:after="0" w:line="240" w:lineRule="auto"/>
      </w:pPr>
      <w:r>
        <w:separator/>
      </w:r>
    </w:p>
  </w:endnote>
  <w:endnote w:type="continuationSeparator" w:id="0">
    <w:p w14:paraId="60252A9C" w14:textId="77777777" w:rsidR="00CB6C07" w:rsidRDefault="00CB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sans-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E4E5A" w14:textId="77777777" w:rsidR="00A0465C" w:rsidRDefault="00A04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2442" w14:textId="77777777" w:rsidR="009D3DC8" w:rsidRDefault="009D3DC8">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iv</w:t>
    </w:r>
    <w:r>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656C" w14:textId="77777777" w:rsidR="00A0465C" w:rsidRDefault="00A046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7E5C" w14:textId="77777777" w:rsidR="009D3DC8" w:rsidRDefault="009D3DC8">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ix</w:t>
    </w:r>
    <w:r>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FAC8" w14:textId="77777777" w:rsidR="009D3DC8" w:rsidRDefault="009D3DC8">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x</w:t>
    </w:r>
    <w:r>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55BB" w14:textId="77777777" w:rsidR="009D3DC8" w:rsidRDefault="009D3DC8">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70</w:t>
    </w:r>
    <w:r>
      <w:rPr>
        <w:rFonts w:ascii="Times New Roman" w:hAnsi="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2F0F0" w14:textId="77777777" w:rsidR="009D3DC8" w:rsidRDefault="009D3DC8">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129</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D51EB" w14:textId="77777777" w:rsidR="00CB6C07" w:rsidRDefault="00CB6C07">
      <w:pPr>
        <w:spacing w:after="0" w:line="240" w:lineRule="auto"/>
      </w:pPr>
      <w:r>
        <w:separator/>
      </w:r>
    </w:p>
  </w:footnote>
  <w:footnote w:type="continuationSeparator" w:id="0">
    <w:p w14:paraId="456912AB" w14:textId="77777777" w:rsidR="00CB6C07" w:rsidRDefault="00CB6C07">
      <w:pPr>
        <w:spacing w:after="0" w:line="240" w:lineRule="auto"/>
      </w:pPr>
      <w:r>
        <w:continuationSeparator/>
      </w:r>
    </w:p>
  </w:footnote>
  <w:footnote w:id="1">
    <w:p w14:paraId="68B0C6D7" w14:textId="77777777" w:rsidR="009D3DC8" w:rsidRDefault="009D3DC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 pest is any species, strain or biotype of plant, animal, or pathogenic agent injurious to plants or plant products.</w:t>
      </w:r>
    </w:p>
  </w:footnote>
  <w:footnote w:id="2">
    <w:p w14:paraId="60C90616" w14:textId="77777777" w:rsidR="009D3DC8" w:rsidRDefault="009D3DC8">
      <w:pPr>
        <w:pStyle w:val="FootnoteText"/>
        <w:spacing w:after="0" w:line="240" w:lineRule="auto"/>
        <w:rPr>
          <w:rFonts w:ascii="Times New Roman" w:hAnsi="Times New Roman"/>
        </w:rPr>
      </w:pPr>
      <w:r>
        <w:rPr>
          <w:rStyle w:val="FootnoteReference"/>
          <w:rFonts w:ascii="Times New Roman" w:hAnsi="Times New Roman"/>
        </w:rPr>
        <w:footnoteRef/>
      </w:r>
      <w:r>
        <w:rPr>
          <w:rFonts w:ascii="Times New Roman" w:hAnsi="Times New Roman"/>
        </w:rPr>
        <w:t xml:space="preserve"> In earlier qualitative IRAs, the scale for the impact scores went from A to F and did not explicitly allow for the rating ‘indiscernible’ at all four levels. This combination might be applicable for some criteria. In this report, the impact scale of A-F has changed to become B-G and a new lowest category A (‘indiscernible’ at all four levels) was added. The rules for combining impacts in Table 2.4 were adjusted accordingly. </w:t>
      </w:r>
    </w:p>
  </w:footnote>
  <w:footnote w:id="3">
    <w:p w14:paraId="1AFB6DFC" w14:textId="77777777" w:rsidR="009D3DC8" w:rsidRDefault="009D3DC8">
      <w:pPr>
        <w:pStyle w:val="FootnoteText"/>
        <w:spacing w:after="0" w:line="240" w:lineRule="auto"/>
        <w:rPr>
          <w:rFonts w:ascii="Times New Roman" w:hAnsi="Times New Roman"/>
        </w:rPr>
      </w:pPr>
      <w:r>
        <w:rPr>
          <w:rStyle w:val="FootnoteReference"/>
          <w:rFonts w:ascii="Times New Roman" w:hAnsi="Times New Roman"/>
        </w:rPr>
        <w:footnoteRef/>
      </w:r>
      <w:r>
        <w:rPr>
          <w:rFonts w:ascii="Times New Roman" w:hAnsi="Times New Roman"/>
        </w:rPr>
        <w:t xml:space="preserve"> The decision rules for determining the consequence impact score are presented in a simpler form in Table 2.3 from earlier IRAs, to make the table easier to use. The outcome of the decision rules is the same as the previous table and makes no difference to the final impact score.</w:t>
      </w:r>
    </w:p>
  </w:footnote>
  <w:footnote w:id="4">
    <w:p w14:paraId="3AB716EB" w14:textId="77777777" w:rsidR="009D3DC8" w:rsidRDefault="009D3DC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Map modified from http://www.enchantedlearning.com/asia/indonesia/outlinemap/ and http://www.seasite.niu.edu/indonesian/indonesian-map/indo-map-fs.htm.</w:t>
      </w:r>
    </w:p>
  </w:footnote>
  <w:footnote w:id="5">
    <w:p w14:paraId="1CF6FBF5" w14:textId="77777777" w:rsidR="009D3DC8" w:rsidRDefault="009D3DC8">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This pest categorisation table does not represent a comprehensive list of all the pests associated with the entire plant of an imported commodity. Reference to soilborne nematodes, soiborne pathogens, wood borer pests, root pests or pathogens, and secondary pests have not been listed or have been deleted from the table, as they are not directly related to the export pathway of fresh mangosteen fruit and would be addressed by Australia’s current approach to contaminating pests.</w:t>
      </w:r>
    </w:p>
  </w:footnote>
  <w:footnote w:id="6">
    <w:p w14:paraId="4A2C9D87" w14:textId="77777777" w:rsidR="009D3DC8" w:rsidRDefault="009D3DC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Australian Government Department of Health and Ageing is responsible for human health aspects of quarantine.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E41B" w14:textId="77777777" w:rsidR="00A0465C" w:rsidRDefault="00A0465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AC97F" w14:textId="77777777" w:rsidR="009D3DC8" w:rsidRDefault="009D3DC8">
    <w:pPr>
      <w:pStyle w:val="Header"/>
      <w:rPr>
        <w:rFonts w:ascii="Times New Roman" w:hAnsi="Times New Roman"/>
        <w:b/>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BDCE4" w14:textId="77777777" w:rsidR="009D3DC8" w:rsidRDefault="009D3DC8">
    <w:pPr>
      <w:pStyle w:val="Header"/>
      <w:ind w:right="-164"/>
      <w:rPr>
        <w:rFonts w:ascii="Times New Roman" w:hAnsi="Times New Roman"/>
        <w:b/>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Method for pest risk analysis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12AD" w14:textId="77777777" w:rsidR="009D3DC8" w:rsidRDefault="009D3DC8">
    <w:pPr>
      <w:pStyle w:val="Header"/>
      <w:ind w:right="-164"/>
      <w:rPr>
        <w:rFonts w:ascii="Times New Roman" w:hAnsi="Times New Roman"/>
        <w:b/>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Commercial production practices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31A5E" w14:textId="77777777" w:rsidR="009D3DC8" w:rsidRDefault="009D3DC8">
    <w:pPr>
      <w:pStyle w:val="Header"/>
      <w:ind w:right="-164"/>
      <w:rPr>
        <w:rFonts w:ascii="Times New Roman" w:hAnsi="Times New Roman"/>
        <w:b/>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Pest risk assessments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F691" w14:textId="77777777" w:rsidR="009D3DC8" w:rsidRDefault="009D3DC8">
    <w:pPr>
      <w:pStyle w:val="Header"/>
      <w:ind w:right="-164"/>
      <w:rPr>
        <w:rFonts w:ascii="Times New Roman" w:hAnsi="Times New Roman"/>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Pest risk assessments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32E0" w14:textId="77777777" w:rsidR="009D3DC8" w:rsidRDefault="009D3DC8">
    <w:pPr>
      <w:pStyle w:val="Header"/>
      <w:ind w:right="-164"/>
      <w:rPr>
        <w:rFonts w:ascii="Times New Roman" w:hAnsi="Times New Roman"/>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t>Pest risk assessments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C349F" w14:textId="77777777" w:rsidR="009D3DC8" w:rsidRDefault="009D3DC8">
    <w:pPr>
      <w:pStyle w:val="Header"/>
      <w:ind w:right="-164"/>
      <w:rPr>
        <w:rFonts w:ascii="Times New Roman" w:hAnsi="Times New Roman"/>
        <w:b/>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Pest risk management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763E" w14:textId="77777777" w:rsidR="009D3DC8" w:rsidRDefault="009D3DC8">
    <w:pPr>
      <w:pStyle w:val="Header"/>
      <w:tabs>
        <w:tab w:val="right" w:pos="14040"/>
      </w:tabs>
      <w:rPr>
        <w: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C3E5D" w14:textId="77777777" w:rsidR="009D3DC8" w:rsidRDefault="009D3DC8">
    <w:pPr>
      <w:pStyle w:val="Header"/>
      <w:tabs>
        <w:tab w:val="left" w:pos="8080"/>
        <w:tab w:val="right" w:pos="14034"/>
      </w:tabs>
      <w:ind w:left="-851" w:right="-1118"/>
      <w:rPr>
        <w:rFonts w:ascii="Times New Roman" w:hAnsi="Times New Roman"/>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t>Appendix 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D6D0B" w14:textId="77777777" w:rsidR="009D3DC8" w:rsidRDefault="009D3DC8">
    <w:pPr>
      <w:pStyle w:val="Header"/>
      <w:tabs>
        <w:tab w:val="right" w:pos="14040"/>
      </w:tabs>
      <w:rPr>
        <w:rFonts w:ascii="Times New Roman" w:hAnsi="Times New Roman"/>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Appendix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951B" w14:textId="77777777" w:rsidR="009D3DC8" w:rsidRDefault="009D3DC8">
    <w:pPr>
      <w:pStyle w:val="Header"/>
      <w:rPr>
        <w:i/>
      </w:rPr>
    </w:pPr>
    <w:r>
      <w:rPr>
        <w:i/>
      </w:rPr>
      <w:t xml:space="preserve"> </w:t>
    </w:r>
    <w:r>
      <w:rPr>
        <w:rFonts w:ascii="Times New Roman" w:hAnsi="Times New Roman"/>
        <w:i/>
      </w:rPr>
      <w:t>Final report: Mangosteen fruit from Indonesia</w:t>
    </w:r>
    <w:r>
      <w:rPr>
        <w:i/>
      </w:rPr>
      <w:tab/>
    </w:r>
    <w:r>
      <w:rPr>
        <w:i/>
      </w:rPr>
      <w:tab/>
    </w:r>
    <w:r>
      <w:rPr>
        <w:rFonts w:ascii="Times New Roman" w:hAnsi="Times New Roman"/>
        <w:i/>
      </w:rPr>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2638" w14:textId="77777777" w:rsidR="009D3DC8" w:rsidRDefault="009D3DC8">
    <w:pPr>
      <w:pStyle w:val="Header"/>
      <w:tabs>
        <w:tab w:val="right" w:pos="14040"/>
      </w:tabs>
      <w:rPr>
        <w:rFonts w:ascii="Times New Roman" w:hAnsi="Times New Roman"/>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Appendix C</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4BAB" w14:textId="77777777" w:rsidR="009D3DC8" w:rsidRDefault="009D3DC8">
    <w:pPr>
      <w:pStyle w:val="Header"/>
      <w:tabs>
        <w:tab w:val="right" w:pos="14040"/>
      </w:tabs>
      <w:rPr>
        <w:rFonts w:ascii="Times New Roman" w:hAnsi="Times New Roman"/>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Appendix 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9586" w14:textId="77777777" w:rsidR="009D3DC8" w:rsidRDefault="009D3DC8">
    <w:pPr>
      <w:pStyle w:val="Header"/>
      <w:tabs>
        <w:tab w:val="right" w:pos="14040"/>
      </w:tabs>
      <w:rPr>
        <w:rFonts w:ascii="Times New Roman" w:hAnsi="Times New Roman"/>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Glossary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F1B1" w14:textId="77777777" w:rsidR="009D3DC8" w:rsidRDefault="009D3DC8">
    <w:pPr>
      <w:pStyle w:val="Header"/>
      <w:tabs>
        <w:tab w:val="right" w:pos="14040"/>
      </w:tabs>
      <w:rPr>
        <w:rFonts w:ascii="Times New Roman" w:hAnsi="Times New Roman"/>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DE704" w14:textId="77777777" w:rsidR="00A0465C" w:rsidRDefault="00A046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A1DB" w14:textId="77777777" w:rsidR="009D3DC8" w:rsidRDefault="009D3DC8">
    <w:pPr>
      <w:pStyle w:val="Header"/>
      <w:rPr>
        <w:i/>
      </w:rPr>
    </w:pPr>
    <w:r>
      <w:rPr>
        <w:rFonts w:ascii="Times New Roman" w:hAnsi="Times New Roman"/>
        <w:i/>
      </w:rPr>
      <w:t>Final report: Mangosteen fruit from Indonesia</w:t>
    </w:r>
    <w:r>
      <w:rPr>
        <w:i/>
      </w:rPr>
      <w:tab/>
    </w:r>
    <w:r>
      <w:rPr>
        <w:i/>
      </w:rPr>
      <w:tab/>
    </w:r>
    <w:r>
      <w:rPr>
        <w:rFonts w:ascii="Times New Roman" w:hAnsi="Times New Roman"/>
        <w:i/>
      </w:rPr>
      <w:t>Tables and Figures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8E27" w14:textId="77777777" w:rsidR="009D3DC8" w:rsidRDefault="009D3DC8">
    <w:pPr>
      <w:pStyle w:val="Header"/>
      <w:rPr>
        <w:i/>
      </w:rPr>
    </w:pPr>
    <w:r>
      <w:rPr>
        <w:rFonts w:ascii="Times New Roman" w:hAnsi="Times New Roman"/>
        <w:i/>
      </w:rPr>
      <w:t>Final report: Mangosteen fruit from Indonesia</w:t>
    </w:r>
    <w:r>
      <w:rPr>
        <w:i/>
      </w:rPr>
      <w:tab/>
    </w:r>
    <w:r>
      <w:rPr>
        <w:i/>
      </w:rPr>
      <w:tab/>
    </w:r>
    <w:r>
      <w:rPr>
        <w:rFonts w:ascii="Times New Roman" w:hAnsi="Times New Roman"/>
        <w:i/>
      </w:rPr>
      <w:t>Maps of Australia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837F" w14:textId="77777777" w:rsidR="009D3DC8" w:rsidRDefault="009D3DC8">
    <w:pPr>
      <w:pStyle w:val="Header"/>
      <w:rPr>
        <w:b/>
        <w:i/>
      </w:rPr>
    </w:pPr>
    <w:r>
      <w:rPr>
        <w:rFonts w:ascii="Times New Roman" w:hAnsi="Times New Roman"/>
        <w:i/>
      </w:rPr>
      <w:t>Final report: Mangosteen fruit from Indonesia</w:t>
    </w:r>
    <w:r>
      <w:rPr>
        <w:i/>
      </w:rPr>
      <w:tab/>
    </w:r>
    <w:r>
      <w:rPr>
        <w:i/>
      </w:rPr>
      <w:tab/>
    </w:r>
    <w:r>
      <w:rPr>
        <w:rFonts w:ascii="Times New Roman" w:hAnsi="Times New Roman"/>
        <w:i/>
      </w:rPr>
      <w:t>Diagram of a mangosteen fruit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95E3" w14:textId="77777777" w:rsidR="009D3DC8" w:rsidRDefault="009D3DC8">
    <w:pPr>
      <w:pStyle w:val="Header"/>
      <w:rPr>
        <w:b/>
        <w:i/>
      </w:rPr>
    </w:pPr>
    <w:r>
      <w:rPr>
        <w:rFonts w:ascii="Times New Roman" w:hAnsi="Times New Roman"/>
        <w:i/>
      </w:rPr>
      <w:t>Final report: Mangosteen fruit from Indonesia</w:t>
    </w:r>
    <w:r>
      <w:rPr>
        <w:i/>
      </w:rPr>
      <w:tab/>
    </w:r>
    <w:r>
      <w:rPr>
        <w:i/>
      </w:rPr>
      <w:tab/>
    </w:r>
    <w:r>
      <w:rPr>
        <w:rFonts w:ascii="Times New Roman" w:hAnsi="Times New Roman"/>
        <w:i/>
      </w:rPr>
      <w:t>Acronyms and abbreviations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991D" w14:textId="77777777" w:rsidR="009D3DC8" w:rsidRDefault="009D3DC8">
    <w:pPr>
      <w:pStyle w:val="Header"/>
      <w:rPr>
        <w:rFonts w:ascii="Times New Roman" w:hAnsi="Times New Roman"/>
        <w:b/>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Abbreviations of units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BA39D" w14:textId="77777777" w:rsidR="009D3DC8" w:rsidRDefault="009D3DC8">
    <w:pPr>
      <w:pStyle w:val="Header"/>
      <w:rPr>
        <w:rFonts w:ascii="Times New Roman" w:hAnsi="Times New Roman"/>
        <w:b/>
        <w:i/>
      </w:rPr>
    </w:pPr>
    <w:r>
      <w:rPr>
        <w:rFonts w:ascii="Times New Roman" w:hAnsi="Times New Roman"/>
        <w:i/>
      </w:rPr>
      <w:t>Final report: Mangosteen fruit from Indonesia</w:t>
    </w:r>
    <w:r>
      <w:rPr>
        <w:rFonts w:ascii="Times New Roman" w:hAnsi="Times New Roman"/>
        <w:i/>
      </w:rPr>
      <w:tab/>
    </w:r>
    <w:r>
      <w:rPr>
        <w:rFonts w:ascii="Times New Roman" w:hAnsi="Times New Roman"/>
        <w:i/>
      </w:rPr>
      <w:tab/>
      <w:t>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1" w15:restartNumberingAfterBreak="0">
    <w:nsid w:val="090B13A5"/>
    <w:multiLevelType w:val="hybridMultilevel"/>
    <w:tmpl w:val="2E827DBA"/>
    <w:lvl w:ilvl="0" w:tplc="8BB4E426">
      <w:start w:val="1"/>
      <w:numFmt w:val="bullet"/>
      <w:pStyle w:val="Style1dotpoints"/>
      <w:lvlText w:val=""/>
      <w:lvlJc w:val="left"/>
      <w:pPr>
        <w:tabs>
          <w:tab w:val="num" w:pos="720"/>
        </w:tabs>
        <w:ind w:left="720" w:hanging="360"/>
      </w:pPr>
      <w:rPr>
        <w:rFonts w:ascii="Symbol" w:hAnsi="Symbol" w:hint="default"/>
      </w:rPr>
    </w:lvl>
    <w:lvl w:ilvl="1" w:tplc="1CEE1990" w:tentative="1">
      <w:start w:val="1"/>
      <w:numFmt w:val="bullet"/>
      <w:lvlText w:val="o"/>
      <w:lvlJc w:val="left"/>
      <w:pPr>
        <w:tabs>
          <w:tab w:val="num" w:pos="1440"/>
        </w:tabs>
        <w:ind w:left="1440" w:hanging="360"/>
      </w:pPr>
      <w:rPr>
        <w:rFonts w:ascii="Courier New" w:hAnsi="Courier New" w:cs="Wingdings" w:hint="default"/>
      </w:rPr>
    </w:lvl>
    <w:lvl w:ilvl="2" w:tplc="ED964EE8" w:tentative="1">
      <w:start w:val="1"/>
      <w:numFmt w:val="bullet"/>
      <w:lvlText w:val=""/>
      <w:lvlJc w:val="left"/>
      <w:pPr>
        <w:tabs>
          <w:tab w:val="num" w:pos="2160"/>
        </w:tabs>
        <w:ind w:left="2160" w:hanging="360"/>
      </w:pPr>
      <w:rPr>
        <w:rFonts w:ascii="Wingdings" w:hAnsi="Wingdings" w:hint="default"/>
      </w:rPr>
    </w:lvl>
    <w:lvl w:ilvl="3" w:tplc="8C7AB0E4" w:tentative="1">
      <w:start w:val="1"/>
      <w:numFmt w:val="bullet"/>
      <w:lvlText w:val=""/>
      <w:lvlJc w:val="left"/>
      <w:pPr>
        <w:tabs>
          <w:tab w:val="num" w:pos="2880"/>
        </w:tabs>
        <w:ind w:left="2880" w:hanging="360"/>
      </w:pPr>
      <w:rPr>
        <w:rFonts w:ascii="Symbol" w:hAnsi="Symbol" w:hint="default"/>
      </w:rPr>
    </w:lvl>
    <w:lvl w:ilvl="4" w:tplc="A260B360" w:tentative="1">
      <w:start w:val="1"/>
      <w:numFmt w:val="bullet"/>
      <w:lvlText w:val="o"/>
      <w:lvlJc w:val="left"/>
      <w:pPr>
        <w:tabs>
          <w:tab w:val="num" w:pos="3600"/>
        </w:tabs>
        <w:ind w:left="3600" w:hanging="360"/>
      </w:pPr>
      <w:rPr>
        <w:rFonts w:ascii="Courier New" w:hAnsi="Courier New" w:cs="Wingdings" w:hint="default"/>
      </w:rPr>
    </w:lvl>
    <w:lvl w:ilvl="5" w:tplc="F930443A" w:tentative="1">
      <w:start w:val="1"/>
      <w:numFmt w:val="bullet"/>
      <w:lvlText w:val=""/>
      <w:lvlJc w:val="left"/>
      <w:pPr>
        <w:tabs>
          <w:tab w:val="num" w:pos="4320"/>
        </w:tabs>
        <w:ind w:left="4320" w:hanging="360"/>
      </w:pPr>
      <w:rPr>
        <w:rFonts w:ascii="Wingdings" w:hAnsi="Wingdings" w:hint="default"/>
      </w:rPr>
    </w:lvl>
    <w:lvl w:ilvl="6" w:tplc="B9128974" w:tentative="1">
      <w:start w:val="1"/>
      <w:numFmt w:val="bullet"/>
      <w:lvlText w:val=""/>
      <w:lvlJc w:val="left"/>
      <w:pPr>
        <w:tabs>
          <w:tab w:val="num" w:pos="5040"/>
        </w:tabs>
        <w:ind w:left="5040" w:hanging="360"/>
      </w:pPr>
      <w:rPr>
        <w:rFonts w:ascii="Symbol" w:hAnsi="Symbol" w:hint="default"/>
      </w:rPr>
    </w:lvl>
    <w:lvl w:ilvl="7" w:tplc="9AE00F18" w:tentative="1">
      <w:start w:val="1"/>
      <w:numFmt w:val="bullet"/>
      <w:lvlText w:val="o"/>
      <w:lvlJc w:val="left"/>
      <w:pPr>
        <w:tabs>
          <w:tab w:val="num" w:pos="5760"/>
        </w:tabs>
        <w:ind w:left="5760" w:hanging="360"/>
      </w:pPr>
      <w:rPr>
        <w:rFonts w:ascii="Courier New" w:hAnsi="Courier New" w:cs="Wingdings" w:hint="default"/>
      </w:rPr>
    </w:lvl>
    <w:lvl w:ilvl="8" w:tplc="46686FB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A56960"/>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5D6326"/>
    <w:multiLevelType w:val="multilevel"/>
    <w:tmpl w:val="8B3ADAC8"/>
    <w:lvl w:ilvl="0">
      <w:start w:val="1"/>
      <w:numFmt w:val="bullet"/>
      <w:pStyle w:val="BAText1bullet"/>
      <w:lvlText w:val=""/>
      <w:lvlJc w:val="left"/>
      <w:pPr>
        <w:tabs>
          <w:tab w:val="num" w:pos="340"/>
        </w:tabs>
        <w:ind w:left="340" w:hanging="340"/>
      </w:pPr>
      <w:rPr>
        <w:rFonts w:ascii="Wingdings" w:hAnsi="Wingdings" w:hint="default"/>
        <w:sz w:val="18"/>
        <w:szCs w:val="18"/>
      </w:rPr>
    </w:lvl>
    <w:lvl w:ilvl="1">
      <w:start w:val="2"/>
      <w:numFmt w:val="none"/>
      <w:lvlText w:val="5.3."/>
      <w:lvlJc w:val="left"/>
      <w:pPr>
        <w:tabs>
          <w:tab w:val="num" w:pos="96"/>
        </w:tabs>
        <w:ind w:left="96" w:hanging="576"/>
      </w:pPr>
      <w:rPr>
        <w:rFonts w:hint="default"/>
      </w:rPr>
    </w:lvl>
    <w:lvl w:ilvl="2">
      <w:start w:val="1"/>
      <w:numFmt w:val="none"/>
      <w:lvlText w:val="4.4.2."/>
      <w:lvlJc w:val="left"/>
      <w:pPr>
        <w:tabs>
          <w:tab w:val="num" w:pos="240"/>
        </w:tabs>
        <w:ind w:left="240" w:hanging="720"/>
      </w:pPr>
      <w:rPr>
        <w:rFonts w:hint="default"/>
      </w:rPr>
    </w:lvl>
    <w:lvl w:ilvl="3">
      <w:start w:val="5"/>
      <w:numFmt w:val="none"/>
      <w:lvlText w:val="1"/>
      <w:lvlJc w:val="left"/>
      <w:pPr>
        <w:tabs>
          <w:tab w:val="num" w:pos="-120"/>
        </w:tabs>
        <w:ind w:left="-120" w:hanging="360"/>
      </w:pPr>
      <w:rPr>
        <w:rFonts w:hint="default"/>
      </w:rPr>
    </w:lvl>
    <w:lvl w:ilvl="4">
      <w:start w:val="1"/>
      <w:numFmt w:val="decimal"/>
      <w:lvlText w:val="%1.%2.%3.%4.%5"/>
      <w:lvlJc w:val="left"/>
      <w:pPr>
        <w:tabs>
          <w:tab w:val="num" w:pos="528"/>
        </w:tabs>
        <w:ind w:left="528" w:hanging="1008"/>
      </w:pPr>
      <w:rPr>
        <w:rFonts w:hint="default"/>
      </w:rPr>
    </w:lvl>
    <w:lvl w:ilvl="5">
      <w:start w:val="1"/>
      <w:numFmt w:val="decimal"/>
      <w:lvlText w:val="%1.%2.%3.%4.%5.%6"/>
      <w:lvlJc w:val="left"/>
      <w:pPr>
        <w:tabs>
          <w:tab w:val="num" w:pos="672"/>
        </w:tabs>
        <w:ind w:left="672" w:hanging="1152"/>
      </w:pPr>
      <w:rPr>
        <w:rFonts w:hint="default"/>
      </w:rPr>
    </w:lvl>
    <w:lvl w:ilvl="6">
      <w:start w:val="1"/>
      <w:numFmt w:val="bullet"/>
      <w:lvlText w:val="­"/>
      <w:lvlJc w:val="left"/>
      <w:pPr>
        <w:tabs>
          <w:tab w:val="num" w:pos="816"/>
        </w:tabs>
        <w:ind w:left="816" w:hanging="1296"/>
      </w:pPr>
      <w:rPr>
        <w:rFonts w:ascii="Courier New" w:hAnsi="Courier New" w:hint="default"/>
      </w:rPr>
    </w:lvl>
    <w:lvl w:ilvl="7">
      <w:start w:val="1"/>
      <w:numFmt w:val="decimal"/>
      <w:lvlText w:val="%1.%2.%3.%4.%5.%6.%7.%8"/>
      <w:lvlJc w:val="left"/>
      <w:pPr>
        <w:tabs>
          <w:tab w:val="num" w:pos="960"/>
        </w:tabs>
        <w:ind w:left="960" w:hanging="1440"/>
      </w:pPr>
      <w:rPr>
        <w:rFonts w:hint="default"/>
      </w:rPr>
    </w:lvl>
    <w:lvl w:ilvl="8">
      <w:start w:val="1"/>
      <w:numFmt w:val="decimal"/>
      <w:lvlText w:val="%1.%2.%3.%4.%5.%6.%7.%8.%9"/>
      <w:lvlJc w:val="left"/>
      <w:pPr>
        <w:tabs>
          <w:tab w:val="num" w:pos="1104"/>
        </w:tabs>
        <w:ind w:left="1104" w:hanging="1584"/>
      </w:pPr>
      <w:rPr>
        <w:rFonts w:hint="default"/>
      </w:rPr>
    </w:lvl>
  </w:abstractNum>
  <w:abstractNum w:abstractNumId="4" w15:restartNumberingAfterBreak="0">
    <w:nsid w:val="1E7D63AA"/>
    <w:multiLevelType w:val="multilevel"/>
    <w:tmpl w:val="5BECC44C"/>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D260A7"/>
    <w:multiLevelType w:val="multilevel"/>
    <w:tmpl w:val="803CFA7C"/>
    <w:lvl w:ilvl="0">
      <w:start w:val="1"/>
      <w:numFmt w:val="bullet"/>
      <w:lvlText w:val=""/>
      <w:lvlJc w:val="left"/>
      <w:pPr>
        <w:tabs>
          <w:tab w:val="num" w:pos="340"/>
        </w:tabs>
        <w:ind w:left="340" w:hanging="340"/>
      </w:pPr>
      <w:rPr>
        <w:rFonts w:ascii="Symbol" w:hAnsi="Symbol" w:hint="default"/>
        <w:sz w:val="16"/>
        <w:szCs w:val="16"/>
      </w:rPr>
    </w:lvl>
    <w:lvl w:ilvl="1">
      <w:start w:val="2"/>
      <w:numFmt w:val="none"/>
      <w:lvlText w:val="5.3."/>
      <w:lvlJc w:val="left"/>
      <w:pPr>
        <w:tabs>
          <w:tab w:val="num" w:pos="96"/>
        </w:tabs>
        <w:ind w:left="96" w:hanging="576"/>
      </w:pPr>
      <w:rPr>
        <w:rFonts w:hint="default"/>
      </w:rPr>
    </w:lvl>
    <w:lvl w:ilvl="2">
      <w:start w:val="1"/>
      <w:numFmt w:val="none"/>
      <w:lvlText w:val="4.4.2."/>
      <w:lvlJc w:val="left"/>
      <w:pPr>
        <w:tabs>
          <w:tab w:val="num" w:pos="240"/>
        </w:tabs>
        <w:ind w:left="240" w:hanging="720"/>
      </w:pPr>
      <w:rPr>
        <w:rFonts w:hint="default"/>
      </w:rPr>
    </w:lvl>
    <w:lvl w:ilvl="3">
      <w:start w:val="5"/>
      <w:numFmt w:val="none"/>
      <w:lvlText w:val="1"/>
      <w:lvlJc w:val="left"/>
      <w:pPr>
        <w:tabs>
          <w:tab w:val="num" w:pos="-120"/>
        </w:tabs>
        <w:ind w:left="-120" w:hanging="360"/>
      </w:pPr>
      <w:rPr>
        <w:rFonts w:hint="default"/>
      </w:rPr>
    </w:lvl>
    <w:lvl w:ilvl="4">
      <w:start w:val="1"/>
      <w:numFmt w:val="decimal"/>
      <w:lvlText w:val="%1.%2.%3.%4.%5"/>
      <w:lvlJc w:val="left"/>
      <w:pPr>
        <w:tabs>
          <w:tab w:val="num" w:pos="528"/>
        </w:tabs>
        <w:ind w:left="528" w:hanging="1008"/>
      </w:pPr>
      <w:rPr>
        <w:rFonts w:hint="default"/>
      </w:rPr>
    </w:lvl>
    <w:lvl w:ilvl="5">
      <w:start w:val="1"/>
      <w:numFmt w:val="decimal"/>
      <w:lvlText w:val="%1.%2.%3.%4.%5.%6"/>
      <w:lvlJc w:val="left"/>
      <w:pPr>
        <w:tabs>
          <w:tab w:val="num" w:pos="672"/>
        </w:tabs>
        <w:ind w:left="672" w:hanging="1152"/>
      </w:pPr>
      <w:rPr>
        <w:rFonts w:hint="default"/>
      </w:rPr>
    </w:lvl>
    <w:lvl w:ilvl="6">
      <w:start w:val="1"/>
      <w:numFmt w:val="bullet"/>
      <w:lvlText w:val="­"/>
      <w:lvlJc w:val="left"/>
      <w:pPr>
        <w:tabs>
          <w:tab w:val="num" w:pos="816"/>
        </w:tabs>
        <w:ind w:left="816" w:hanging="1296"/>
      </w:pPr>
      <w:rPr>
        <w:rFonts w:ascii="Courier New" w:hAnsi="Courier New" w:hint="default"/>
      </w:rPr>
    </w:lvl>
    <w:lvl w:ilvl="7">
      <w:start w:val="1"/>
      <w:numFmt w:val="decimal"/>
      <w:lvlText w:val="%1.%2.%3.%4.%5.%6.%7.%8"/>
      <w:lvlJc w:val="left"/>
      <w:pPr>
        <w:tabs>
          <w:tab w:val="num" w:pos="960"/>
        </w:tabs>
        <w:ind w:left="960" w:hanging="1440"/>
      </w:pPr>
      <w:rPr>
        <w:rFonts w:hint="default"/>
      </w:rPr>
    </w:lvl>
    <w:lvl w:ilvl="8">
      <w:start w:val="1"/>
      <w:numFmt w:val="decimal"/>
      <w:lvlText w:val="%1.%2.%3.%4.%5.%6.%7.%8.%9"/>
      <w:lvlJc w:val="left"/>
      <w:pPr>
        <w:tabs>
          <w:tab w:val="num" w:pos="1104"/>
        </w:tabs>
        <w:ind w:left="1104" w:hanging="1584"/>
      </w:pPr>
      <w:rPr>
        <w:rFonts w:hint="default"/>
      </w:rPr>
    </w:lvl>
  </w:abstractNum>
  <w:abstractNum w:abstractNumId="6" w15:restartNumberingAfterBreak="0">
    <w:nsid w:val="26D576D9"/>
    <w:multiLevelType w:val="multilevel"/>
    <w:tmpl w:val="52946A7C"/>
    <w:lvl w:ilvl="0">
      <w:start w:val="1"/>
      <w:numFmt w:val="bullet"/>
      <w:lvlText w:val=""/>
      <w:lvlJc w:val="left"/>
      <w:pPr>
        <w:tabs>
          <w:tab w:val="num" w:pos="340"/>
        </w:tabs>
        <w:ind w:left="340" w:hanging="340"/>
      </w:pPr>
      <w:rPr>
        <w:rFonts w:ascii="Symbol" w:hAnsi="Symbol" w:hint="default"/>
        <w:sz w:val="16"/>
        <w:szCs w:val="16"/>
      </w:rPr>
    </w:lvl>
    <w:lvl w:ilvl="1">
      <w:start w:val="2"/>
      <w:numFmt w:val="none"/>
      <w:lvlText w:val="5.3."/>
      <w:lvlJc w:val="left"/>
      <w:pPr>
        <w:tabs>
          <w:tab w:val="num" w:pos="96"/>
        </w:tabs>
        <w:ind w:left="96" w:hanging="576"/>
      </w:pPr>
      <w:rPr>
        <w:rFonts w:hint="default"/>
      </w:rPr>
    </w:lvl>
    <w:lvl w:ilvl="2">
      <w:start w:val="1"/>
      <w:numFmt w:val="none"/>
      <w:lvlText w:val="4.4.2."/>
      <w:lvlJc w:val="left"/>
      <w:pPr>
        <w:tabs>
          <w:tab w:val="num" w:pos="240"/>
        </w:tabs>
        <w:ind w:left="240" w:hanging="720"/>
      </w:pPr>
      <w:rPr>
        <w:rFonts w:hint="default"/>
      </w:rPr>
    </w:lvl>
    <w:lvl w:ilvl="3">
      <w:start w:val="5"/>
      <w:numFmt w:val="none"/>
      <w:lvlText w:val="1"/>
      <w:lvlJc w:val="left"/>
      <w:pPr>
        <w:tabs>
          <w:tab w:val="num" w:pos="-120"/>
        </w:tabs>
        <w:ind w:left="-120" w:hanging="360"/>
      </w:pPr>
      <w:rPr>
        <w:rFonts w:hint="default"/>
      </w:rPr>
    </w:lvl>
    <w:lvl w:ilvl="4">
      <w:start w:val="1"/>
      <w:numFmt w:val="decimal"/>
      <w:lvlText w:val="%1.%2.%3.%4.%5"/>
      <w:lvlJc w:val="left"/>
      <w:pPr>
        <w:tabs>
          <w:tab w:val="num" w:pos="528"/>
        </w:tabs>
        <w:ind w:left="528" w:hanging="1008"/>
      </w:pPr>
      <w:rPr>
        <w:rFonts w:hint="default"/>
      </w:rPr>
    </w:lvl>
    <w:lvl w:ilvl="5">
      <w:start w:val="1"/>
      <w:numFmt w:val="decimal"/>
      <w:lvlText w:val="%1.%2.%3.%4.%5.%6"/>
      <w:lvlJc w:val="left"/>
      <w:pPr>
        <w:tabs>
          <w:tab w:val="num" w:pos="672"/>
        </w:tabs>
        <w:ind w:left="672" w:hanging="1152"/>
      </w:pPr>
      <w:rPr>
        <w:rFonts w:hint="default"/>
      </w:rPr>
    </w:lvl>
    <w:lvl w:ilvl="6">
      <w:start w:val="1"/>
      <w:numFmt w:val="bullet"/>
      <w:lvlText w:val="­"/>
      <w:lvlJc w:val="left"/>
      <w:pPr>
        <w:tabs>
          <w:tab w:val="num" w:pos="816"/>
        </w:tabs>
        <w:ind w:left="816" w:hanging="1296"/>
      </w:pPr>
      <w:rPr>
        <w:rFonts w:ascii="Courier New" w:hAnsi="Courier New" w:hint="default"/>
      </w:rPr>
    </w:lvl>
    <w:lvl w:ilvl="7">
      <w:start w:val="1"/>
      <w:numFmt w:val="decimal"/>
      <w:lvlText w:val="%1.%2.%3.%4.%5.%6.%7.%8"/>
      <w:lvlJc w:val="left"/>
      <w:pPr>
        <w:tabs>
          <w:tab w:val="num" w:pos="960"/>
        </w:tabs>
        <w:ind w:left="960" w:hanging="1440"/>
      </w:pPr>
      <w:rPr>
        <w:rFonts w:hint="default"/>
      </w:rPr>
    </w:lvl>
    <w:lvl w:ilvl="8">
      <w:start w:val="1"/>
      <w:numFmt w:val="decimal"/>
      <w:lvlText w:val="%1.%2.%3.%4.%5.%6.%7.%8.%9"/>
      <w:lvlJc w:val="left"/>
      <w:pPr>
        <w:tabs>
          <w:tab w:val="num" w:pos="1104"/>
        </w:tabs>
        <w:ind w:left="1104" w:hanging="1584"/>
      </w:pPr>
      <w:rPr>
        <w:rFonts w:hint="default"/>
      </w:rPr>
    </w:lvl>
  </w:abstractNum>
  <w:abstractNum w:abstractNumId="7" w15:restartNumberingAfterBreak="0">
    <w:nsid w:val="2A937D5F"/>
    <w:multiLevelType w:val="multilevel"/>
    <w:tmpl w:val="340AD4BC"/>
    <w:styleLink w:val="Style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1021" w:hanging="1021"/>
      </w:pPr>
      <w:rPr>
        <w:rFonts w:ascii="Arial Bold" w:hAnsi="Arial Bold"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BF76618"/>
    <w:multiLevelType w:val="hybridMultilevel"/>
    <w:tmpl w:val="897AAA44"/>
    <w:lvl w:ilvl="0" w:tplc="7B1C5F46">
      <w:start w:val="1"/>
      <w:numFmt w:val="bullet"/>
      <w:pStyle w:val="AQISBullet"/>
      <w:lvlText w:val=""/>
      <w:lvlJc w:val="left"/>
      <w:pPr>
        <w:tabs>
          <w:tab w:val="num" w:pos="360"/>
        </w:tabs>
        <w:ind w:left="360" w:hanging="360"/>
      </w:pPr>
      <w:rPr>
        <w:rFonts w:ascii="Symbol" w:hAnsi="Symbol" w:hint="default"/>
        <w:color w:val="auto"/>
      </w:rPr>
    </w:lvl>
    <w:lvl w:ilvl="1" w:tplc="7F5EDE98">
      <w:start w:val="1"/>
      <w:numFmt w:val="lowerLetter"/>
      <w:lvlText w:val="%2)"/>
      <w:lvlJc w:val="left"/>
      <w:pPr>
        <w:tabs>
          <w:tab w:val="num" w:pos="1440"/>
        </w:tabs>
        <w:ind w:left="1440" w:hanging="360"/>
      </w:pPr>
      <w:rPr>
        <w:rFonts w:hint="default"/>
        <w:color w:val="auto"/>
      </w:rPr>
    </w:lvl>
    <w:lvl w:ilvl="2" w:tplc="189808E6" w:tentative="1">
      <w:start w:val="1"/>
      <w:numFmt w:val="bullet"/>
      <w:lvlText w:val=""/>
      <w:lvlJc w:val="left"/>
      <w:pPr>
        <w:tabs>
          <w:tab w:val="num" w:pos="2160"/>
        </w:tabs>
        <w:ind w:left="2160" w:hanging="360"/>
      </w:pPr>
      <w:rPr>
        <w:rFonts w:ascii="Wingdings" w:hAnsi="Wingdings" w:hint="default"/>
      </w:rPr>
    </w:lvl>
    <w:lvl w:ilvl="3" w:tplc="B79A43BA" w:tentative="1">
      <w:start w:val="1"/>
      <w:numFmt w:val="bullet"/>
      <w:lvlText w:val=""/>
      <w:lvlJc w:val="left"/>
      <w:pPr>
        <w:tabs>
          <w:tab w:val="num" w:pos="2880"/>
        </w:tabs>
        <w:ind w:left="2880" w:hanging="360"/>
      </w:pPr>
      <w:rPr>
        <w:rFonts w:ascii="Symbol" w:hAnsi="Symbol" w:hint="default"/>
      </w:rPr>
    </w:lvl>
    <w:lvl w:ilvl="4" w:tplc="8E4ED038" w:tentative="1">
      <w:start w:val="1"/>
      <w:numFmt w:val="bullet"/>
      <w:lvlText w:val="o"/>
      <w:lvlJc w:val="left"/>
      <w:pPr>
        <w:tabs>
          <w:tab w:val="num" w:pos="3600"/>
        </w:tabs>
        <w:ind w:left="3600" w:hanging="360"/>
      </w:pPr>
      <w:rPr>
        <w:rFonts w:ascii="Courier New" w:hAnsi="Courier New" w:hint="default"/>
      </w:rPr>
    </w:lvl>
    <w:lvl w:ilvl="5" w:tplc="85FC95D0" w:tentative="1">
      <w:start w:val="1"/>
      <w:numFmt w:val="bullet"/>
      <w:lvlText w:val=""/>
      <w:lvlJc w:val="left"/>
      <w:pPr>
        <w:tabs>
          <w:tab w:val="num" w:pos="4320"/>
        </w:tabs>
        <w:ind w:left="4320" w:hanging="360"/>
      </w:pPr>
      <w:rPr>
        <w:rFonts w:ascii="Wingdings" w:hAnsi="Wingdings" w:hint="default"/>
      </w:rPr>
    </w:lvl>
    <w:lvl w:ilvl="6" w:tplc="D3F63F6C" w:tentative="1">
      <w:start w:val="1"/>
      <w:numFmt w:val="bullet"/>
      <w:lvlText w:val=""/>
      <w:lvlJc w:val="left"/>
      <w:pPr>
        <w:tabs>
          <w:tab w:val="num" w:pos="5040"/>
        </w:tabs>
        <w:ind w:left="5040" w:hanging="360"/>
      </w:pPr>
      <w:rPr>
        <w:rFonts w:ascii="Symbol" w:hAnsi="Symbol" w:hint="default"/>
      </w:rPr>
    </w:lvl>
    <w:lvl w:ilvl="7" w:tplc="5E902054" w:tentative="1">
      <w:start w:val="1"/>
      <w:numFmt w:val="bullet"/>
      <w:lvlText w:val="o"/>
      <w:lvlJc w:val="left"/>
      <w:pPr>
        <w:tabs>
          <w:tab w:val="num" w:pos="5760"/>
        </w:tabs>
        <w:ind w:left="5760" w:hanging="360"/>
      </w:pPr>
      <w:rPr>
        <w:rFonts w:ascii="Courier New" w:hAnsi="Courier New" w:hint="default"/>
      </w:rPr>
    </w:lvl>
    <w:lvl w:ilvl="8" w:tplc="7C36A51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221209"/>
    <w:multiLevelType w:val="multilevel"/>
    <w:tmpl w:val="1F266D3A"/>
    <w:styleLink w:val="StyleBulleted11pt"/>
    <w:lvl w:ilvl="0">
      <w:start w:val="1"/>
      <w:numFmt w:val="bullet"/>
      <w:lvlText w:val=""/>
      <w:lvlJc w:val="left"/>
      <w:pPr>
        <w:tabs>
          <w:tab w:val="num" w:pos="680"/>
        </w:tabs>
        <w:ind w:left="680" w:hanging="340"/>
      </w:pPr>
      <w:rPr>
        <w:rFonts w:ascii="Symbol" w:hAnsi="Symbol" w:hint="default"/>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7DE7EFB"/>
    <w:multiLevelType w:val="multilevel"/>
    <w:tmpl w:val="CE82E3A0"/>
    <w:lvl w:ilvl="0">
      <w:start w:val="1"/>
      <w:numFmt w:val="decimal"/>
      <w:pStyle w:val="Heading1"/>
      <w:lvlText w:val="%1"/>
      <w:lvlJc w:val="left"/>
      <w:pPr>
        <w:tabs>
          <w:tab w:val="num" w:pos="720"/>
        </w:tabs>
        <w:ind w:left="720" w:hanging="720"/>
      </w:pPr>
      <w:rPr>
        <w:rFonts w:ascii="Arial" w:eastAsia="Times New Roman" w:hAnsi="Arial" w:cs="Times New Roman" w:hint="default"/>
      </w:rPr>
    </w:lvl>
    <w:lvl w:ilvl="1">
      <w:start w:val="1"/>
      <w:numFmt w:val="decimal"/>
      <w:pStyle w:val="Heading2"/>
      <w:lvlText w:val="%1.%2"/>
      <w:lvlJc w:val="left"/>
      <w:pPr>
        <w:tabs>
          <w:tab w:val="num" w:pos="720"/>
        </w:tabs>
        <w:ind w:left="720" w:hanging="720"/>
      </w:pPr>
      <w:rPr>
        <w:rFonts w:cs="Times New Roman" w:hint="default"/>
      </w:rPr>
    </w:lvl>
    <w:lvl w:ilvl="2">
      <w:start w:val="1"/>
      <w:numFmt w:val="decimal"/>
      <w:pStyle w:val="Heading3"/>
      <w:lvlText w:val="%1.%2.%3"/>
      <w:lvlJc w:val="left"/>
      <w:pPr>
        <w:tabs>
          <w:tab w:val="num" w:pos="720"/>
        </w:tabs>
        <w:ind w:left="720" w:hanging="720"/>
      </w:pPr>
      <w:rPr>
        <w:rFonts w:ascii="Arial" w:hAnsi="Arial" w:cs="Arial"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15:restartNumberingAfterBreak="0">
    <w:nsid w:val="39C32691"/>
    <w:multiLevelType w:val="hybridMultilevel"/>
    <w:tmpl w:val="7E7CD362"/>
    <w:lvl w:ilvl="0" w:tplc="0C090005">
      <w:start w:val="1"/>
      <w:numFmt w:val="bullet"/>
      <w:lvlText w:val=""/>
      <w:lvlJc w:val="left"/>
      <w:pPr>
        <w:tabs>
          <w:tab w:val="num" w:pos="-360"/>
        </w:tabs>
        <w:ind w:left="360" w:hanging="360"/>
      </w:pPr>
      <w:rPr>
        <w:rFonts w:ascii="Wingdings" w:hAnsi="Wingdings" w:hint="default"/>
        <w:color w:val="auto"/>
        <w:sz w:val="16"/>
        <w:szCs w:val="16"/>
      </w:rPr>
    </w:lvl>
    <w:lvl w:ilvl="1" w:tplc="2EA4BF48">
      <w:start w:val="1"/>
      <w:numFmt w:val="bullet"/>
      <w:lvlText w:val="o"/>
      <w:lvlJc w:val="left"/>
      <w:pPr>
        <w:ind w:left="1440" w:hanging="360"/>
      </w:pPr>
      <w:rPr>
        <w:rFonts w:ascii="Courier New" w:hAnsi="Courier New" w:cs="Courier New" w:hint="default"/>
      </w:rPr>
    </w:lvl>
    <w:lvl w:ilvl="2" w:tplc="D938D968" w:tentative="1">
      <w:start w:val="1"/>
      <w:numFmt w:val="bullet"/>
      <w:lvlText w:val=""/>
      <w:lvlJc w:val="left"/>
      <w:pPr>
        <w:ind w:left="2160" w:hanging="360"/>
      </w:pPr>
      <w:rPr>
        <w:rFonts w:ascii="Wingdings" w:hAnsi="Wingdings" w:hint="default"/>
      </w:rPr>
    </w:lvl>
    <w:lvl w:ilvl="3" w:tplc="2B0A6E1C" w:tentative="1">
      <w:start w:val="1"/>
      <w:numFmt w:val="bullet"/>
      <w:lvlText w:val=""/>
      <w:lvlJc w:val="left"/>
      <w:pPr>
        <w:ind w:left="2880" w:hanging="360"/>
      </w:pPr>
      <w:rPr>
        <w:rFonts w:ascii="Symbol" w:hAnsi="Symbol" w:hint="default"/>
      </w:rPr>
    </w:lvl>
    <w:lvl w:ilvl="4" w:tplc="87C891B0" w:tentative="1">
      <w:start w:val="1"/>
      <w:numFmt w:val="bullet"/>
      <w:lvlText w:val="o"/>
      <w:lvlJc w:val="left"/>
      <w:pPr>
        <w:ind w:left="3600" w:hanging="360"/>
      </w:pPr>
      <w:rPr>
        <w:rFonts w:ascii="Courier New" w:hAnsi="Courier New" w:cs="Courier New" w:hint="default"/>
      </w:rPr>
    </w:lvl>
    <w:lvl w:ilvl="5" w:tplc="B9B020B0" w:tentative="1">
      <w:start w:val="1"/>
      <w:numFmt w:val="bullet"/>
      <w:lvlText w:val=""/>
      <w:lvlJc w:val="left"/>
      <w:pPr>
        <w:ind w:left="4320" w:hanging="360"/>
      </w:pPr>
      <w:rPr>
        <w:rFonts w:ascii="Wingdings" w:hAnsi="Wingdings" w:hint="default"/>
      </w:rPr>
    </w:lvl>
    <w:lvl w:ilvl="6" w:tplc="78CCAECC" w:tentative="1">
      <w:start w:val="1"/>
      <w:numFmt w:val="bullet"/>
      <w:lvlText w:val=""/>
      <w:lvlJc w:val="left"/>
      <w:pPr>
        <w:ind w:left="5040" w:hanging="360"/>
      </w:pPr>
      <w:rPr>
        <w:rFonts w:ascii="Symbol" w:hAnsi="Symbol" w:hint="default"/>
      </w:rPr>
    </w:lvl>
    <w:lvl w:ilvl="7" w:tplc="3EA6F2D0" w:tentative="1">
      <w:start w:val="1"/>
      <w:numFmt w:val="bullet"/>
      <w:lvlText w:val="o"/>
      <w:lvlJc w:val="left"/>
      <w:pPr>
        <w:ind w:left="5760" w:hanging="360"/>
      </w:pPr>
      <w:rPr>
        <w:rFonts w:ascii="Courier New" w:hAnsi="Courier New" w:cs="Courier New" w:hint="default"/>
      </w:rPr>
    </w:lvl>
    <w:lvl w:ilvl="8" w:tplc="9B0A4390" w:tentative="1">
      <w:start w:val="1"/>
      <w:numFmt w:val="bullet"/>
      <w:lvlText w:val=""/>
      <w:lvlJc w:val="left"/>
      <w:pPr>
        <w:ind w:left="6480" w:hanging="360"/>
      </w:pPr>
      <w:rPr>
        <w:rFonts w:ascii="Wingdings" w:hAnsi="Wingdings" w:hint="default"/>
      </w:rPr>
    </w:lvl>
  </w:abstractNum>
  <w:abstractNum w:abstractNumId="12" w15:restartNumberingAfterBreak="0">
    <w:nsid w:val="3C2B6B0C"/>
    <w:multiLevelType w:val="multilevel"/>
    <w:tmpl w:val="02D861D0"/>
    <w:lvl w:ilvl="0">
      <w:start w:val="1"/>
      <w:numFmt w:val="decimal"/>
      <w:pStyle w:val="BAHeader1"/>
      <w:lvlText w:val="%1."/>
      <w:lvlJc w:val="left"/>
      <w:pPr>
        <w:tabs>
          <w:tab w:val="num" w:pos="720"/>
        </w:tabs>
        <w:ind w:left="720" w:hanging="720"/>
      </w:pPr>
    </w:lvl>
    <w:lvl w:ilvl="1">
      <w:start w:val="1"/>
      <w:numFmt w:val="decimal"/>
      <w:pStyle w:val="StyleBAAppendixH2Left0cmFirstline0cm"/>
      <w:lvlText w:val="%2."/>
      <w:lvlJc w:val="left"/>
      <w:pPr>
        <w:tabs>
          <w:tab w:val="num" w:pos="1440"/>
        </w:tabs>
        <w:ind w:left="1440" w:hanging="720"/>
      </w:pPr>
    </w:lvl>
    <w:lvl w:ilvl="2">
      <w:start w:val="1"/>
      <w:numFmt w:val="decimal"/>
      <w:pStyle w:val="BAHeader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14" w15:restartNumberingAfterBreak="0">
    <w:nsid w:val="48C86D51"/>
    <w:multiLevelType w:val="multilevel"/>
    <w:tmpl w:val="81F05C36"/>
    <w:lvl w:ilvl="0">
      <w:start w:val="1"/>
      <w:numFmt w:val="decimal"/>
      <w:pStyle w:val="IRAheading1"/>
      <w:lvlText w:val="%1"/>
      <w:lvlJc w:val="left"/>
      <w:pPr>
        <w:tabs>
          <w:tab w:val="num" w:pos="1259"/>
        </w:tabs>
        <w:ind w:left="1259" w:hanging="1259"/>
      </w:pPr>
      <w:rPr>
        <w:rFonts w:hint="default"/>
      </w:rPr>
    </w:lvl>
    <w:lvl w:ilvl="1">
      <w:start w:val="1"/>
      <w:numFmt w:val="decimal"/>
      <w:pStyle w:val="IRAheading2"/>
      <w:lvlText w:val="%1.%2"/>
      <w:lvlJc w:val="left"/>
      <w:pPr>
        <w:tabs>
          <w:tab w:val="num" w:pos="1979"/>
        </w:tabs>
        <w:ind w:left="1979" w:hanging="1259"/>
      </w:pPr>
      <w:rPr>
        <w:rFonts w:hint="default"/>
      </w:rPr>
    </w:lvl>
    <w:lvl w:ilvl="2">
      <w:start w:val="1"/>
      <w:numFmt w:val="decimal"/>
      <w:pStyle w:val="IRAheading3"/>
      <w:lvlText w:val="%1.%2.%3"/>
      <w:lvlJc w:val="left"/>
      <w:pPr>
        <w:tabs>
          <w:tab w:val="num" w:pos="1259"/>
        </w:tabs>
        <w:ind w:left="1259" w:hanging="1259"/>
      </w:pPr>
      <w:rPr>
        <w:rFonts w:hint="default"/>
        <w:i w:val="0"/>
        <w:sz w:val="24"/>
        <w:szCs w:val="24"/>
      </w:rPr>
    </w:lvl>
    <w:lvl w:ilvl="3">
      <w:start w:val="1"/>
      <w:numFmt w:val="decimal"/>
      <w:pStyle w:val="IRAheading4"/>
      <w:lvlText w:val="%1.%2.%3.%4"/>
      <w:lvlJc w:val="left"/>
      <w:pPr>
        <w:tabs>
          <w:tab w:val="num" w:pos="1259"/>
        </w:tabs>
        <w:ind w:left="1259" w:hanging="125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A30575D"/>
    <w:multiLevelType w:val="multilevel"/>
    <w:tmpl w:val="4A4240E8"/>
    <w:lvl w:ilvl="0">
      <w:start w:val="1"/>
      <w:numFmt w:val="none"/>
      <w:pStyle w:val="BAAppend1"/>
      <w:lvlText w:val="Appendix B."/>
      <w:lvlJc w:val="left"/>
      <w:pPr>
        <w:tabs>
          <w:tab w:val="num" w:pos="432"/>
        </w:tabs>
        <w:ind w:left="432" w:hanging="432"/>
      </w:pPr>
      <w:rPr>
        <w:rFonts w:hint="default"/>
      </w:rPr>
    </w:lvl>
    <w:lvl w:ilvl="1">
      <w:start w:val="1"/>
      <w:numFmt w:val="decimal"/>
      <w:pStyle w:val="BAAppend2"/>
      <w:lvlText w:val="%1.%2."/>
      <w:lvlJc w:val="left"/>
      <w:pPr>
        <w:tabs>
          <w:tab w:val="num" w:pos="1116"/>
        </w:tabs>
        <w:ind w:left="1116" w:hanging="576"/>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DB56D3F"/>
    <w:multiLevelType w:val="multilevel"/>
    <w:tmpl w:val="2F1E05B4"/>
    <w:styleLink w:val="Style8"/>
    <w:lvl w:ilvl="0">
      <w:start w:val="3"/>
      <w:numFmt w:val="decimal"/>
      <w:lvlText w:val="%1"/>
      <w:lvlJc w:val="left"/>
      <w:pPr>
        <w:ind w:left="432" w:hanging="432"/>
      </w:pPr>
      <w:rPr>
        <w:rFonts w:hint="default"/>
      </w:rPr>
    </w:lvl>
    <w:lvl w:ilvl="1">
      <w:start w:val="1"/>
      <w:numFmt w:val="decimal"/>
      <w:lvlRestart w:val="0"/>
      <w:lvlText w:val="3.%2"/>
      <w:lvlJc w:val="left"/>
      <w:pPr>
        <w:ind w:left="576" w:hanging="576"/>
      </w:pPr>
      <w:rPr>
        <w:rFonts w:ascii="Arial Bold" w:hAnsi="Arial Bold"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F083B61"/>
    <w:multiLevelType w:val="multilevel"/>
    <w:tmpl w:val="D762553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0"/>
      <w:lvlText w:val="%2%1..%3"/>
      <w:lvlJc w:val="left"/>
      <w:pPr>
        <w:ind w:left="720" w:hanging="720"/>
      </w:pPr>
      <w:rPr>
        <w:rFonts w:ascii="Arial Bold" w:hAnsi="Arial Bold" w:hint="default"/>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F8903B2"/>
    <w:multiLevelType w:val="multilevel"/>
    <w:tmpl w:val="685ABE8E"/>
    <w:lvl w:ilvl="0">
      <w:start w:val="1"/>
      <w:numFmt w:val="decimal"/>
      <w:lvlText w:val="%1."/>
      <w:lvlJc w:val="left"/>
      <w:pPr>
        <w:tabs>
          <w:tab w:val="num" w:pos="432"/>
        </w:tabs>
        <w:ind w:left="432" w:hanging="432"/>
      </w:pPr>
      <w:rPr>
        <w:rFonts w:hint="default"/>
      </w:rPr>
    </w:lvl>
    <w:lvl w:ilvl="1">
      <w:start w:val="1"/>
      <w:numFmt w:val="decimal"/>
      <w:pStyle w:val="BAHeader2"/>
      <w:lvlText w:val="%1.%2"/>
      <w:lvlJc w:val="left"/>
      <w:pPr>
        <w:tabs>
          <w:tab w:val="num" w:pos="1116"/>
        </w:tabs>
        <w:ind w:left="1116" w:hanging="576"/>
      </w:pPr>
      <w:rPr>
        <w:rFonts w:hint="default"/>
        <w:sz w:val="28"/>
        <w:szCs w:val="28"/>
      </w:rPr>
    </w:lvl>
    <w:lvl w:ilvl="2">
      <w:start w:val="1"/>
      <w:numFmt w:val="decimal"/>
      <w:lvlText w:val="%1.%2.%3"/>
      <w:lvlJc w:val="left"/>
      <w:pPr>
        <w:tabs>
          <w:tab w:val="num" w:pos="862"/>
        </w:tabs>
        <w:ind w:left="862"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2570B3D"/>
    <w:multiLevelType w:val="multilevel"/>
    <w:tmpl w:val="AA726018"/>
    <w:styleLink w:val="Style6"/>
    <w:lvl w:ilvl="0">
      <w:start w:val="4"/>
      <w:numFmt w:val="decimal"/>
      <w:lvlText w:val="%1"/>
      <w:lvlJc w:val="left"/>
      <w:pPr>
        <w:ind w:left="432" w:hanging="432"/>
      </w:pPr>
      <w:rPr>
        <w:rFonts w:hint="default"/>
      </w:rPr>
    </w:lvl>
    <w:lvl w:ilvl="1">
      <w:start w:val="2"/>
      <w:numFmt w:val="decimal"/>
      <w:lvlRestart w:val="0"/>
      <w:lvlText w:val="4.%2"/>
      <w:lvlJc w:val="left"/>
      <w:pPr>
        <w:ind w:left="576" w:hanging="576"/>
      </w:pPr>
      <w:rPr>
        <w:rFonts w:ascii="Arial Bold" w:hAnsi="Arial Bold"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2B418AC"/>
    <w:multiLevelType w:val="multilevel"/>
    <w:tmpl w:val="9CB45150"/>
    <w:styleLink w:val="Style4"/>
    <w:lvl w:ilvl="0">
      <w:start w:val="2"/>
      <w:numFmt w:val="decimal"/>
      <w:lvlText w:val="%1"/>
      <w:lvlJc w:val="left"/>
      <w:pPr>
        <w:ind w:left="432" w:hanging="432"/>
      </w:pPr>
      <w:rPr>
        <w:rFonts w:hint="default"/>
      </w:rPr>
    </w:lvl>
    <w:lvl w:ilvl="1">
      <w:start w:val="2"/>
      <w:numFmt w:val="decimal"/>
      <w:lvlRestart w:val="0"/>
      <w:lvlText w:val="2.%2"/>
      <w:lvlJc w:val="left"/>
      <w:pPr>
        <w:ind w:left="576" w:hanging="576"/>
      </w:pPr>
      <w:rPr>
        <w:rFonts w:ascii="Arial Bold" w:hAnsi="Arial Bold"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A88575F"/>
    <w:multiLevelType w:val="hybridMultilevel"/>
    <w:tmpl w:val="3A3A0C3C"/>
    <w:lvl w:ilvl="0" w:tplc="0C090005">
      <w:start w:val="1"/>
      <w:numFmt w:val="bullet"/>
      <w:lvlText w:val=""/>
      <w:lvlJc w:val="left"/>
      <w:pPr>
        <w:tabs>
          <w:tab w:val="num" w:pos="-360"/>
        </w:tabs>
        <w:ind w:left="360" w:hanging="360"/>
      </w:pPr>
      <w:rPr>
        <w:rFonts w:ascii="Wingdings" w:hAnsi="Wingdings" w:hint="default"/>
        <w:color w:val="auto"/>
        <w:sz w:val="16"/>
        <w:szCs w:val="16"/>
      </w:rPr>
    </w:lvl>
    <w:lvl w:ilvl="1" w:tplc="2EA4BF48">
      <w:start w:val="1"/>
      <w:numFmt w:val="bullet"/>
      <w:lvlText w:val="o"/>
      <w:lvlJc w:val="left"/>
      <w:pPr>
        <w:ind w:left="1440" w:hanging="360"/>
      </w:pPr>
      <w:rPr>
        <w:rFonts w:ascii="Courier New" w:hAnsi="Courier New" w:cs="Courier New" w:hint="default"/>
      </w:rPr>
    </w:lvl>
    <w:lvl w:ilvl="2" w:tplc="D938D968" w:tentative="1">
      <w:start w:val="1"/>
      <w:numFmt w:val="bullet"/>
      <w:lvlText w:val=""/>
      <w:lvlJc w:val="left"/>
      <w:pPr>
        <w:ind w:left="2160" w:hanging="360"/>
      </w:pPr>
      <w:rPr>
        <w:rFonts w:ascii="Wingdings" w:hAnsi="Wingdings" w:hint="default"/>
      </w:rPr>
    </w:lvl>
    <w:lvl w:ilvl="3" w:tplc="2B0A6E1C" w:tentative="1">
      <w:start w:val="1"/>
      <w:numFmt w:val="bullet"/>
      <w:lvlText w:val=""/>
      <w:lvlJc w:val="left"/>
      <w:pPr>
        <w:ind w:left="2880" w:hanging="360"/>
      </w:pPr>
      <w:rPr>
        <w:rFonts w:ascii="Symbol" w:hAnsi="Symbol" w:hint="default"/>
      </w:rPr>
    </w:lvl>
    <w:lvl w:ilvl="4" w:tplc="87C891B0" w:tentative="1">
      <w:start w:val="1"/>
      <w:numFmt w:val="bullet"/>
      <w:lvlText w:val="o"/>
      <w:lvlJc w:val="left"/>
      <w:pPr>
        <w:ind w:left="3600" w:hanging="360"/>
      </w:pPr>
      <w:rPr>
        <w:rFonts w:ascii="Courier New" w:hAnsi="Courier New" w:cs="Courier New" w:hint="default"/>
      </w:rPr>
    </w:lvl>
    <w:lvl w:ilvl="5" w:tplc="B9B020B0" w:tentative="1">
      <w:start w:val="1"/>
      <w:numFmt w:val="bullet"/>
      <w:lvlText w:val=""/>
      <w:lvlJc w:val="left"/>
      <w:pPr>
        <w:ind w:left="4320" w:hanging="360"/>
      </w:pPr>
      <w:rPr>
        <w:rFonts w:ascii="Wingdings" w:hAnsi="Wingdings" w:hint="default"/>
      </w:rPr>
    </w:lvl>
    <w:lvl w:ilvl="6" w:tplc="78CCAECC" w:tentative="1">
      <w:start w:val="1"/>
      <w:numFmt w:val="bullet"/>
      <w:lvlText w:val=""/>
      <w:lvlJc w:val="left"/>
      <w:pPr>
        <w:ind w:left="5040" w:hanging="360"/>
      </w:pPr>
      <w:rPr>
        <w:rFonts w:ascii="Symbol" w:hAnsi="Symbol" w:hint="default"/>
      </w:rPr>
    </w:lvl>
    <w:lvl w:ilvl="7" w:tplc="3EA6F2D0" w:tentative="1">
      <w:start w:val="1"/>
      <w:numFmt w:val="bullet"/>
      <w:lvlText w:val="o"/>
      <w:lvlJc w:val="left"/>
      <w:pPr>
        <w:ind w:left="5760" w:hanging="360"/>
      </w:pPr>
      <w:rPr>
        <w:rFonts w:ascii="Courier New" w:hAnsi="Courier New" w:cs="Courier New" w:hint="default"/>
      </w:rPr>
    </w:lvl>
    <w:lvl w:ilvl="8" w:tplc="9B0A4390" w:tentative="1">
      <w:start w:val="1"/>
      <w:numFmt w:val="bullet"/>
      <w:lvlText w:val=""/>
      <w:lvlJc w:val="left"/>
      <w:pPr>
        <w:ind w:left="6480" w:hanging="360"/>
      </w:pPr>
      <w:rPr>
        <w:rFonts w:ascii="Wingdings" w:hAnsi="Wingdings" w:hint="default"/>
      </w:rPr>
    </w:lvl>
  </w:abstractNum>
  <w:abstractNum w:abstractNumId="23"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C684088"/>
    <w:multiLevelType w:val="multilevel"/>
    <w:tmpl w:val="7606374E"/>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ascii="Arial Bold" w:hAnsi="Arial Bold" w:hint="default"/>
        <w:b/>
        <w:i w:val="0"/>
        <w:iCs w:val="0"/>
        <w:caps w:val="0"/>
        <w:smallCaps w:val="0"/>
        <w:strike w:val="0"/>
        <w:dstrike w:val="0"/>
        <w:outline w:val="0"/>
        <w:shadow w:val="0"/>
        <w:emboss w:val="0"/>
        <w:imprint w:val="0"/>
        <w:vanish w:val="0"/>
        <w:spacing w:val="0"/>
        <w:kern w:val="0"/>
        <w:position w:val="0"/>
        <w:sz w:val="28"/>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F255C16"/>
    <w:multiLevelType w:val="singleLevel"/>
    <w:tmpl w:val="638C469A"/>
    <w:lvl w:ilvl="0">
      <w:start w:val="1"/>
      <w:numFmt w:val="decimal"/>
      <w:pStyle w:val="AQIS6"/>
      <w:lvlText w:val="Table %1"/>
      <w:lvlJc w:val="left"/>
      <w:pPr>
        <w:tabs>
          <w:tab w:val="num" w:pos="1080"/>
        </w:tabs>
        <w:ind w:left="357" w:hanging="357"/>
      </w:pPr>
      <w:rPr>
        <w:rFonts w:ascii="Arial" w:hAnsi="Arial" w:hint="default"/>
        <w:b/>
        <w:i w:val="0"/>
        <w:caps w:val="0"/>
        <w:strike w:val="0"/>
        <w:dstrike w:val="0"/>
        <w:outline w:val="0"/>
        <w:shadow w:val="0"/>
        <w:emboss w:val="0"/>
        <w:imprint w:val="0"/>
        <w:vanish w:val="0"/>
        <w:sz w:val="22"/>
        <w:vertAlign w:val="baseline"/>
      </w:rPr>
    </w:lvl>
  </w:abstractNum>
  <w:abstractNum w:abstractNumId="26" w15:restartNumberingAfterBreak="0">
    <w:nsid w:val="682C1EA0"/>
    <w:multiLevelType w:val="hybridMultilevel"/>
    <w:tmpl w:val="3020ACC8"/>
    <w:lvl w:ilvl="0" w:tplc="0C090005">
      <w:start w:val="1"/>
      <w:numFmt w:val="bullet"/>
      <w:lvlText w:val=""/>
      <w:lvlJc w:val="left"/>
      <w:pPr>
        <w:tabs>
          <w:tab w:val="num" w:pos="-360"/>
        </w:tabs>
        <w:ind w:left="360" w:hanging="360"/>
      </w:pPr>
      <w:rPr>
        <w:rFonts w:ascii="Wingdings" w:hAnsi="Wingdings" w:hint="default"/>
        <w:color w:val="auto"/>
        <w:sz w:val="16"/>
        <w:szCs w:val="16"/>
      </w:rPr>
    </w:lvl>
    <w:lvl w:ilvl="1" w:tplc="2EA4BF48">
      <w:start w:val="1"/>
      <w:numFmt w:val="bullet"/>
      <w:lvlText w:val="o"/>
      <w:lvlJc w:val="left"/>
      <w:pPr>
        <w:ind w:left="1440" w:hanging="360"/>
      </w:pPr>
      <w:rPr>
        <w:rFonts w:ascii="Courier New" w:hAnsi="Courier New" w:cs="Courier New" w:hint="default"/>
      </w:rPr>
    </w:lvl>
    <w:lvl w:ilvl="2" w:tplc="D938D968" w:tentative="1">
      <w:start w:val="1"/>
      <w:numFmt w:val="bullet"/>
      <w:lvlText w:val=""/>
      <w:lvlJc w:val="left"/>
      <w:pPr>
        <w:ind w:left="2160" w:hanging="360"/>
      </w:pPr>
      <w:rPr>
        <w:rFonts w:ascii="Wingdings" w:hAnsi="Wingdings" w:hint="default"/>
      </w:rPr>
    </w:lvl>
    <w:lvl w:ilvl="3" w:tplc="2B0A6E1C" w:tentative="1">
      <w:start w:val="1"/>
      <w:numFmt w:val="bullet"/>
      <w:lvlText w:val=""/>
      <w:lvlJc w:val="left"/>
      <w:pPr>
        <w:ind w:left="2880" w:hanging="360"/>
      </w:pPr>
      <w:rPr>
        <w:rFonts w:ascii="Symbol" w:hAnsi="Symbol" w:hint="default"/>
      </w:rPr>
    </w:lvl>
    <w:lvl w:ilvl="4" w:tplc="87C891B0" w:tentative="1">
      <w:start w:val="1"/>
      <w:numFmt w:val="bullet"/>
      <w:lvlText w:val="o"/>
      <w:lvlJc w:val="left"/>
      <w:pPr>
        <w:ind w:left="3600" w:hanging="360"/>
      </w:pPr>
      <w:rPr>
        <w:rFonts w:ascii="Courier New" w:hAnsi="Courier New" w:cs="Courier New" w:hint="default"/>
      </w:rPr>
    </w:lvl>
    <w:lvl w:ilvl="5" w:tplc="B9B020B0" w:tentative="1">
      <w:start w:val="1"/>
      <w:numFmt w:val="bullet"/>
      <w:lvlText w:val=""/>
      <w:lvlJc w:val="left"/>
      <w:pPr>
        <w:ind w:left="4320" w:hanging="360"/>
      </w:pPr>
      <w:rPr>
        <w:rFonts w:ascii="Wingdings" w:hAnsi="Wingdings" w:hint="default"/>
      </w:rPr>
    </w:lvl>
    <w:lvl w:ilvl="6" w:tplc="78CCAECC" w:tentative="1">
      <w:start w:val="1"/>
      <w:numFmt w:val="bullet"/>
      <w:lvlText w:val=""/>
      <w:lvlJc w:val="left"/>
      <w:pPr>
        <w:ind w:left="5040" w:hanging="360"/>
      </w:pPr>
      <w:rPr>
        <w:rFonts w:ascii="Symbol" w:hAnsi="Symbol" w:hint="default"/>
      </w:rPr>
    </w:lvl>
    <w:lvl w:ilvl="7" w:tplc="3EA6F2D0" w:tentative="1">
      <w:start w:val="1"/>
      <w:numFmt w:val="bullet"/>
      <w:lvlText w:val="o"/>
      <w:lvlJc w:val="left"/>
      <w:pPr>
        <w:ind w:left="5760" w:hanging="360"/>
      </w:pPr>
      <w:rPr>
        <w:rFonts w:ascii="Courier New" w:hAnsi="Courier New" w:cs="Courier New" w:hint="default"/>
      </w:rPr>
    </w:lvl>
    <w:lvl w:ilvl="8" w:tplc="9B0A4390" w:tentative="1">
      <w:start w:val="1"/>
      <w:numFmt w:val="bullet"/>
      <w:lvlText w:val=""/>
      <w:lvlJc w:val="left"/>
      <w:pPr>
        <w:ind w:left="6480" w:hanging="360"/>
      </w:pPr>
      <w:rPr>
        <w:rFonts w:ascii="Wingdings" w:hAnsi="Wingdings" w:hint="default"/>
      </w:rPr>
    </w:lvl>
  </w:abstractNum>
  <w:abstractNum w:abstractNumId="27" w15:restartNumberingAfterBreak="0">
    <w:nsid w:val="6DA812E3"/>
    <w:multiLevelType w:val="hybridMultilevel"/>
    <w:tmpl w:val="E90E427A"/>
    <w:lvl w:ilvl="0" w:tplc="0958E404">
      <w:start w:val="1"/>
      <w:numFmt w:val="bullet"/>
      <w:lvlText w:val=""/>
      <w:lvlJc w:val="left"/>
      <w:pPr>
        <w:tabs>
          <w:tab w:val="num" w:pos="-360"/>
        </w:tabs>
        <w:ind w:left="360" w:hanging="360"/>
      </w:pPr>
      <w:rPr>
        <w:rFonts w:ascii="Symbol" w:hAnsi="Symbol" w:hint="default"/>
        <w:color w:val="auto"/>
        <w:sz w:val="16"/>
        <w:szCs w:val="16"/>
      </w:rPr>
    </w:lvl>
    <w:lvl w:ilvl="1" w:tplc="2EA4BF48">
      <w:start w:val="1"/>
      <w:numFmt w:val="bullet"/>
      <w:lvlText w:val="o"/>
      <w:lvlJc w:val="left"/>
      <w:pPr>
        <w:ind w:left="1440" w:hanging="360"/>
      </w:pPr>
      <w:rPr>
        <w:rFonts w:ascii="Courier New" w:hAnsi="Courier New" w:cs="Courier New" w:hint="default"/>
      </w:rPr>
    </w:lvl>
    <w:lvl w:ilvl="2" w:tplc="D938D968" w:tentative="1">
      <w:start w:val="1"/>
      <w:numFmt w:val="bullet"/>
      <w:lvlText w:val=""/>
      <w:lvlJc w:val="left"/>
      <w:pPr>
        <w:ind w:left="2160" w:hanging="360"/>
      </w:pPr>
      <w:rPr>
        <w:rFonts w:ascii="Wingdings" w:hAnsi="Wingdings" w:hint="default"/>
      </w:rPr>
    </w:lvl>
    <w:lvl w:ilvl="3" w:tplc="2B0A6E1C" w:tentative="1">
      <w:start w:val="1"/>
      <w:numFmt w:val="bullet"/>
      <w:lvlText w:val=""/>
      <w:lvlJc w:val="left"/>
      <w:pPr>
        <w:ind w:left="2880" w:hanging="360"/>
      </w:pPr>
      <w:rPr>
        <w:rFonts w:ascii="Symbol" w:hAnsi="Symbol" w:hint="default"/>
      </w:rPr>
    </w:lvl>
    <w:lvl w:ilvl="4" w:tplc="87C891B0" w:tentative="1">
      <w:start w:val="1"/>
      <w:numFmt w:val="bullet"/>
      <w:lvlText w:val="o"/>
      <w:lvlJc w:val="left"/>
      <w:pPr>
        <w:ind w:left="3600" w:hanging="360"/>
      </w:pPr>
      <w:rPr>
        <w:rFonts w:ascii="Courier New" w:hAnsi="Courier New" w:cs="Courier New" w:hint="default"/>
      </w:rPr>
    </w:lvl>
    <w:lvl w:ilvl="5" w:tplc="B9B020B0" w:tentative="1">
      <w:start w:val="1"/>
      <w:numFmt w:val="bullet"/>
      <w:lvlText w:val=""/>
      <w:lvlJc w:val="left"/>
      <w:pPr>
        <w:ind w:left="4320" w:hanging="360"/>
      </w:pPr>
      <w:rPr>
        <w:rFonts w:ascii="Wingdings" w:hAnsi="Wingdings" w:hint="default"/>
      </w:rPr>
    </w:lvl>
    <w:lvl w:ilvl="6" w:tplc="78CCAECC" w:tentative="1">
      <w:start w:val="1"/>
      <w:numFmt w:val="bullet"/>
      <w:lvlText w:val=""/>
      <w:lvlJc w:val="left"/>
      <w:pPr>
        <w:ind w:left="5040" w:hanging="360"/>
      </w:pPr>
      <w:rPr>
        <w:rFonts w:ascii="Symbol" w:hAnsi="Symbol" w:hint="default"/>
      </w:rPr>
    </w:lvl>
    <w:lvl w:ilvl="7" w:tplc="3EA6F2D0" w:tentative="1">
      <w:start w:val="1"/>
      <w:numFmt w:val="bullet"/>
      <w:lvlText w:val="o"/>
      <w:lvlJc w:val="left"/>
      <w:pPr>
        <w:ind w:left="5760" w:hanging="360"/>
      </w:pPr>
      <w:rPr>
        <w:rFonts w:ascii="Courier New" w:hAnsi="Courier New" w:cs="Courier New" w:hint="default"/>
      </w:rPr>
    </w:lvl>
    <w:lvl w:ilvl="8" w:tplc="9B0A4390" w:tentative="1">
      <w:start w:val="1"/>
      <w:numFmt w:val="bullet"/>
      <w:lvlText w:val=""/>
      <w:lvlJc w:val="left"/>
      <w:pPr>
        <w:ind w:left="6480" w:hanging="360"/>
      </w:pPr>
      <w:rPr>
        <w:rFonts w:ascii="Wingdings" w:hAnsi="Wingdings" w:hint="default"/>
      </w:rPr>
    </w:lvl>
  </w:abstractNum>
  <w:abstractNum w:abstractNumId="28" w15:restartNumberingAfterBreak="0">
    <w:nsid w:val="71F92A1D"/>
    <w:multiLevelType w:val="hybridMultilevel"/>
    <w:tmpl w:val="7E6EC12C"/>
    <w:lvl w:ilvl="0" w:tplc="DE1C7316">
      <w:start w:val="1"/>
      <w:numFmt w:val="bullet"/>
      <w:pStyle w:val="AQISdot"/>
      <w:lvlText w:val=""/>
      <w:lvlJc w:val="left"/>
      <w:pPr>
        <w:tabs>
          <w:tab w:val="num" w:pos="1077"/>
        </w:tabs>
        <w:ind w:left="1077" w:hanging="357"/>
      </w:pPr>
      <w:rPr>
        <w:rFonts w:ascii="Symbol" w:hAnsi="Symbol" w:hint="default"/>
      </w:rPr>
    </w:lvl>
    <w:lvl w:ilvl="1" w:tplc="A8AEA53C" w:tentative="1">
      <w:start w:val="1"/>
      <w:numFmt w:val="bullet"/>
      <w:lvlText w:val="o"/>
      <w:lvlJc w:val="left"/>
      <w:pPr>
        <w:tabs>
          <w:tab w:val="num" w:pos="2160"/>
        </w:tabs>
        <w:ind w:left="2160" w:hanging="360"/>
      </w:pPr>
      <w:rPr>
        <w:rFonts w:ascii="Courier New" w:hAnsi="Courier New" w:cs="Courier New" w:hint="default"/>
      </w:rPr>
    </w:lvl>
    <w:lvl w:ilvl="2" w:tplc="7ED4ED14" w:tentative="1">
      <w:start w:val="1"/>
      <w:numFmt w:val="bullet"/>
      <w:lvlText w:val=""/>
      <w:lvlJc w:val="left"/>
      <w:pPr>
        <w:tabs>
          <w:tab w:val="num" w:pos="2880"/>
        </w:tabs>
        <w:ind w:left="2880" w:hanging="360"/>
      </w:pPr>
      <w:rPr>
        <w:rFonts w:ascii="Wingdings" w:hAnsi="Wingdings" w:hint="default"/>
      </w:rPr>
    </w:lvl>
    <w:lvl w:ilvl="3" w:tplc="BCF811C6" w:tentative="1">
      <w:start w:val="1"/>
      <w:numFmt w:val="bullet"/>
      <w:lvlText w:val=""/>
      <w:lvlJc w:val="left"/>
      <w:pPr>
        <w:tabs>
          <w:tab w:val="num" w:pos="3600"/>
        </w:tabs>
        <w:ind w:left="3600" w:hanging="360"/>
      </w:pPr>
      <w:rPr>
        <w:rFonts w:ascii="Symbol" w:hAnsi="Symbol" w:hint="default"/>
      </w:rPr>
    </w:lvl>
    <w:lvl w:ilvl="4" w:tplc="55062EEE" w:tentative="1">
      <w:start w:val="1"/>
      <w:numFmt w:val="bullet"/>
      <w:lvlText w:val="o"/>
      <w:lvlJc w:val="left"/>
      <w:pPr>
        <w:tabs>
          <w:tab w:val="num" w:pos="4320"/>
        </w:tabs>
        <w:ind w:left="4320" w:hanging="360"/>
      </w:pPr>
      <w:rPr>
        <w:rFonts w:ascii="Courier New" w:hAnsi="Courier New" w:cs="Courier New" w:hint="default"/>
      </w:rPr>
    </w:lvl>
    <w:lvl w:ilvl="5" w:tplc="DDD248AE" w:tentative="1">
      <w:start w:val="1"/>
      <w:numFmt w:val="bullet"/>
      <w:lvlText w:val=""/>
      <w:lvlJc w:val="left"/>
      <w:pPr>
        <w:tabs>
          <w:tab w:val="num" w:pos="5040"/>
        </w:tabs>
        <w:ind w:left="5040" w:hanging="360"/>
      </w:pPr>
      <w:rPr>
        <w:rFonts w:ascii="Wingdings" w:hAnsi="Wingdings" w:hint="default"/>
      </w:rPr>
    </w:lvl>
    <w:lvl w:ilvl="6" w:tplc="8C9CE734" w:tentative="1">
      <w:start w:val="1"/>
      <w:numFmt w:val="bullet"/>
      <w:lvlText w:val=""/>
      <w:lvlJc w:val="left"/>
      <w:pPr>
        <w:tabs>
          <w:tab w:val="num" w:pos="5760"/>
        </w:tabs>
        <w:ind w:left="5760" w:hanging="360"/>
      </w:pPr>
      <w:rPr>
        <w:rFonts w:ascii="Symbol" w:hAnsi="Symbol" w:hint="default"/>
      </w:rPr>
    </w:lvl>
    <w:lvl w:ilvl="7" w:tplc="54CA1C0A" w:tentative="1">
      <w:start w:val="1"/>
      <w:numFmt w:val="bullet"/>
      <w:lvlText w:val="o"/>
      <w:lvlJc w:val="left"/>
      <w:pPr>
        <w:tabs>
          <w:tab w:val="num" w:pos="6480"/>
        </w:tabs>
        <w:ind w:left="6480" w:hanging="360"/>
      </w:pPr>
      <w:rPr>
        <w:rFonts w:ascii="Courier New" w:hAnsi="Courier New" w:cs="Courier New" w:hint="default"/>
      </w:rPr>
    </w:lvl>
    <w:lvl w:ilvl="8" w:tplc="F294985A"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29B632C"/>
    <w:multiLevelType w:val="hybridMultilevel"/>
    <w:tmpl w:val="091A69A0"/>
    <w:lvl w:ilvl="0" w:tplc="B802AA2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7D0653"/>
    <w:multiLevelType w:val="hybridMultilevel"/>
    <w:tmpl w:val="6C10089A"/>
    <w:lvl w:ilvl="0" w:tplc="F67EE5F4">
      <w:start w:val="1"/>
      <w:numFmt w:val="bullet"/>
      <w:lvlText w:val=""/>
      <w:lvlJc w:val="left"/>
      <w:pPr>
        <w:ind w:left="1800" w:hanging="360"/>
      </w:pPr>
      <w:rPr>
        <w:rFonts w:ascii="Symbol" w:hAnsi="Symbol" w:hint="default"/>
        <w:sz w:val="16"/>
        <w:szCs w:val="16"/>
      </w:rPr>
    </w:lvl>
    <w:lvl w:ilvl="1" w:tplc="5BEABE24" w:tentative="1">
      <w:start w:val="1"/>
      <w:numFmt w:val="bullet"/>
      <w:lvlText w:val="o"/>
      <w:lvlJc w:val="left"/>
      <w:pPr>
        <w:ind w:left="2520" w:hanging="360"/>
      </w:pPr>
      <w:rPr>
        <w:rFonts w:ascii="Courier New" w:hAnsi="Courier New" w:cs="Courier New" w:hint="default"/>
      </w:rPr>
    </w:lvl>
    <w:lvl w:ilvl="2" w:tplc="18EC9D92" w:tentative="1">
      <w:start w:val="1"/>
      <w:numFmt w:val="bullet"/>
      <w:lvlText w:val=""/>
      <w:lvlJc w:val="left"/>
      <w:pPr>
        <w:ind w:left="3240" w:hanging="360"/>
      </w:pPr>
      <w:rPr>
        <w:rFonts w:ascii="Wingdings" w:hAnsi="Wingdings" w:hint="default"/>
      </w:rPr>
    </w:lvl>
    <w:lvl w:ilvl="3" w:tplc="9880D960" w:tentative="1">
      <w:start w:val="1"/>
      <w:numFmt w:val="bullet"/>
      <w:lvlText w:val=""/>
      <w:lvlJc w:val="left"/>
      <w:pPr>
        <w:ind w:left="3960" w:hanging="360"/>
      </w:pPr>
      <w:rPr>
        <w:rFonts w:ascii="Symbol" w:hAnsi="Symbol" w:hint="default"/>
      </w:rPr>
    </w:lvl>
    <w:lvl w:ilvl="4" w:tplc="DC321C38" w:tentative="1">
      <w:start w:val="1"/>
      <w:numFmt w:val="bullet"/>
      <w:lvlText w:val="o"/>
      <w:lvlJc w:val="left"/>
      <w:pPr>
        <w:ind w:left="4680" w:hanging="360"/>
      </w:pPr>
      <w:rPr>
        <w:rFonts w:ascii="Courier New" w:hAnsi="Courier New" w:cs="Courier New" w:hint="default"/>
      </w:rPr>
    </w:lvl>
    <w:lvl w:ilvl="5" w:tplc="1B749222" w:tentative="1">
      <w:start w:val="1"/>
      <w:numFmt w:val="bullet"/>
      <w:lvlText w:val=""/>
      <w:lvlJc w:val="left"/>
      <w:pPr>
        <w:ind w:left="5400" w:hanging="360"/>
      </w:pPr>
      <w:rPr>
        <w:rFonts w:ascii="Wingdings" w:hAnsi="Wingdings" w:hint="default"/>
      </w:rPr>
    </w:lvl>
    <w:lvl w:ilvl="6" w:tplc="AC4A469C" w:tentative="1">
      <w:start w:val="1"/>
      <w:numFmt w:val="bullet"/>
      <w:lvlText w:val=""/>
      <w:lvlJc w:val="left"/>
      <w:pPr>
        <w:ind w:left="6120" w:hanging="360"/>
      </w:pPr>
      <w:rPr>
        <w:rFonts w:ascii="Symbol" w:hAnsi="Symbol" w:hint="default"/>
      </w:rPr>
    </w:lvl>
    <w:lvl w:ilvl="7" w:tplc="485E97BC" w:tentative="1">
      <w:start w:val="1"/>
      <w:numFmt w:val="bullet"/>
      <w:lvlText w:val="o"/>
      <w:lvlJc w:val="left"/>
      <w:pPr>
        <w:ind w:left="6840" w:hanging="360"/>
      </w:pPr>
      <w:rPr>
        <w:rFonts w:ascii="Courier New" w:hAnsi="Courier New" w:cs="Courier New" w:hint="default"/>
      </w:rPr>
    </w:lvl>
    <w:lvl w:ilvl="8" w:tplc="8A58FDE8" w:tentative="1">
      <w:start w:val="1"/>
      <w:numFmt w:val="bullet"/>
      <w:lvlText w:val=""/>
      <w:lvlJc w:val="left"/>
      <w:pPr>
        <w:ind w:left="7560" w:hanging="360"/>
      </w:pPr>
      <w:rPr>
        <w:rFonts w:ascii="Wingdings" w:hAnsi="Wingdings" w:hint="default"/>
      </w:rPr>
    </w:lvl>
  </w:abstractNum>
  <w:abstractNum w:abstractNumId="31" w15:restartNumberingAfterBreak="0">
    <w:nsid w:val="7F6A5538"/>
    <w:multiLevelType w:val="multilevel"/>
    <w:tmpl w:val="82487F64"/>
    <w:lvl w:ilvl="0">
      <w:start w:val="3"/>
      <w:numFmt w:val="decimal"/>
      <w:lvlText w:val="%1"/>
      <w:lvlJc w:val="left"/>
      <w:pPr>
        <w:ind w:left="432" w:hanging="432"/>
      </w:pPr>
      <w:rPr>
        <w:rFonts w:hint="default"/>
      </w:rPr>
    </w:lvl>
    <w:lvl w:ilvl="1">
      <w:start w:val="2"/>
      <w:numFmt w:val="decimal"/>
      <w:lvlRestart w:val="0"/>
      <w:pStyle w:val="Style7"/>
      <w:lvlText w:val="3.%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Restart w:val="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31604958">
    <w:abstractNumId w:val="21"/>
  </w:num>
  <w:num w:numId="2" w16cid:durableId="921065167">
    <w:abstractNumId w:val="23"/>
  </w:num>
  <w:num w:numId="3" w16cid:durableId="40370913">
    <w:abstractNumId w:val="8"/>
  </w:num>
  <w:num w:numId="4" w16cid:durableId="676809276">
    <w:abstractNumId w:val="28"/>
  </w:num>
  <w:num w:numId="5" w16cid:durableId="349188623">
    <w:abstractNumId w:val="0"/>
  </w:num>
  <w:num w:numId="6" w16cid:durableId="411590417">
    <w:abstractNumId w:val="25"/>
  </w:num>
  <w:num w:numId="7" w16cid:durableId="1298414460">
    <w:abstractNumId w:val="15"/>
  </w:num>
  <w:num w:numId="8" w16cid:durableId="1254437909">
    <w:abstractNumId w:val="10"/>
  </w:num>
  <w:num w:numId="9" w16cid:durableId="1506440815">
    <w:abstractNumId w:val="3"/>
  </w:num>
  <w:num w:numId="10" w16cid:durableId="1380204345">
    <w:abstractNumId w:val="4"/>
  </w:num>
  <w:num w:numId="11" w16cid:durableId="910434155">
    <w:abstractNumId w:val="13"/>
  </w:num>
  <w:num w:numId="12" w16cid:durableId="208616927">
    <w:abstractNumId w:val="18"/>
  </w:num>
  <w:num w:numId="13" w16cid:durableId="1183935793">
    <w:abstractNumId w:val="14"/>
  </w:num>
  <w:num w:numId="14" w16cid:durableId="1201742505">
    <w:abstractNumId w:val="12"/>
  </w:num>
  <w:num w:numId="15" w16cid:durableId="1418945754">
    <w:abstractNumId w:val="3"/>
  </w:num>
  <w:num w:numId="16" w16cid:durableId="1222211215">
    <w:abstractNumId w:val="9"/>
  </w:num>
  <w:num w:numId="17" w16cid:durableId="715549059">
    <w:abstractNumId w:val="2"/>
  </w:num>
  <w:num w:numId="18" w16cid:durableId="111631128">
    <w:abstractNumId w:val="1"/>
  </w:num>
  <w:num w:numId="19" w16cid:durableId="1712462819">
    <w:abstractNumId w:val="17"/>
  </w:num>
  <w:num w:numId="20" w16cid:durableId="2031299651">
    <w:abstractNumId w:val="24"/>
  </w:num>
  <w:num w:numId="21" w16cid:durableId="1425222796">
    <w:abstractNumId w:val="20"/>
  </w:num>
  <w:num w:numId="22" w16cid:durableId="536087730">
    <w:abstractNumId w:val="7"/>
  </w:num>
  <w:num w:numId="23" w16cid:durableId="1120298548">
    <w:abstractNumId w:val="19"/>
  </w:num>
  <w:num w:numId="24" w16cid:durableId="312107814">
    <w:abstractNumId w:val="31"/>
  </w:num>
  <w:num w:numId="25" w16cid:durableId="2025863118">
    <w:abstractNumId w:val="16"/>
  </w:num>
  <w:num w:numId="26" w16cid:durableId="344869991">
    <w:abstractNumId w:val="10"/>
  </w:num>
  <w:num w:numId="27" w16cid:durableId="1140659455">
    <w:abstractNumId w:val="27"/>
  </w:num>
  <w:num w:numId="28" w16cid:durableId="975330317">
    <w:abstractNumId w:val="30"/>
  </w:num>
  <w:num w:numId="29" w16cid:durableId="57606199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7189999">
    <w:abstractNumId w:val="29"/>
  </w:num>
  <w:num w:numId="31" w16cid:durableId="1850099330">
    <w:abstractNumId w:val="5"/>
  </w:num>
  <w:num w:numId="32" w16cid:durableId="838809064">
    <w:abstractNumId w:val="6"/>
  </w:num>
  <w:num w:numId="33" w16cid:durableId="1198196828">
    <w:abstractNumId w:val="11"/>
  </w:num>
  <w:num w:numId="34" w16cid:durableId="1546330847">
    <w:abstractNumId w:val="26"/>
  </w:num>
  <w:num w:numId="35" w16cid:durableId="2039618993">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34E4"/>
    <w:rsid w:val="007941E2"/>
    <w:rsid w:val="009934E4"/>
    <w:rsid w:val="009D3DC8"/>
    <w:rsid w:val="00A0465C"/>
    <w:rsid w:val="00A47325"/>
    <w:rsid w:val="00CB6C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3074"/>
    <o:shapelayout v:ext="edit">
      <o:idmap v:ext="edit" data="2"/>
    </o:shapelayout>
  </w:shapeDefaults>
  <w:decimalSymbol w:val="."/>
  <w:listSeparator w:val=","/>
  <w14:docId w14:val="1B887CD3"/>
  <w15:chartTrackingRefBased/>
  <w15:docId w15:val="{166DC6C1-E6B2-4866-A74F-5B72E36A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pPr>
      <w:keepNext/>
      <w:keepLines/>
      <w:numPr>
        <w:numId w:val="26"/>
      </w:numPr>
      <w:pBdr>
        <w:bottom w:val="single" w:sz="8" w:space="1" w:color="000000"/>
      </w:pBdr>
      <w:spacing w:before="480" w:after="240"/>
      <w:outlineLvl w:val="0"/>
    </w:pPr>
    <w:rPr>
      <w:rFonts w:ascii="Arial" w:hAnsi="Arial"/>
      <w:b/>
      <w:bCs/>
      <w:sz w:val="32"/>
      <w:szCs w:val="28"/>
    </w:rPr>
  </w:style>
  <w:style w:type="paragraph" w:styleId="Heading2">
    <w:name w:val="heading 2"/>
    <w:basedOn w:val="Normal"/>
    <w:next w:val="Normal"/>
    <w:link w:val="Heading2Char"/>
    <w:unhideWhenUsed/>
    <w:qFormat/>
    <w:pPr>
      <w:keepNext/>
      <w:keepLines/>
      <w:numPr>
        <w:ilvl w:val="1"/>
        <w:numId w:val="26"/>
      </w:numPr>
      <w:spacing w:before="360" w:after="240"/>
      <w:outlineLvl w:val="1"/>
    </w:pPr>
    <w:rPr>
      <w:rFonts w:ascii="Arial" w:hAnsi="Arial"/>
      <w:b/>
      <w:snapToGrid w:val="0"/>
      <w:color w:val="000000"/>
      <w:w w:val="0"/>
      <w:sz w:val="28"/>
      <w:szCs w:val="28"/>
    </w:rPr>
  </w:style>
  <w:style w:type="paragraph" w:styleId="Heading3">
    <w:name w:val="heading 3"/>
    <w:basedOn w:val="Normal"/>
    <w:next w:val="Normal"/>
    <w:link w:val="Heading3Char"/>
    <w:unhideWhenUsed/>
    <w:qFormat/>
    <w:pPr>
      <w:keepNext/>
      <w:keepLines/>
      <w:numPr>
        <w:ilvl w:val="2"/>
        <w:numId w:val="26"/>
      </w:numPr>
      <w:spacing w:before="360" w:after="120"/>
      <w:outlineLvl w:val="2"/>
    </w:pPr>
    <w:rPr>
      <w:rFonts w:ascii="Arial" w:hAnsi="Arial"/>
      <w:b/>
      <w:bCs/>
      <w:sz w:val="24"/>
    </w:rPr>
  </w:style>
  <w:style w:type="paragraph" w:styleId="Heading4">
    <w:name w:val="heading 4"/>
    <w:basedOn w:val="Normal"/>
    <w:next w:val="Normal"/>
    <w:link w:val="Heading4Char"/>
    <w:unhideWhenUsed/>
    <w:qFormat/>
    <w:pPr>
      <w:keepNext/>
      <w:keepLines/>
      <w:spacing w:before="200"/>
      <w:outlineLvl w:val="3"/>
    </w:pPr>
    <w:rPr>
      <w:rFonts w:ascii="Arial" w:hAnsi="Arial"/>
      <w:b/>
      <w:bCs/>
      <w:i/>
      <w:iCs/>
      <w:color w:val="4F81BD"/>
    </w:rPr>
  </w:style>
  <w:style w:type="paragraph" w:styleId="Heading5">
    <w:name w:val="heading 5"/>
    <w:aliases w:val="s,s1,s2,s3,s4,s5"/>
    <w:basedOn w:val="Normal"/>
    <w:next w:val="Normal"/>
    <w:link w:val="Heading5Char"/>
    <w:unhideWhenUsed/>
    <w:qFormat/>
    <w:pPr>
      <w:keepNext/>
      <w:keepLines/>
      <w:numPr>
        <w:ilvl w:val="4"/>
        <w:numId w:val="12"/>
      </w:numPr>
      <w:spacing w:before="200"/>
      <w:outlineLvl w:val="4"/>
    </w:pPr>
    <w:rPr>
      <w:rFonts w:ascii="Arial" w:hAnsi="Arial"/>
      <w:color w:val="243F60"/>
    </w:rPr>
  </w:style>
  <w:style w:type="paragraph" w:styleId="Heading6">
    <w:name w:val="heading 6"/>
    <w:basedOn w:val="Normal"/>
    <w:next w:val="Normal"/>
    <w:link w:val="Heading6Char"/>
    <w:unhideWhenUsed/>
    <w:qFormat/>
    <w:pPr>
      <w:keepNext/>
      <w:keepLines/>
      <w:numPr>
        <w:ilvl w:val="5"/>
        <w:numId w:val="26"/>
      </w:numPr>
      <w:spacing w:before="200"/>
      <w:outlineLvl w:val="5"/>
    </w:pPr>
    <w:rPr>
      <w:rFonts w:ascii="Arial" w:hAnsi="Arial"/>
      <w:i/>
      <w:iCs/>
      <w:color w:val="243F60"/>
    </w:rPr>
  </w:style>
  <w:style w:type="paragraph" w:styleId="Heading7">
    <w:name w:val="heading 7"/>
    <w:basedOn w:val="Normal"/>
    <w:next w:val="Normal"/>
    <w:link w:val="Heading7Char"/>
    <w:unhideWhenUsed/>
    <w:qFormat/>
    <w:pPr>
      <w:keepNext/>
      <w:keepLines/>
      <w:numPr>
        <w:ilvl w:val="6"/>
        <w:numId w:val="26"/>
      </w:numPr>
      <w:spacing w:before="200"/>
      <w:outlineLvl w:val="6"/>
    </w:pPr>
    <w:rPr>
      <w:rFonts w:ascii="Arial" w:hAnsi="Arial"/>
      <w:i/>
      <w:iCs/>
      <w:color w:val="404040"/>
    </w:rPr>
  </w:style>
  <w:style w:type="paragraph" w:styleId="Heading8">
    <w:name w:val="heading 8"/>
    <w:basedOn w:val="Normal"/>
    <w:next w:val="Normal"/>
    <w:link w:val="Heading8Char"/>
    <w:unhideWhenUsed/>
    <w:qFormat/>
    <w:pPr>
      <w:keepNext/>
      <w:keepLines/>
      <w:numPr>
        <w:ilvl w:val="7"/>
        <w:numId w:val="26"/>
      </w:numPr>
      <w:spacing w:before="200"/>
      <w:outlineLvl w:val="7"/>
    </w:pPr>
    <w:rPr>
      <w:rFonts w:ascii="Arial" w:hAnsi="Arial"/>
      <w:color w:val="404040"/>
      <w:sz w:val="20"/>
      <w:szCs w:val="20"/>
    </w:rPr>
  </w:style>
  <w:style w:type="paragraph" w:styleId="Heading9">
    <w:name w:val="heading 9"/>
    <w:basedOn w:val="Normal"/>
    <w:next w:val="Normal"/>
    <w:link w:val="Heading9Char"/>
    <w:unhideWhenUsed/>
    <w:qFormat/>
    <w:pPr>
      <w:keepNext/>
      <w:keepLines/>
      <w:numPr>
        <w:ilvl w:val="8"/>
        <w:numId w:val="26"/>
      </w:numPr>
      <w:spacing w:before="200"/>
      <w:outlineLvl w:val="8"/>
    </w:pPr>
    <w:rPr>
      <w:rFonts w:ascii="Arial" w:hAnsi="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aliases w:val="1 / 1.7 / 1.7.1"/>
    <w:basedOn w:val="NoList"/>
    <w:pPr>
      <w:numPr>
        <w:numId w:val="1"/>
      </w:numPr>
    </w:pPr>
  </w:style>
  <w:style w:type="paragraph" w:customStyle="1" w:styleId="Append4">
    <w:name w:val="Append 4"/>
    <w:basedOn w:val="Normal"/>
    <w:pPr>
      <w:numPr>
        <w:numId w:val="2"/>
      </w:numPr>
    </w:pPr>
    <w:rPr>
      <w:sz w:val="24"/>
    </w:rPr>
  </w:style>
  <w:style w:type="paragraph" w:customStyle="1" w:styleId="AQISText">
    <w:name w:val="AQIS Text"/>
    <w:basedOn w:val="Normal"/>
    <w:link w:val="AQISTextChar"/>
    <w:pPr>
      <w:spacing w:before="160" w:line="280" w:lineRule="atLeast"/>
    </w:pPr>
    <w:rPr>
      <w:szCs w:val="20"/>
    </w:rPr>
  </w:style>
  <w:style w:type="paragraph" w:customStyle="1" w:styleId="AQISBullet">
    <w:name w:val="AQIS Bullet"/>
    <w:basedOn w:val="AQISText"/>
    <w:next w:val="AQISText"/>
    <w:pPr>
      <w:numPr>
        <w:numId w:val="3"/>
      </w:numPr>
      <w:spacing w:before="60" w:line="340" w:lineRule="atLeast"/>
      <w:jc w:val="both"/>
    </w:pPr>
    <w:rPr>
      <w:sz w:val="24"/>
      <w:szCs w:val="24"/>
    </w:rPr>
  </w:style>
  <w:style w:type="paragraph" w:customStyle="1" w:styleId="AQISdot">
    <w:name w:val="AQIS dot"/>
    <w:basedOn w:val="Normal"/>
    <w:pPr>
      <w:numPr>
        <w:numId w:val="4"/>
      </w:numPr>
    </w:pPr>
    <w:rPr>
      <w:sz w:val="24"/>
    </w:rPr>
  </w:style>
  <w:style w:type="paragraph" w:customStyle="1" w:styleId="AQISNum">
    <w:name w:val="AQIS Num"/>
    <w:basedOn w:val="AQISText"/>
    <w:next w:val="AQISText"/>
    <w:link w:val="AQISNumChar"/>
    <w:pPr>
      <w:numPr>
        <w:numId w:val="5"/>
      </w:numPr>
      <w:spacing w:before="60"/>
    </w:pPr>
    <w:rPr>
      <w:sz w:val="24"/>
    </w:rPr>
  </w:style>
  <w:style w:type="paragraph" w:customStyle="1" w:styleId="AQISTable">
    <w:name w:val="AQIS Table"/>
    <w:basedOn w:val="AQISText"/>
    <w:next w:val="AQISText"/>
    <w:pPr>
      <w:tabs>
        <w:tab w:val="num" w:pos="360"/>
      </w:tabs>
      <w:spacing w:before="360" w:after="360" w:line="340" w:lineRule="atLeast"/>
      <w:jc w:val="center"/>
    </w:pPr>
    <w:rPr>
      <w:rFonts w:ascii="Arial" w:hAnsi="Arial"/>
      <w:b/>
      <w:sz w:val="24"/>
    </w:rPr>
  </w:style>
  <w:style w:type="paragraph" w:customStyle="1" w:styleId="AQISTableText">
    <w:name w:val="AQIS Table Text"/>
    <w:basedOn w:val="Normal"/>
    <w:pPr>
      <w:spacing w:before="60" w:after="60" w:line="280" w:lineRule="atLeast"/>
    </w:pPr>
    <w:rPr>
      <w:rFonts w:ascii="Arial" w:hAnsi="Arial"/>
      <w:sz w:val="20"/>
      <w:szCs w:val="20"/>
    </w:rPr>
  </w:style>
  <w:style w:type="paragraph" w:customStyle="1" w:styleId="AQIS3">
    <w:name w:val="AQIS3"/>
    <w:basedOn w:val="Normal"/>
    <w:next w:val="AQISText"/>
    <w:pPr>
      <w:keepNext/>
      <w:keepLines/>
      <w:spacing w:before="600" w:after="120" w:line="340" w:lineRule="atLeast"/>
    </w:pPr>
    <w:rPr>
      <w:rFonts w:ascii="Arial" w:hAnsi="Arial"/>
      <w:b/>
      <w:caps/>
      <w:sz w:val="24"/>
      <w:szCs w:val="20"/>
    </w:rPr>
  </w:style>
  <w:style w:type="paragraph" w:customStyle="1" w:styleId="AQIS6">
    <w:name w:val="AQIS6"/>
    <w:basedOn w:val="AQISText"/>
    <w:next w:val="AQISText"/>
    <w:pPr>
      <w:keepNext/>
      <w:keepLines/>
      <w:numPr>
        <w:numId w:val="6"/>
      </w:numPr>
      <w:spacing w:before="360" w:line="340" w:lineRule="atLeast"/>
    </w:pPr>
    <w:rPr>
      <w:rFonts w:ascii="Arial" w:hAnsi="Arial"/>
      <w:b/>
      <w:sz w:val="24"/>
    </w:rPr>
  </w:style>
  <w:style w:type="paragraph" w:customStyle="1" w:styleId="aqistext0">
    <w:name w:val="aqistext"/>
    <w:basedOn w:val="Normal"/>
    <w:pPr>
      <w:spacing w:before="100" w:beforeAutospacing="1" w:after="100" w:afterAutospacing="1"/>
    </w:pPr>
    <w:rPr>
      <w:sz w:val="24"/>
    </w:rPr>
  </w:style>
  <w:style w:type="paragraph" w:customStyle="1" w:styleId="BAHeader1">
    <w:name w:val="BA Header 1"/>
    <w:basedOn w:val="Normal"/>
    <w:next w:val="Normal"/>
    <w:link w:val="BAHeader1CharChar"/>
    <w:pPr>
      <w:pageBreakBefore/>
      <w:widowControl w:val="0"/>
      <w:numPr>
        <w:numId w:val="14"/>
      </w:numPr>
      <w:pBdr>
        <w:bottom w:val="single" w:sz="4" w:space="1" w:color="auto"/>
      </w:pBdr>
      <w:spacing w:before="120" w:after="360" w:line="340" w:lineRule="atLeast"/>
      <w:outlineLvl w:val="0"/>
    </w:pPr>
    <w:rPr>
      <w:rFonts w:ascii="Arial" w:hAnsi="Arial"/>
      <w:b/>
      <w:sz w:val="28"/>
      <w:szCs w:val="28"/>
    </w:rPr>
  </w:style>
  <w:style w:type="paragraph" w:customStyle="1" w:styleId="BAAppend1">
    <w:name w:val="BA Append 1"/>
    <w:basedOn w:val="BAHeader1"/>
    <w:pPr>
      <w:numPr>
        <w:numId w:val="7"/>
      </w:numPr>
    </w:pPr>
  </w:style>
  <w:style w:type="paragraph" w:customStyle="1" w:styleId="BAHeader2">
    <w:name w:val="BA Header 2"/>
    <w:basedOn w:val="Normal"/>
    <w:next w:val="Normal"/>
    <w:link w:val="BAHeader2CharChar"/>
    <w:pPr>
      <w:keepNext/>
      <w:keepLines/>
      <w:widowControl w:val="0"/>
      <w:numPr>
        <w:ilvl w:val="1"/>
        <w:numId w:val="12"/>
      </w:numPr>
      <w:spacing w:before="360" w:after="120" w:line="340" w:lineRule="atLeast"/>
      <w:outlineLvl w:val="1"/>
    </w:pPr>
    <w:rPr>
      <w:rFonts w:ascii="Arial" w:hAnsi="Arial"/>
      <w:b/>
      <w:sz w:val="28"/>
      <w:szCs w:val="28"/>
    </w:rPr>
  </w:style>
  <w:style w:type="paragraph" w:customStyle="1" w:styleId="BAAppend2">
    <w:name w:val="BA Append 2"/>
    <w:basedOn w:val="BAHeader2"/>
    <w:pPr>
      <w:numPr>
        <w:numId w:val="7"/>
      </w:numPr>
    </w:pPr>
  </w:style>
  <w:style w:type="paragraph" w:customStyle="1" w:styleId="BAHeader3">
    <w:name w:val="BA Header 3"/>
    <w:basedOn w:val="Normal"/>
    <w:next w:val="Normal"/>
    <w:link w:val="BAHeader3CharChar"/>
    <w:pPr>
      <w:keepNext/>
      <w:keepLines/>
      <w:tabs>
        <w:tab w:val="num" w:pos="862"/>
      </w:tabs>
      <w:spacing w:before="360" w:after="120" w:line="340" w:lineRule="atLeast"/>
      <w:ind w:left="862" w:hanging="862"/>
      <w:outlineLvl w:val="2"/>
    </w:pPr>
    <w:rPr>
      <w:rFonts w:ascii="Arial" w:hAnsi="Arial"/>
      <w:b/>
      <w:sz w:val="24"/>
    </w:rPr>
  </w:style>
  <w:style w:type="paragraph" w:customStyle="1" w:styleId="BAAppend3">
    <w:name w:val="BA Append 3"/>
    <w:basedOn w:val="BAHeader3"/>
    <w:pPr>
      <w:numPr>
        <w:ilvl w:val="2"/>
        <w:numId w:val="7"/>
      </w:numPr>
    </w:pPr>
  </w:style>
  <w:style w:type="paragraph" w:customStyle="1" w:styleId="BAText1">
    <w:name w:val="BA Text 1"/>
    <w:basedOn w:val="Normal"/>
    <w:link w:val="BAText1Char"/>
    <w:pPr>
      <w:spacing w:line="280" w:lineRule="atLeast"/>
      <w:jc w:val="both"/>
    </w:pPr>
    <w:rPr>
      <w:rFonts w:ascii="Times" w:hAnsi="Times"/>
    </w:rPr>
  </w:style>
  <w:style w:type="paragraph" w:customStyle="1" w:styleId="BAFigureHeading">
    <w:name w:val="BA Figure Heading"/>
    <w:basedOn w:val="BAText1"/>
    <w:autoRedefine/>
    <w:pPr>
      <w:spacing w:before="60" w:after="60" w:line="240" w:lineRule="auto"/>
      <w:jc w:val="left"/>
    </w:pPr>
    <w:rPr>
      <w:rFonts w:ascii="Arial" w:hAnsi="Arial"/>
      <w:b/>
      <w:bCs/>
    </w:rPr>
  </w:style>
  <w:style w:type="paragraph" w:customStyle="1" w:styleId="BAText">
    <w:name w:val="BA Text"/>
    <w:basedOn w:val="Normal"/>
    <w:link w:val="BATextChar"/>
    <w:pPr>
      <w:spacing w:after="120" w:line="260" w:lineRule="atLeast"/>
    </w:pPr>
    <w:rPr>
      <w:bCs/>
      <w:szCs w:val="20"/>
    </w:rPr>
  </w:style>
  <w:style w:type="paragraph" w:customStyle="1" w:styleId="BAHead4">
    <w:name w:val="BA Head 4"/>
    <w:basedOn w:val="BAText"/>
    <w:next w:val="BAText"/>
    <w:link w:val="BAHead4CharChar"/>
    <w:autoRedefine/>
    <w:pPr>
      <w:keepNext/>
      <w:keepLines/>
      <w:spacing w:before="120" w:line="240" w:lineRule="auto"/>
    </w:pPr>
    <w:rPr>
      <w:rFonts w:ascii="Arial" w:hAnsi="Arial"/>
      <w:b/>
      <w:sz w:val="24"/>
      <w:szCs w:val="23"/>
    </w:rPr>
  </w:style>
  <w:style w:type="character" w:customStyle="1" w:styleId="Heading1Char">
    <w:name w:val="Heading 1 Char"/>
    <w:link w:val="Heading1"/>
    <w:rPr>
      <w:rFonts w:ascii="Arial" w:eastAsia="Calibri" w:hAnsi="Arial"/>
      <w:b/>
      <w:bCs/>
      <w:sz w:val="32"/>
      <w:szCs w:val="28"/>
      <w:lang w:eastAsia="en-US"/>
    </w:rPr>
  </w:style>
  <w:style w:type="paragraph" w:customStyle="1" w:styleId="BAHeader4">
    <w:name w:val="BA Header 4"/>
    <w:basedOn w:val="Heading1"/>
    <w:link w:val="BAHeader4CharChar"/>
    <w:pPr>
      <w:keepLines w:val="0"/>
      <w:numPr>
        <w:numId w:val="0"/>
      </w:numPr>
      <w:pBdr>
        <w:bottom w:val="none" w:sz="0" w:space="0" w:color="auto"/>
      </w:pBdr>
      <w:spacing w:before="240" w:after="120" w:line="0" w:lineRule="atLeast"/>
    </w:pPr>
    <w:rPr>
      <w:b w:val="0"/>
      <w:bCs w:val="0"/>
      <w:i/>
      <w:sz w:val="24"/>
      <w:szCs w:val="22"/>
    </w:rPr>
  </w:style>
  <w:style w:type="paragraph" w:customStyle="1" w:styleId="BAHeader5">
    <w:name w:val="BA Header 5"/>
    <w:basedOn w:val="BAHeader3"/>
    <w:link w:val="BAHeader5Char"/>
    <w:pPr>
      <w:numPr>
        <w:ilvl w:val="2"/>
        <w:numId w:val="14"/>
      </w:numPr>
      <w:outlineLvl w:val="9"/>
    </w:pPr>
    <w:rPr>
      <w:sz w:val="20"/>
      <w:szCs w:val="20"/>
      <w:u w:val="single"/>
    </w:rPr>
  </w:style>
  <w:style w:type="paragraph" w:customStyle="1" w:styleId="BAHeader6">
    <w:name w:val="BA Header 6"/>
    <w:basedOn w:val="BAHeader5"/>
    <w:pPr>
      <w:numPr>
        <w:ilvl w:val="0"/>
        <w:numId w:val="0"/>
      </w:numPr>
    </w:pPr>
    <w:rPr>
      <w:b w:val="0"/>
      <w:i/>
    </w:rPr>
  </w:style>
  <w:style w:type="paragraph" w:customStyle="1" w:styleId="BAQuote">
    <w:name w:val="BA Quote"/>
    <w:basedOn w:val="BAText"/>
    <w:link w:val="BAQuoteCharChar"/>
    <w:pPr>
      <w:tabs>
        <w:tab w:val="left" w:pos="851"/>
      </w:tabs>
      <w:spacing w:before="60"/>
      <w:ind w:left="425" w:right="425"/>
    </w:pPr>
    <w:rPr>
      <w:rFonts w:cs="Arial"/>
      <w:szCs w:val="22"/>
    </w:rPr>
  </w:style>
  <w:style w:type="paragraph" w:customStyle="1" w:styleId="BAReftext1">
    <w:name w:val="BA Ref text 1"/>
    <w:basedOn w:val="BAText1"/>
    <w:link w:val="BAReftext1Char"/>
    <w:pPr>
      <w:tabs>
        <w:tab w:val="left" w:pos="360"/>
      </w:tabs>
      <w:spacing w:before="180" w:line="200" w:lineRule="atLeast"/>
      <w:ind w:left="357" w:hanging="357"/>
    </w:pPr>
    <w:rPr>
      <w:sz w:val="24"/>
    </w:rPr>
  </w:style>
  <w:style w:type="paragraph" w:customStyle="1" w:styleId="BAReftext2">
    <w:name w:val="BA Ref text 2"/>
    <w:basedOn w:val="BAReftext1"/>
    <w:link w:val="BAReftext2Char"/>
    <w:pPr>
      <w:spacing w:before="0" w:line="80" w:lineRule="atLeast"/>
      <w:ind w:left="360" w:hanging="3"/>
    </w:pPr>
    <w:rPr>
      <w:sz w:val="20"/>
      <w:szCs w:val="20"/>
    </w:rPr>
  </w:style>
  <w:style w:type="paragraph" w:customStyle="1" w:styleId="BATableheading">
    <w:name w:val="BA Table heading"/>
    <w:basedOn w:val="Normal"/>
    <w:link w:val="BATableheadingCharChar"/>
    <w:pPr>
      <w:keepNext/>
      <w:keepLines/>
      <w:spacing w:before="280" w:after="140"/>
    </w:pPr>
    <w:rPr>
      <w:rFonts w:ascii="Arial" w:eastAsia="Arial Unicode MS" w:hAnsi="Arial" w:cs="Arial"/>
      <w:b/>
      <w:bCs/>
    </w:rPr>
  </w:style>
  <w:style w:type="paragraph" w:customStyle="1" w:styleId="BAText1bullet">
    <w:name w:val="BA Text 1 bullet"/>
    <w:basedOn w:val="BAText1"/>
    <w:link w:val="BAText1bulletChar"/>
    <w:pPr>
      <w:numPr>
        <w:numId w:val="15"/>
      </w:numPr>
    </w:pPr>
    <w:rPr>
      <w:sz w:val="24"/>
    </w:rPr>
  </w:style>
  <w:style w:type="character" w:customStyle="1" w:styleId="BATextCharChar">
    <w:name w:val="BA Text Char Char"/>
    <w:rPr>
      <w:bCs/>
      <w:sz w:val="22"/>
      <w:lang w:eastAsia="en-U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customStyle="1" w:styleId="bareftext10">
    <w:name w:val="bareftext1"/>
    <w:basedOn w:val="Normal"/>
    <w:pPr>
      <w:spacing w:before="100" w:beforeAutospacing="1" w:after="100" w:afterAutospacing="1"/>
    </w:pPr>
    <w:rPr>
      <w:sz w:val="24"/>
    </w:rPr>
  </w:style>
  <w:style w:type="paragraph" w:customStyle="1" w:styleId="batext10">
    <w:name w:val="batext1"/>
    <w:basedOn w:val="Normal"/>
    <w:pPr>
      <w:spacing w:before="100" w:beforeAutospacing="1" w:after="100" w:afterAutospacing="1"/>
    </w:pPr>
    <w:rPr>
      <w:sz w:val="24"/>
    </w:rPr>
  </w:style>
  <w:style w:type="paragraph" w:customStyle="1" w:styleId="Body">
    <w:name w:val="Body"/>
    <w:basedOn w:val="BAText1"/>
    <w:link w:val="BodyChar"/>
    <w:qFormat/>
    <w:rPr>
      <w:sz w:val="24"/>
    </w:rPr>
  </w:style>
  <w:style w:type="paragraph" w:styleId="BodyText">
    <w:name w:val="Body Text"/>
    <w:basedOn w:val="Normal"/>
    <w:link w:val="BodyTextChar"/>
    <w:pPr>
      <w:spacing w:after="120"/>
    </w:pPr>
    <w:rPr>
      <w:sz w:val="24"/>
    </w:rPr>
  </w:style>
  <w:style w:type="character" w:customStyle="1" w:styleId="BodyTextChar">
    <w:name w:val="Body Text Char"/>
    <w:link w:val="BodyText"/>
    <w:rPr>
      <w:sz w:val="24"/>
      <w:szCs w:val="24"/>
      <w:lang w:eastAsia="en-US"/>
    </w:rPr>
  </w:style>
  <w:style w:type="paragraph" w:styleId="BodyText2">
    <w:name w:val="Body Text 2"/>
    <w:basedOn w:val="Normal"/>
    <w:link w:val="BodyText2Char"/>
    <w:pPr>
      <w:spacing w:after="120" w:line="480" w:lineRule="auto"/>
    </w:pPr>
    <w:rPr>
      <w:color w:val="000000"/>
      <w:sz w:val="24"/>
    </w:rPr>
  </w:style>
  <w:style w:type="character" w:customStyle="1" w:styleId="BodyText2Char">
    <w:name w:val="Body Text 2 Char"/>
    <w:link w:val="BodyText2"/>
    <w:rPr>
      <w:color w:val="000000"/>
      <w:sz w:val="24"/>
      <w:szCs w:val="24"/>
      <w:lang w:eastAsia="en-US"/>
    </w:rPr>
  </w:style>
  <w:style w:type="paragraph" w:styleId="BodyText3">
    <w:name w:val="Body Text 3"/>
    <w:basedOn w:val="Normal"/>
    <w:link w:val="BodyText3Char"/>
    <w:pPr>
      <w:widowControl w:val="0"/>
    </w:pPr>
    <w:rPr>
      <w:rFonts w:eastAsia="Batang"/>
      <w:bCs/>
      <w:snapToGrid w:val="0"/>
      <w:sz w:val="20"/>
      <w:szCs w:val="20"/>
    </w:rPr>
  </w:style>
  <w:style w:type="character" w:customStyle="1" w:styleId="BodyText3Char">
    <w:name w:val="Body Text 3 Char"/>
    <w:link w:val="BodyText3"/>
    <w:rPr>
      <w:rFonts w:eastAsia="Batang"/>
      <w:bCs/>
      <w:snapToGrid w:val="0"/>
      <w:lang w:eastAsia="en-US"/>
    </w:rPr>
  </w:style>
  <w:style w:type="paragraph" w:styleId="BodyTextIndent">
    <w:name w:val="Body Text Indent"/>
    <w:basedOn w:val="Normal"/>
    <w:link w:val="BodyTextIndentChar"/>
    <w:pPr>
      <w:widowControl w:val="0"/>
      <w:ind w:left="720"/>
      <w:jc w:val="both"/>
    </w:pPr>
    <w:rPr>
      <w:rFonts w:eastAsia="Batang"/>
      <w:snapToGrid w:val="0"/>
      <w:color w:val="FF0000"/>
      <w:sz w:val="24"/>
      <w:szCs w:val="20"/>
    </w:rPr>
  </w:style>
  <w:style w:type="character" w:customStyle="1" w:styleId="BodyTextIndentChar">
    <w:name w:val="Body Text Indent Char"/>
    <w:link w:val="BodyTextIndent"/>
    <w:rPr>
      <w:rFonts w:eastAsia="Batang"/>
      <w:snapToGrid w:val="0"/>
      <w:color w:val="FF0000"/>
      <w:sz w:val="24"/>
      <w:lang w:eastAsia="en-US"/>
    </w:rPr>
  </w:style>
  <w:style w:type="paragraph" w:styleId="BodyTextIndent2">
    <w:name w:val="Body Text Indent 2"/>
    <w:basedOn w:val="Normal"/>
    <w:link w:val="BodyTextIndent2Char"/>
    <w:pPr>
      <w:widowControl w:val="0"/>
      <w:ind w:left="720"/>
    </w:pPr>
    <w:rPr>
      <w:rFonts w:eastAsia="Batang"/>
      <w:snapToGrid w:val="0"/>
      <w:sz w:val="24"/>
      <w:szCs w:val="20"/>
    </w:rPr>
  </w:style>
  <w:style w:type="character" w:customStyle="1" w:styleId="BodyTextIndent2Char">
    <w:name w:val="Body Text Indent 2 Char"/>
    <w:link w:val="BodyTextIndent2"/>
    <w:rPr>
      <w:rFonts w:eastAsia="Batang"/>
      <w:snapToGrid w:val="0"/>
      <w:sz w:val="24"/>
      <w:lang w:eastAsia="en-US"/>
    </w:rPr>
  </w:style>
  <w:style w:type="paragraph" w:customStyle="1" w:styleId="Bullet">
    <w:name w:val="Bullet"/>
    <w:basedOn w:val="Normal"/>
    <w:link w:val="BulletChar"/>
    <w:pPr>
      <w:spacing w:after="180" w:line="275" w:lineRule="atLeast"/>
    </w:pPr>
    <w:rPr>
      <w:color w:val="000000"/>
      <w:sz w:val="24"/>
    </w:rPr>
  </w:style>
  <w:style w:type="paragraph" w:customStyle="1" w:styleId="Bulletlast">
    <w:name w:val="Bullet last"/>
    <w:basedOn w:val="Normal"/>
    <w:pPr>
      <w:numPr>
        <w:numId w:val="10"/>
      </w:numPr>
      <w:spacing w:after="240"/>
    </w:pPr>
    <w:rPr>
      <w:sz w:val="24"/>
    </w:rPr>
  </w:style>
  <w:style w:type="paragraph" w:customStyle="1" w:styleId="Bullets">
    <w:name w:val="Bullets"/>
    <w:basedOn w:val="BAText1bullet"/>
    <w:link w:val="BulletsChar"/>
    <w:qFormat/>
    <w:pPr>
      <w:numPr>
        <w:numId w:val="0"/>
      </w:numPr>
      <w:spacing w:after="60"/>
    </w:pPr>
    <w:rPr>
      <w:rFonts w:ascii="Times New Roman" w:hAnsi="Times New Roman"/>
      <w:szCs w:val="24"/>
    </w:rPr>
  </w:style>
  <w:style w:type="paragraph" w:styleId="Caption">
    <w:name w:val="caption"/>
    <w:basedOn w:val="Normal"/>
    <w:next w:val="Normal"/>
    <w:qFormat/>
    <w:pPr>
      <w:jc w:val="center"/>
    </w:pPr>
    <w:rPr>
      <w:rFonts w:ascii="Helvetica" w:hAnsi="Helvetica"/>
      <w:b/>
      <w:bCs/>
      <w:sz w:val="36"/>
    </w:rPr>
  </w:style>
  <w:style w:type="paragraph" w:customStyle="1" w:styleId="CharChar1Char">
    <w:name w:val="Char Char1 Char"/>
    <w:basedOn w:val="Normal"/>
    <w:rPr>
      <w:rFonts w:ascii="Arial" w:hAnsi="Arial" w:cs="Arial"/>
    </w:rPr>
  </w:style>
  <w:style w:type="paragraph" w:customStyle="1" w:styleId="Char1">
    <w:name w:val="Char1"/>
    <w:basedOn w:val="Normal"/>
    <w:rPr>
      <w:rFonts w:ascii="Arial" w:hAnsi="Arial"/>
      <w:szCs w:val="20"/>
    </w:rPr>
  </w:style>
  <w:style w:type="paragraph" w:customStyle="1" w:styleId="columnheading">
    <w:name w:val="columnheading"/>
    <w:basedOn w:val="Heading1"/>
    <w:pPr>
      <w:keepNext w:val="0"/>
      <w:keepLines w:val="0"/>
      <w:numPr>
        <w:numId w:val="0"/>
      </w:numPr>
      <w:pBdr>
        <w:bottom w:val="none" w:sz="0" w:space="0" w:color="auto"/>
      </w:pBdr>
      <w:spacing w:before="120" w:after="0"/>
    </w:pPr>
    <w:rPr>
      <w:rFonts w:ascii="Verdana" w:hAnsi="Verdana" w:cs="Arial"/>
      <w:bCs w:val="0"/>
      <w:color w:val="000000"/>
      <w:sz w:val="20"/>
      <w:szCs w:val="20"/>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rPr>
  </w:style>
  <w:style w:type="paragraph" w:customStyle="1" w:styleId="Dash">
    <w:name w:val="Dash"/>
    <w:basedOn w:val="Normal"/>
    <w:link w:val="DashChar"/>
    <w:pPr>
      <w:numPr>
        <w:numId w:val="11"/>
      </w:numPr>
      <w:spacing w:after="180" w:line="275" w:lineRule="atLeast"/>
    </w:pPr>
    <w:rPr>
      <w:color w:val="000000"/>
      <w:sz w:val="24"/>
    </w:rPr>
  </w:style>
  <w:style w:type="paragraph" w:customStyle="1" w:styleId="Default">
    <w:name w:val="Default"/>
    <w:pPr>
      <w:autoSpaceDE w:val="0"/>
      <w:autoSpaceDN w:val="0"/>
      <w:adjustRightInd w:val="0"/>
    </w:pPr>
    <w:rPr>
      <w:color w:val="000000"/>
      <w:sz w:val="24"/>
      <w:szCs w:val="24"/>
    </w:rPr>
  </w:style>
  <w:style w:type="paragraph" w:styleId="DocumentMap">
    <w:name w:val="Document Map"/>
    <w:basedOn w:val="Normal"/>
    <w:link w:val="DocumentMapChar"/>
    <w:pPr>
      <w:shd w:val="clear" w:color="auto" w:fill="000080"/>
    </w:pPr>
    <w:rPr>
      <w:rFonts w:ascii="Tahoma" w:hAnsi="Tahoma" w:cs="Tahoma"/>
      <w:sz w:val="20"/>
      <w:szCs w:val="20"/>
    </w:rPr>
  </w:style>
  <w:style w:type="character" w:customStyle="1" w:styleId="DocumentMapChar">
    <w:name w:val="Document Map Char"/>
    <w:link w:val="DocumentMap"/>
    <w:rPr>
      <w:rFonts w:ascii="Tahoma" w:hAnsi="Tahoma" w:cs="Tahoma"/>
      <w:shd w:val="clear" w:color="auto" w:fill="000080"/>
      <w:lang w:eastAsia="en-US"/>
    </w:rPr>
  </w:style>
  <w:style w:type="paragraph" w:customStyle="1" w:styleId="dot">
    <w:name w:val="dot"/>
    <w:basedOn w:val="Normal"/>
    <w:rPr>
      <w:sz w:val="24"/>
    </w:rPr>
  </w:style>
  <w:style w:type="character" w:styleId="Emphasis">
    <w:name w:val="Emphasis"/>
    <w:uiPriority w:val="20"/>
    <w:qFormat/>
    <w:rPr>
      <w:i/>
      <w:iCs/>
    </w:rPr>
  </w:style>
  <w:style w:type="character" w:styleId="EndnoteReference">
    <w:name w:val="endnote reference"/>
    <w:rPr>
      <w:vertAlign w:val="superscript"/>
    </w:rPr>
  </w:style>
  <w:style w:type="paragraph" w:styleId="EndnoteText">
    <w:name w:val="endnote text"/>
    <w:basedOn w:val="Normal"/>
    <w:link w:val="EndnoteTextChar"/>
    <w:pPr>
      <w:overflowPunct w:val="0"/>
      <w:autoSpaceDE w:val="0"/>
      <w:autoSpaceDN w:val="0"/>
      <w:adjustRightInd w:val="0"/>
      <w:textAlignment w:val="baseline"/>
    </w:pPr>
    <w:rPr>
      <w:sz w:val="20"/>
      <w:szCs w:val="20"/>
    </w:rPr>
  </w:style>
  <w:style w:type="character" w:customStyle="1" w:styleId="EndnoteTextChar">
    <w:name w:val="Endnote Text Char"/>
    <w:link w:val="EndnoteText"/>
    <w:rPr>
      <w:lang w:eastAsia="en-US"/>
    </w:rPr>
  </w:style>
  <w:style w:type="paragraph" w:customStyle="1" w:styleId="Figure">
    <w:name w:val="Figure"/>
    <w:basedOn w:val="Normal"/>
    <w:link w:val="FigureChar"/>
    <w:qFormat/>
    <w:pPr>
      <w:spacing w:before="240" w:after="120"/>
    </w:pPr>
    <w:rPr>
      <w:rFonts w:ascii="Arial" w:hAnsi="Arial" w:cs="Arial"/>
      <w:b/>
      <w:sz w:val="20"/>
      <w:szCs w:val="20"/>
    </w:rPr>
  </w:style>
  <w:style w:type="paragraph" w:customStyle="1" w:styleId="FigureName">
    <w:name w:val="FigureName"/>
    <w:basedOn w:val="Normal"/>
    <w:pPr>
      <w:keepNext/>
      <w:keepLines/>
      <w:tabs>
        <w:tab w:val="left" w:pos="1276"/>
      </w:tabs>
      <w:spacing w:before="360" w:after="360" w:line="240" w:lineRule="atLeast"/>
      <w:ind w:left="1276" w:hanging="1276"/>
      <w:outlineLvl w:val="8"/>
    </w:pPr>
    <w:rPr>
      <w:rFonts w:ascii="Arial" w:hAnsi="Arial"/>
      <w:b/>
      <w:color w:val="000000"/>
    </w:rPr>
  </w:style>
  <w:style w:type="character" w:styleId="FollowedHyperlink">
    <w:name w:val="FollowedHyperlink"/>
    <w:uiPriority w:val="99"/>
    <w:rPr>
      <w:color w:val="800080"/>
      <w:u w:val="single"/>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4"/>
    </w:rPr>
  </w:style>
  <w:style w:type="character" w:styleId="FootnoteReference">
    <w:name w:val="footnote reference"/>
    <w:rPr>
      <w:vertAlign w:val="superscript"/>
    </w:r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4"/>
    </w:rPr>
  </w:style>
  <w:style w:type="paragraph" w:customStyle="1" w:styleId="Headernonumb">
    <w:name w:val="Header no numb"/>
    <w:basedOn w:val="BAHeader1"/>
    <w:pPr>
      <w:numPr>
        <w:numId w:val="0"/>
      </w:numPr>
    </w:pPr>
  </w:style>
  <w:style w:type="paragraph" w:customStyle="1" w:styleId="Heading1appendix">
    <w:name w:val="Heading 1 (appendix)"/>
    <w:basedOn w:val="Normal"/>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hAnsi="Arial"/>
      <w:b/>
      <w:color w:val="000000"/>
      <w:sz w:val="28"/>
      <w:szCs w:val="28"/>
    </w:rPr>
  </w:style>
  <w:style w:type="character" w:customStyle="1" w:styleId="Heading2Char">
    <w:name w:val="Heading 2 Char"/>
    <w:link w:val="Heading2"/>
    <w:rPr>
      <w:rFonts w:ascii="Arial" w:eastAsia="Calibri" w:hAnsi="Arial"/>
      <w:b/>
      <w:snapToGrid w:val="0"/>
      <w:color w:val="000000"/>
      <w:w w:val="0"/>
      <w:sz w:val="28"/>
      <w:szCs w:val="28"/>
      <w:lang w:eastAsia="en-US"/>
    </w:rPr>
  </w:style>
  <w:style w:type="paragraph" w:customStyle="1" w:styleId="Heading2a">
    <w:name w:val="Heading 2a"/>
    <w:basedOn w:val="Heading2"/>
    <w:pPr>
      <w:keepLines w:val="0"/>
      <w:numPr>
        <w:ilvl w:val="0"/>
        <w:numId w:val="0"/>
      </w:numPr>
      <w:overflowPunct w:val="0"/>
      <w:autoSpaceDE w:val="0"/>
      <w:autoSpaceDN w:val="0"/>
      <w:adjustRightInd w:val="0"/>
      <w:spacing w:after="120" w:line="340" w:lineRule="atLeast"/>
      <w:textAlignment w:val="baseline"/>
      <w:outlineLvl w:val="9"/>
    </w:pPr>
    <w:rPr>
      <w:rFonts w:cs="Arial"/>
      <w:bCs/>
      <w:snapToGrid/>
      <w:w w:val="100"/>
      <w:szCs w:val="20"/>
    </w:rPr>
  </w:style>
  <w:style w:type="paragraph" w:customStyle="1" w:styleId="Heading2b">
    <w:name w:val="Heading 2b"/>
    <w:basedOn w:val="Normal"/>
    <w:pPr>
      <w:widowControl w:val="0"/>
      <w:pBdr>
        <w:bottom w:val="single" w:sz="4" w:space="1" w:color="auto"/>
      </w:pBdr>
      <w:spacing w:before="120" w:after="360" w:line="340" w:lineRule="atLeast"/>
      <w:outlineLvl w:val="0"/>
    </w:pPr>
    <w:rPr>
      <w:rFonts w:ascii="Arial" w:hAnsi="Arial"/>
      <w:b/>
      <w:color w:val="000000"/>
      <w:sz w:val="28"/>
      <w:szCs w:val="28"/>
    </w:rPr>
  </w:style>
  <w:style w:type="character" w:customStyle="1" w:styleId="Heading3Char">
    <w:name w:val="Heading 3 Char"/>
    <w:link w:val="Heading3"/>
    <w:rPr>
      <w:rFonts w:ascii="Arial" w:eastAsia="Calibri" w:hAnsi="Arial"/>
      <w:b/>
      <w:bCs/>
      <w:sz w:val="24"/>
      <w:szCs w:val="22"/>
      <w:lang w:eastAsia="en-US"/>
    </w:rPr>
  </w:style>
  <w:style w:type="character" w:customStyle="1" w:styleId="Heading4Char">
    <w:name w:val="Heading 4 Char"/>
    <w:link w:val="Heading4"/>
    <w:rPr>
      <w:rFonts w:ascii="Arial" w:hAnsi="Arial"/>
      <w:b/>
      <w:bCs/>
      <w:i/>
      <w:iCs/>
      <w:color w:val="4F81BD"/>
      <w:sz w:val="22"/>
      <w:szCs w:val="24"/>
    </w:rPr>
  </w:style>
  <w:style w:type="character" w:customStyle="1" w:styleId="Heading5Char">
    <w:name w:val="Heading 5 Char"/>
    <w:aliases w:val="s Char,s1 Char,s2 Char,s3 Char,s4 Char,s5 Char"/>
    <w:link w:val="Heading5"/>
    <w:rPr>
      <w:rFonts w:ascii="Arial" w:eastAsia="Calibri" w:hAnsi="Arial"/>
      <w:color w:val="243F60"/>
      <w:sz w:val="22"/>
      <w:szCs w:val="22"/>
      <w:lang w:eastAsia="en-US"/>
    </w:rPr>
  </w:style>
  <w:style w:type="character" w:customStyle="1" w:styleId="Heading6Char">
    <w:name w:val="Heading 6 Char"/>
    <w:link w:val="Heading6"/>
    <w:rPr>
      <w:rFonts w:ascii="Arial" w:eastAsia="Calibri" w:hAnsi="Arial"/>
      <w:i/>
      <w:iCs/>
      <w:color w:val="243F60"/>
      <w:sz w:val="22"/>
      <w:szCs w:val="22"/>
      <w:lang w:eastAsia="en-US"/>
    </w:rPr>
  </w:style>
  <w:style w:type="character" w:customStyle="1" w:styleId="Heading7Char">
    <w:name w:val="Heading 7 Char"/>
    <w:link w:val="Heading7"/>
    <w:rPr>
      <w:rFonts w:ascii="Arial" w:eastAsia="Calibri" w:hAnsi="Arial"/>
      <w:i/>
      <w:iCs/>
      <w:color w:val="404040"/>
      <w:sz w:val="22"/>
      <w:szCs w:val="22"/>
      <w:lang w:eastAsia="en-US"/>
    </w:rPr>
  </w:style>
  <w:style w:type="character" w:customStyle="1" w:styleId="Heading8Char">
    <w:name w:val="Heading 8 Char"/>
    <w:link w:val="Heading8"/>
    <w:rPr>
      <w:rFonts w:ascii="Arial" w:eastAsia="Calibri" w:hAnsi="Arial"/>
      <w:color w:val="404040"/>
      <w:lang w:eastAsia="en-US"/>
    </w:rPr>
  </w:style>
  <w:style w:type="character" w:customStyle="1" w:styleId="Heading9Char">
    <w:name w:val="Heading 9 Char"/>
    <w:link w:val="Heading9"/>
    <w:rPr>
      <w:rFonts w:ascii="Arial" w:eastAsia="Calibri" w:hAnsi="Arial"/>
      <w:i/>
      <w:iCs/>
      <w:color w:val="404040"/>
      <w:lang w:eastAsia="en-US"/>
    </w:rPr>
  </w:style>
  <w:style w:type="paragraph" w:customStyle="1" w:styleId="Heanding5">
    <w:name w:val="Heanding 5"/>
    <w:basedOn w:val="Heading5"/>
    <w:link w:val="Heanding5Char"/>
    <w:qFormat/>
    <w:pPr>
      <w:keepLines w:val="0"/>
      <w:numPr>
        <w:ilvl w:val="0"/>
        <w:numId w:val="0"/>
      </w:numPr>
      <w:spacing w:before="240" w:after="60" w:line="275" w:lineRule="atLeast"/>
    </w:pPr>
    <w:rPr>
      <w:rFonts w:ascii="Times New Roman" w:hAnsi="Times New Roman"/>
      <w:bCs/>
      <w:i/>
      <w:iCs/>
      <w:color w:val="000000"/>
      <w:sz w:val="24"/>
      <w:szCs w:val="26"/>
    </w:rPr>
  </w:style>
  <w:style w:type="character" w:styleId="HTMLCite">
    <w:name w:val="HTML Cite"/>
    <w:uiPriority w:val="99"/>
    <w:unhideWhenUsed/>
    <w:rPr>
      <w:i/>
      <w:i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val="es-CO" w:eastAsia="es-CO"/>
    </w:rPr>
  </w:style>
  <w:style w:type="character" w:customStyle="1" w:styleId="HTMLPreformattedChar">
    <w:name w:val="HTML Preformatted Char"/>
    <w:link w:val="HTMLPreformatted"/>
    <w:rPr>
      <w:rFonts w:ascii="Courier New" w:eastAsia="Batang" w:hAnsi="Courier New" w:cs="Courier New"/>
      <w:lang w:val="es-CO" w:eastAsia="es-CO"/>
    </w:rPr>
  </w:style>
  <w:style w:type="character" w:styleId="Hyperlink">
    <w:name w:val="Hyperlink"/>
    <w:uiPriority w:val="99"/>
    <w:rPr>
      <w:color w:val="0000FF"/>
      <w:u w:val="single"/>
    </w:rPr>
  </w:style>
  <w:style w:type="character" w:customStyle="1" w:styleId="info1">
    <w:name w:val="info1"/>
    <w:rPr>
      <w:rFonts w:ascii="arial sans-serif" w:hAnsi="arial sans-serif" w:hint="default"/>
      <w:color w:val="000000"/>
      <w:sz w:val="20"/>
      <w:szCs w:val="20"/>
    </w:rPr>
  </w:style>
  <w:style w:type="paragraph" w:customStyle="1" w:styleId="IRAheading1">
    <w:name w:val="IRAheading1"/>
    <w:next w:val="Normal"/>
    <w:autoRedefine/>
    <w:pPr>
      <w:numPr>
        <w:numId w:val="13"/>
      </w:numPr>
      <w:spacing w:before="240" w:after="120"/>
    </w:pPr>
    <w:rPr>
      <w:rFonts w:ascii="Arial" w:hAnsi="Arial"/>
      <w:b/>
      <w:bCs/>
      <w:caps/>
      <w:sz w:val="32"/>
      <w:szCs w:val="32"/>
      <w:lang w:eastAsia="en-US"/>
    </w:rPr>
  </w:style>
  <w:style w:type="paragraph" w:customStyle="1" w:styleId="IRAheading2">
    <w:name w:val="IRAheading2"/>
    <w:basedOn w:val="IRAheading1"/>
    <w:next w:val="Normal"/>
    <w:autoRedefine/>
    <w:pPr>
      <w:numPr>
        <w:ilvl w:val="1"/>
      </w:numPr>
    </w:pPr>
    <w:rPr>
      <w:bCs w:val="0"/>
      <w:caps w:val="0"/>
    </w:rPr>
  </w:style>
  <w:style w:type="paragraph" w:customStyle="1" w:styleId="IRAheading3">
    <w:name w:val="IRAheading3"/>
    <w:basedOn w:val="IRAheading2"/>
    <w:next w:val="Normal"/>
    <w:link w:val="IRAheading3CharChar"/>
    <w:autoRedefine/>
    <w:pPr>
      <w:numPr>
        <w:ilvl w:val="2"/>
      </w:numPr>
    </w:pPr>
    <w:rPr>
      <w:bCs/>
      <w:sz w:val="28"/>
      <w:szCs w:val="24"/>
    </w:rPr>
  </w:style>
  <w:style w:type="paragraph" w:customStyle="1" w:styleId="IRAheading4">
    <w:name w:val="IRAheading4"/>
    <w:basedOn w:val="IRAheading3"/>
    <w:next w:val="Normal"/>
    <w:link w:val="IRAheading4Char"/>
    <w:autoRedefine/>
    <w:pPr>
      <w:numPr>
        <w:ilvl w:val="3"/>
      </w:numPr>
    </w:pPr>
    <w:rPr>
      <w:sz w:val="24"/>
    </w:rPr>
  </w:style>
  <w:style w:type="character" w:customStyle="1" w:styleId="Italiccharacters">
    <w:name w:val="Italic characters"/>
    <w:rPr>
      <w:sz w:val="22"/>
      <w:lang w:val="en-AU" w:eastAsia="en-US" w:bidi="ar-SA"/>
    </w:rPr>
  </w:style>
  <w:style w:type="paragraph" w:customStyle="1" w:styleId="list">
    <w:name w:val="list"/>
    <w:basedOn w:val="Normal"/>
    <w:pPr>
      <w:spacing w:before="100" w:beforeAutospacing="1" w:after="100" w:afterAutospacing="1"/>
    </w:pPr>
    <w:rPr>
      <w:rFonts w:ascii="Arial" w:eastAsia="Batang" w:hAnsi="Arial" w:cs="Arial"/>
      <w:color w:val="000000"/>
      <w:sz w:val="18"/>
      <w:szCs w:val="18"/>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sz w:val="22"/>
      <w:szCs w:val="22"/>
      <w:lang w:val="en-US" w:eastAsia="en-US"/>
    </w:rPr>
  </w:style>
  <w:style w:type="paragraph" w:styleId="NormalWeb">
    <w:name w:val="Normal (Web)"/>
    <w:basedOn w:val="Normal"/>
    <w:uiPriority w:val="99"/>
    <w:pPr>
      <w:spacing w:before="100" w:beforeAutospacing="1" w:after="100" w:afterAutospacing="1"/>
    </w:pPr>
    <w:rPr>
      <w:rFonts w:eastAsia="MS Mincho"/>
      <w:sz w:val="24"/>
      <w:lang w:eastAsia="ja-JP"/>
    </w:rPr>
  </w:style>
  <w:style w:type="paragraph" w:customStyle="1" w:styleId="NormalBulletafter">
    <w:name w:val="Normal Bullet after"/>
    <w:basedOn w:val="Normal"/>
    <w:pPr>
      <w:spacing w:after="120"/>
    </w:pPr>
    <w:rPr>
      <w:sz w:val="24"/>
    </w:rPr>
  </w:style>
  <w:style w:type="paragraph" w:styleId="NormalIndent">
    <w:name w:val="Normal Indent"/>
    <w:basedOn w:val="Normal"/>
    <w:pPr>
      <w:widowControl w:val="0"/>
      <w:spacing w:line="340" w:lineRule="atLeast"/>
      <w:ind w:left="720"/>
    </w:pPr>
    <w:rPr>
      <w:sz w:val="24"/>
      <w:szCs w:val="20"/>
    </w:rPr>
  </w:style>
  <w:style w:type="character" w:customStyle="1" w:styleId="order">
    <w:name w:val="order"/>
    <w:basedOn w:val="DefaultParagraphFont"/>
  </w:style>
  <w:style w:type="character" w:styleId="PageNumber">
    <w:name w:val="page number"/>
    <w:basedOn w:val="DefaultParagraphFont"/>
  </w:style>
  <w:style w:type="paragraph" w:styleId="PlainText">
    <w:name w:val="Plain Text"/>
    <w:basedOn w:val="Normal"/>
    <w:link w:val="PlainTextChar"/>
    <w:rPr>
      <w:rFonts w:ascii="Courier New" w:hAnsi="Courier New"/>
      <w:szCs w:val="20"/>
    </w:rPr>
  </w:style>
  <w:style w:type="character" w:customStyle="1" w:styleId="PlainTextChar">
    <w:name w:val="Plain Text Char"/>
    <w:link w:val="PlainText"/>
    <w:rPr>
      <w:rFonts w:ascii="Courier New" w:hAnsi="Courier New"/>
      <w:sz w:val="22"/>
      <w:lang w:eastAsia="en-US"/>
    </w:rPr>
  </w:style>
  <w:style w:type="paragraph" w:styleId="Quote">
    <w:name w:val="Quote"/>
    <w:basedOn w:val="Normal"/>
    <w:link w:val="QuoteChar"/>
    <w:qFormat/>
    <w:pPr>
      <w:spacing w:after="180" w:line="275" w:lineRule="atLeast"/>
      <w:ind w:left="720" w:right="720"/>
    </w:pPr>
    <w:rPr>
      <w:color w:val="000000"/>
      <w:sz w:val="20"/>
    </w:rPr>
  </w:style>
  <w:style w:type="character" w:customStyle="1" w:styleId="QuoteChar">
    <w:name w:val="Quote Char"/>
    <w:link w:val="Quote"/>
    <w:rPr>
      <w:color w:val="000000"/>
      <w:szCs w:val="24"/>
      <w:lang w:eastAsia="en-US"/>
    </w:rPr>
  </w:style>
  <w:style w:type="paragraph" w:customStyle="1" w:styleId="References">
    <w:name w:val="References"/>
    <w:basedOn w:val="Normal"/>
    <w:pPr>
      <w:spacing w:before="160" w:after="180" w:line="280" w:lineRule="atLeast"/>
      <w:ind w:left="547" w:hanging="547"/>
    </w:pPr>
    <w:rPr>
      <w:color w:val="000000"/>
      <w:szCs w:val="20"/>
    </w:rPr>
  </w:style>
  <w:style w:type="character" w:customStyle="1" w:styleId="spanfooter1">
    <w:name w:val="spanfooter1"/>
    <w:rPr>
      <w:color w:val="696969"/>
    </w:rPr>
  </w:style>
  <w:style w:type="character" w:styleId="Strong">
    <w:name w:val="Strong"/>
    <w:qFormat/>
    <w:rPr>
      <w:b/>
      <w:bCs/>
    </w:rPr>
  </w:style>
  <w:style w:type="paragraph" w:customStyle="1" w:styleId="StyleBAAppendixH2Left0cmFirstline0cm">
    <w:name w:val="Style BA Appendix H2 + Left:  0 cm First line:  0 cm"/>
    <w:basedOn w:val="BAHeader2"/>
    <w:pPr>
      <w:numPr>
        <w:numId w:val="14"/>
      </w:numPr>
    </w:pPr>
    <w:rPr>
      <w:bCs/>
      <w:szCs w:val="20"/>
    </w:rPr>
  </w:style>
  <w:style w:type="paragraph" w:customStyle="1" w:styleId="StyleBAHeader5HelveticaNotBoldItalic">
    <w:name w:val="Style BA Header 5 + Helvetica Not Bold Italic"/>
    <w:basedOn w:val="Normal"/>
    <w:pPr>
      <w:keepNext/>
      <w:keepLines/>
      <w:tabs>
        <w:tab w:val="num" w:pos="1440"/>
      </w:tabs>
      <w:spacing w:before="360" w:after="120" w:line="340" w:lineRule="atLeast"/>
      <w:ind w:left="1440" w:hanging="360"/>
    </w:pPr>
    <w:rPr>
      <w:rFonts w:ascii="Arial" w:hAnsi="Arial"/>
      <w:i/>
      <w:iCs/>
      <w:sz w:val="20"/>
      <w:szCs w:val="20"/>
      <w:u w:val="single"/>
    </w:rPr>
  </w:style>
  <w:style w:type="paragraph" w:customStyle="1" w:styleId="StyleBAText1bulletItalic">
    <w:name w:val="Style BA Text 1 bullet + Italic"/>
    <w:basedOn w:val="BAText1bullet"/>
    <w:link w:val="StyleBAText1bulletItalicChar"/>
    <w:pPr>
      <w:numPr>
        <w:numId w:val="0"/>
      </w:numPr>
    </w:pPr>
    <w:rPr>
      <w:i/>
      <w:iCs/>
      <w:szCs w:val="24"/>
    </w:rPr>
  </w:style>
  <w:style w:type="numbering" w:customStyle="1" w:styleId="StyleBulleted11pt">
    <w:name w:val="Style Bulleted 11 pt"/>
    <w:basedOn w:val="NoList"/>
    <w:pPr>
      <w:numPr>
        <w:numId w:val="16"/>
      </w:numPr>
    </w:pPr>
  </w:style>
  <w:style w:type="numbering" w:customStyle="1" w:styleId="Style1">
    <w:name w:val="Style1"/>
    <w:uiPriority w:val="99"/>
    <w:pPr>
      <w:numPr>
        <w:numId w:val="17"/>
      </w:numPr>
    </w:pPr>
  </w:style>
  <w:style w:type="character" w:customStyle="1" w:styleId="Style1Char">
    <w:name w:val="Style1 Char"/>
    <w:rPr>
      <w:rFonts w:ascii="Arial" w:hAnsi="Arial"/>
      <w:bCs/>
      <w:noProof/>
      <w:lang w:eastAsia="en-US"/>
    </w:rPr>
  </w:style>
  <w:style w:type="paragraph" w:customStyle="1" w:styleId="Style1dotpoints">
    <w:name w:val="Style1dotpoints"/>
    <w:pPr>
      <w:numPr>
        <w:numId w:val="18"/>
      </w:numPr>
      <w:spacing w:before="160"/>
      <w:jc w:val="both"/>
    </w:pPr>
    <w:rPr>
      <w:b/>
      <w:sz w:val="22"/>
      <w:lang w:eastAsia="en-US"/>
    </w:rPr>
  </w:style>
  <w:style w:type="numbering" w:customStyle="1" w:styleId="Style2">
    <w:name w:val="Style2"/>
    <w:uiPriority w:val="99"/>
    <w:pPr>
      <w:numPr>
        <w:numId w:val="19"/>
      </w:numPr>
    </w:pPr>
  </w:style>
  <w:style w:type="numbering" w:customStyle="1" w:styleId="Style3">
    <w:name w:val="Style3"/>
    <w:uiPriority w:val="99"/>
    <w:pPr>
      <w:numPr>
        <w:numId w:val="20"/>
      </w:numPr>
    </w:pPr>
  </w:style>
  <w:style w:type="numbering" w:customStyle="1" w:styleId="Style4">
    <w:name w:val="Style4"/>
    <w:uiPriority w:val="99"/>
    <w:pPr>
      <w:numPr>
        <w:numId w:val="21"/>
      </w:numPr>
    </w:pPr>
  </w:style>
  <w:style w:type="numbering" w:customStyle="1" w:styleId="Style5">
    <w:name w:val="Style5"/>
    <w:uiPriority w:val="99"/>
    <w:pPr>
      <w:numPr>
        <w:numId w:val="22"/>
      </w:numPr>
    </w:pPr>
  </w:style>
  <w:style w:type="numbering" w:customStyle="1" w:styleId="Style6">
    <w:name w:val="Style6"/>
    <w:uiPriority w:val="99"/>
    <w:pPr>
      <w:numPr>
        <w:numId w:val="23"/>
      </w:numPr>
    </w:pPr>
  </w:style>
  <w:style w:type="paragraph" w:customStyle="1" w:styleId="Style7">
    <w:name w:val="Style7"/>
    <w:basedOn w:val="Heading2"/>
    <w:link w:val="Style7Char"/>
    <w:qFormat/>
    <w:pPr>
      <w:numPr>
        <w:numId w:val="24"/>
      </w:numPr>
      <w:spacing w:before="240" w:after="120"/>
    </w:pPr>
    <w:rPr>
      <w:sz w:val="24"/>
    </w:rPr>
  </w:style>
  <w:style w:type="numbering" w:customStyle="1" w:styleId="Style8">
    <w:name w:val="Style8"/>
    <w:uiPriority w:val="99"/>
    <w:pPr>
      <w:numPr>
        <w:numId w:val="25"/>
      </w:numPr>
    </w:pPr>
  </w:style>
  <w:style w:type="paragraph" w:customStyle="1" w:styleId="Style9">
    <w:name w:val="Style9"/>
    <w:basedOn w:val="Figure"/>
    <w:link w:val="Style9Char"/>
    <w:qFormat/>
  </w:style>
  <w:style w:type="paragraph" w:styleId="Subtitle">
    <w:name w:val="Subtitle"/>
    <w:basedOn w:val="Normal"/>
    <w:link w:val="SubtitleChar"/>
    <w:qFormat/>
    <w:pPr>
      <w:spacing w:before="240" w:after="240" w:line="275" w:lineRule="atLeast"/>
      <w:jc w:val="center"/>
      <w:outlineLvl w:val="1"/>
    </w:pPr>
    <w:rPr>
      <w:rFonts w:ascii="Arial" w:hAnsi="Arial" w:cs="Arial"/>
      <w:color w:val="000000"/>
      <w:sz w:val="40"/>
    </w:rPr>
  </w:style>
  <w:style w:type="character" w:customStyle="1" w:styleId="SubtitleChar">
    <w:name w:val="Subtitle Char"/>
    <w:link w:val="Subtitle"/>
    <w:rPr>
      <w:rFonts w:ascii="Arial" w:hAnsi="Arial" w:cs="Arial"/>
      <w:color w:val="000000"/>
      <w:sz w:val="40"/>
      <w:szCs w:val="24"/>
      <w:lang w:eastAsia="en-US"/>
    </w:rPr>
  </w:style>
  <w:style w:type="paragraph" w:customStyle="1" w:styleId="Table">
    <w:name w:val="Table"/>
    <w:basedOn w:val="Figure"/>
    <w:link w:val="TableChar"/>
    <w:qForma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AHeader3"/>
    <w:link w:val="TableheaderCharChar"/>
    <w:pPr>
      <w:tabs>
        <w:tab w:val="clear" w:pos="862"/>
      </w:tabs>
      <w:spacing w:line="240" w:lineRule="atLeast"/>
      <w:ind w:left="0" w:firstLine="0"/>
      <w:outlineLvl w:val="8"/>
    </w:pPr>
    <w:rPr>
      <w:sz w:val="22"/>
    </w:rPr>
  </w:style>
  <w:style w:type="character" w:customStyle="1" w:styleId="TableheaderChar">
    <w:name w:val="Table header Char"/>
    <w:locked/>
    <w:rPr>
      <w:rFonts w:ascii="Arial" w:hAnsi="Arial" w:cs="Arial"/>
      <w:b/>
      <w:sz w:val="22"/>
      <w:szCs w:val="24"/>
      <w:lang w:eastAsia="en-US"/>
    </w:rPr>
  </w:style>
  <w:style w:type="paragraph" w:styleId="TableofFigures">
    <w:name w:val="table of figures"/>
    <w:basedOn w:val="Normal"/>
    <w:next w:val="Normal"/>
    <w:uiPriority w:val="99"/>
  </w:style>
  <w:style w:type="table" w:styleId="TableSimple3">
    <w:name w:val="Table Simple 3"/>
    <w:basedOn w:val="TableNormal"/>
    <w:pPr>
      <w:jc w:val="both"/>
    </w:p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Text">
    <w:name w:val="Table Text"/>
    <w:basedOn w:val="Normal"/>
    <w:link w:val="TableTextChar"/>
    <w:pPr>
      <w:spacing w:before="60" w:after="60" w:line="0" w:lineRule="atLeast"/>
    </w:pPr>
    <w:rPr>
      <w:rFonts w:ascii="Arial" w:hAnsi="Arial"/>
      <w:sz w:val="16"/>
      <w:szCs w:val="20"/>
    </w:rPr>
  </w:style>
  <w:style w:type="paragraph" w:customStyle="1" w:styleId="Tabletext0">
    <w:name w:val="Table text"/>
    <w:basedOn w:val="Normal"/>
    <w:pPr>
      <w:spacing w:before="60" w:after="60" w:line="280" w:lineRule="atLeast"/>
    </w:pPr>
    <w:rPr>
      <w:rFonts w:ascii="Arial" w:hAnsi="Arial" w:cs="Arial"/>
      <w:snapToGrid w:val="0"/>
      <w:sz w:val="18"/>
      <w:szCs w:val="20"/>
      <w:lang w:val="en-GB"/>
    </w:rPr>
  </w:style>
  <w:style w:type="paragraph" w:customStyle="1" w:styleId="TableText1">
    <w:name w:val="TableText"/>
    <w:basedOn w:val="Normal"/>
    <w:link w:val="TableTextChar0"/>
    <w:pPr>
      <w:keepNext/>
      <w:spacing w:before="60" w:after="60"/>
    </w:pPr>
    <w:rPr>
      <w:color w:val="000000"/>
      <w:sz w:val="16"/>
      <w:szCs w:val="20"/>
    </w:rPr>
  </w:style>
  <w:style w:type="paragraph" w:customStyle="1" w:styleId="TableHeadings">
    <w:name w:val="TableHeadings"/>
    <w:basedOn w:val="TableText1"/>
    <w:pPr>
      <w:spacing w:before="40"/>
    </w:pPr>
    <w:rPr>
      <w:rFonts w:ascii="Arial" w:hAnsi="Arial"/>
      <w:b/>
    </w:rPr>
  </w:style>
  <w:style w:type="paragraph" w:customStyle="1" w:styleId="TableName">
    <w:name w:val="TableName"/>
    <w:basedOn w:val="Normal"/>
    <w:pPr>
      <w:keepNext/>
      <w:keepLines/>
      <w:tabs>
        <w:tab w:val="left" w:pos="1440"/>
      </w:tabs>
      <w:spacing w:before="240" w:after="120"/>
      <w:ind w:left="1440" w:hanging="1440"/>
    </w:pPr>
    <w:rPr>
      <w:rFonts w:ascii="Arial Bold" w:hAnsi="Arial Bold"/>
      <w:b/>
      <w:color w:val="000000"/>
    </w:rPr>
  </w:style>
  <w:style w:type="paragraph" w:customStyle="1" w:styleId="TableNotes">
    <w:name w:val="TableNotes"/>
    <w:basedOn w:val="Normal"/>
    <w:link w:val="TableNotesChar"/>
    <w:pPr>
      <w:spacing w:before="40" w:after="180"/>
    </w:pPr>
    <w:rPr>
      <w:rFonts w:ascii="Arial Narrow" w:hAnsi="Arial Narrow"/>
      <w:color w:val="000000"/>
      <w:sz w:val="16"/>
    </w:rPr>
  </w:style>
  <w:style w:type="paragraph" w:styleId="Title">
    <w:name w:val="Title"/>
    <w:basedOn w:val="Normal"/>
    <w:link w:val="TitleChar"/>
    <w:qFormat/>
    <w:pPr>
      <w:spacing w:before="480" w:after="240" w:line="275" w:lineRule="atLeast"/>
      <w:jc w:val="center"/>
    </w:pPr>
    <w:rPr>
      <w:color w:val="000000"/>
      <w:sz w:val="52"/>
    </w:rPr>
  </w:style>
  <w:style w:type="character" w:customStyle="1" w:styleId="TitleChar">
    <w:name w:val="Title Char"/>
    <w:link w:val="Title"/>
    <w:rPr>
      <w:color w:val="000000"/>
      <w:sz w:val="52"/>
      <w:szCs w:val="24"/>
      <w:lang w:eastAsia="en-US"/>
    </w:rPr>
  </w:style>
  <w:style w:type="paragraph" w:styleId="TOC1">
    <w:name w:val="toc 1"/>
    <w:basedOn w:val="Normal"/>
    <w:next w:val="Normal"/>
    <w:autoRedefine/>
    <w:uiPriority w:val="39"/>
    <w:qFormat/>
    <w:pPr>
      <w:tabs>
        <w:tab w:val="left" w:pos="0"/>
        <w:tab w:val="left" w:pos="426"/>
        <w:tab w:val="right" w:leader="dot" w:pos="9016"/>
      </w:tabs>
      <w:spacing w:before="240" w:after="100" w:line="240" w:lineRule="auto"/>
      <w:ind w:left="1701" w:hanging="1701"/>
    </w:pPr>
    <w:rPr>
      <w:rFonts w:ascii="Arial Bold" w:hAnsi="Arial Bold"/>
      <w:b/>
      <w:noProof/>
      <w:sz w:val="24"/>
    </w:rPr>
  </w:style>
  <w:style w:type="paragraph" w:styleId="TOC2">
    <w:name w:val="toc 2"/>
    <w:basedOn w:val="Normal"/>
    <w:next w:val="Normal"/>
    <w:autoRedefine/>
    <w:uiPriority w:val="39"/>
    <w:qFormat/>
    <w:pPr>
      <w:tabs>
        <w:tab w:val="left" w:pos="880"/>
        <w:tab w:val="right" w:leader="dot" w:pos="9016"/>
      </w:tabs>
      <w:spacing w:before="120" w:after="100" w:line="240" w:lineRule="auto"/>
      <w:ind w:left="425"/>
    </w:pPr>
    <w:rPr>
      <w:rFonts w:ascii="Arial" w:hAnsi="Arial" w:cs="Arial"/>
      <w:noProof/>
      <w:sz w:val="20"/>
      <w:szCs w:val="20"/>
    </w:rPr>
  </w:style>
  <w:style w:type="paragraph" w:styleId="TOC3">
    <w:name w:val="toc 3"/>
    <w:basedOn w:val="Normal"/>
    <w:next w:val="Normal"/>
    <w:autoRedefine/>
    <w:uiPriority w:val="39"/>
    <w:qFormat/>
    <w:pPr>
      <w:spacing w:after="100"/>
      <w:ind w:left="440"/>
    </w:pPr>
  </w:style>
  <w:style w:type="paragraph" w:styleId="TOC4">
    <w:name w:val="toc 4"/>
    <w:basedOn w:val="TOC1"/>
    <w:next w:val="Normal"/>
    <w:autoRedefine/>
    <w:uiPriority w:val="39"/>
    <w:pPr>
      <w:tabs>
        <w:tab w:val="clear" w:pos="9016"/>
        <w:tab w:val="left" w:pos="900"/>
        <w:tab w:val="right" w:leader="dot" w:pos="9060"/>
      </w:tabs>
      <w:spacing w:after="180" w:line="240" w:lineRule="atLeast"/>
      <w:ind w:left="1588" w:hanging="1588"/>
    </w:pPr>
    <w:rPr>
      <w:rFonts w:ascii="Arial" w:hAnsi="Arial" w:cs="Arial"/>
      <w:szCs w:val="28"/>
    </w:rPr>
  </w:style>
  <w:style w:type="paragraph" w:customStyle="1" w:styleId="ToC40">
    <w:name w:val="ToC 4"/>
    <w:basedOn w:val="TOC1"/>
    <w:pPr>
      <w:tabs>
        <w:tab w:val="clear" w:pos="9016"/>
        <w:tab w:val="left" w:pos="1620"/>
        <w:tab w:val="right" w:leader="dot" w:pos="9060"/>
      </w:tabs>
      <w:spacing w:after="0"/>
      <w:ind w:left="902" w:hanging="902"/>
      <w:jc w:val="both"/>
    </w:pPr>
    <w:rPr>
      <w:rFonts w:ascii="Arial" w:hAnsi="Arial" w:cs="Arial"/>
      <w:szCs w:val="28"/>
    </w:rPr>
  </w:style>
  <w:style w:type="paragraph" w:styleId="TOC5">
    <w:name w:val="toc 5"/>
    <w:basedOn w:val="Normal"/>
    <w:next w:val="Normal"/>
    <w:autoRedefine/>
    <w:uiPriority w:val="39"/>
    <w:pPr>
      <w:ind w:left="960"/>
    </w:pPr>
    <w:rPr>
      <w:sz w:val="24"/>
    </w:rPr>
  </w:style>
  <w:style w:type="paragraph" w:styleId="TOC6">
    <w:name w:val="toc 6"/>
    <w:basedOn w:val="Normal"/>
    <w:next w:val="Normal"/>
    <w:autoRedefine/>
    <w:uiPriority w:val="39"/>
    <w:pPr>
      <w:ind w:left="1200"/>
    </w:pPr>
    <w:rPr>
      <w:sz w:val="24"/>
    </w:rPr>
  </w:style>
  <w:style w:type="paragraph" w:styleId="TOC7">
    <w:name w:val="toc 7"/>
    <w:basedOn w:val="Normal"/>
    <w:next w:val="Normal"/>
    <w:autoRedefine/>
    <w:uiPriority w:val="39"/>
    <w:pPr>
      <w:ind w:left="1440"/>
    </w:pPr>
    <w:rPr>
      <w:sz w:val="24"/>
    </w:rPr>
  </w:style>
  <w:style w:type="paragraph" w:styleId="TOC8">
    <w:name w:val="toc 8"/>
    <w:basedOn w:val="Normal"/>
    <w:next w:val="Normal"/>
    <w:autoRedefine/>
    <w:uiPriority w:val="39"/>
    <w:pPr>
      <w:ind w:left="1680"/>
    </w:pPr>
    <w:rPr>
      <w:sz w:val="24"/>
    </w:rPr>
  </w:style>
  <w:style w:type="paragraph" w:styleId="TOC9">
    <w:name w:val="toc 9"/>
    <w:basedOn w:val="Normal"/>
    <w:next w:val="Normal"/>
    <w:autoRedefine/>
    <w:uiPriority w:val="39"/>
    <w:pPr>
      <w:ind w:left="1920"/>
    </w:pPr>
    <w:rPr>
      <w:sz w:val="24"/>
    </w:rPr>
  </w:style>
  <w:style w:type="paragraph" w:styleId="TOCHeading">
    <w:name w:val="TOC Heading"/>
    <w:basedOn w:val="Heading1"/>
    <w:next w:val="Normal"/>
    <w:uiPriority w:val="39"/>
    <w:semiHidden/>
    <w:unhideWhenUsed/>
    <w:qFormat/>
    <w:pPr>
      <w:numPr>
        <w:numId w:val="0"/>
      </w:numPr>
      <w:outlineLvl w:val="9"/>
    </w:pPr>
    <w:rPr>
      <w:lang w:val="en-US"/>
    </w:rPr>
  </w:style>
  <w:style w:type="character" w:customStyle="1" w:styleId="valid">
    <w:name w:val="valid"/>
    <w:basedOn w:val="DefaultParagraphFont"/>
  </w:style>
  <w:style w:type="character" w:customStyle="1" w:styleId="BAText1Char">
    <w:name w:val="BA Text 1 Char"/>
    <w:link w:val="BAText1"/>
    <w:rPr>
      <w:rFonts w:ascii="Times" w:hAnsi="Times"/>
      <w:sz w:val="22"/>
      <w:szCs w:val="24"/>
      <w:lang w:eastAsia="en-US"/>
    </w:rPr>
  </w:style>
  <w:style w:type="character" w:customStyle="1" w:styleId="TableTextChar0">
    <w:name w:val="TableText Char"/>
    <w:link w:val="TableText1"/>
    <w:rPr>
      <w:color w:val="000000"/>
      <w:sz w:val="16"/>
      <w:lang w:eastAsia="en-US"/>
    </w:rPr>
  </w:style>
  <w:style w:type="character" w:customStyle="1" w:styleId="BodyChar">
    <w:name w:val="Body Char"/>
    <w:link w:val="Body"/>
    <w:rPr>
      <w:rFonts w:ascii="Times" w:hAnsi="Times"/>
      <w:sz w:val="24"/>
      <w:szCs w:val="24"/>
      <w:lang w:eastAsia="en-US"/>
    </w:rPr>
  </w:style>
  <w:style w:type="character" w:customStyle="1" w:styleId="BAText1bulletChar">
    <w:name w:val="BA Text 1 bullet Char"/>
    <w:link w:val="BAText1bullet"/>
    <w:rPr>
      <w:rFonts w:ascii="Times" w:eastAsia="Calibri" w:hAnsi="Times"/>
      <w:sz w:val="24"/>
      <w:szCs w:val="22"/>
      <w:lang w:eastAsia="en-US"/>
    </w:rPr>
  </w:style>
  <w:style w:type="character" w:customStyle="1" w:styleId="BulletsChar">
    <w:name w:val="Bullets Char"/>
    <w:link w:val="Bullets"/>
    <w:rPr>
      <w:rFonts w:ascii="Times" w:eastAsia="Calibri" w:hAnsi="Times"/>
      <w:sz w:val="24"/>
      <w:szCs w:val="24"/>
      <w:lang w:eastAsia="en-US"/>
    </w:rPr>
  </w:style>
  <w:style w:type="character" w:customStyle="1" w:styleId="FigureChar">
    <w:name w:val="Figure Char"/>
    <w:link w:val="Figure"/>
    <w:rPr>
      <w:rFonts w:ascii="Arial" w:hAnsi="Arial" w:cs="Arial"/>
      <w:b/>
    </w:rPr>
  </w:style>
  <w:style w:type="character" w:customStyle="1" w:styleId="Style7Char">
    <w:name w:val="Style7 Char"/>
    <w:link w:val="Style7"/>
    <w:rPr>
      <w:rFonts w:ascii="Arial" w:eastAsia="Calibri" w:hAnsi="Arial"/>
      <w:b/>
      <w:snapToGrid w:val="0"/>
      <w:color w:val="000000"/>
      <w:w w:val="0"/>
      <w:sz w:val="24"/>
      <w:szCs w:val="28"/>
      <w:lang w:eastAsia="en-US"/>
    </w:rPr>
  </w:style>
  <w:style w:type="character" w:customStyle="1" w:styleId="TableTextChar">
    <w:name w:val="Table Text Char"/>
    <w:link w:val="TableText"/>
    <w:rPr>
      <w:rFonts w:ascii="Arial" w:eastAsia="Calibri" w:hAnsi="Arial"/>
      <w:sz w:val="16"/>
      <w:lang w:eastAsia="en-US"/>
    </w:rPr>
  </w:style>
  <w:style w:type="character" w:customStyle="1" w:styleId="AQISTextChar">
    <w:name w:val="AQIS Text Char"/>
    <w:link w:val="AQISText"/>
    <w:rPr>
      <w:sz w:val="22"/>
      <w:lang w:eastAsia="en-US"/>
    </w:rPr>
  </w:style>
  <w:style w:type="character" w:customStyle="1" w:styleId="BAHeader4CharChar">
    <w:name w:val="BA Header 4 Char Char"/>
    <w:link w:val="BAHeader4"/>
    <w:rPr>
      <w:rFonts w:ascii="Arial" w:hAnsi="Arial"/>
      <w:i/>
      <w:sz w:val="24"/>
      <w:szCs w:val="22"/>
      <w:lang w:eastAsia="en-US"/>
    </w:rPr>
  </w:style>
  <w:style w:type="character" w:customStyle="1" w:styleId="AQISNumChar">
    <w:name w:val="AQIS Num Char"/>
    <w:link w:val="AQISNum"/>
    <w:rPr>
      <w:rFonts w:ascii="Calibri" w:eastAsia="Calibri" w:hAnsi="Calibri"/>
      <w:sz w:val="24"/>
      <w:lang w:eastAsia="en-US"/>
    </w:rPr>
  </w:style>
  <w:style w:type="character" w:customStyle="1" w:styleId="TableChar">
    <w:name w:val="Table Char"/>
    <w:basedOn w:val="FigureChar"/>
    <w:link w:val="Table"/>
    <w:rPr>
      <w:rFonts w:ascii="Arial" w:hAnsi="Arial" w:cs="Arial"/>
      <w:b/>
    </w:rPr>
  </w:style>
  <w:style w:type="paragraph" w:styleId="Revision">
    <w:name w:val="Revision"/>
    <w:hidden/>
    <w:uiPriority w:val="99"/>
    <w:semiHidden/>
    <w:rPr>
      <w:sz w:val="22"/>
      <w:szCs w:val="24"/>
    </w:rPr>
  </w:style>
  <w:style w:type="character" w:customStyle="1" w:styleId="BulletChar">
    <w:name w:val="Bullet Char"/>
    <w:link w:val="Bullet"/>
    <w:rPr>
      <w:rFonts w:ascii="Calibri" w:eastAsia="Calibri" w:hAnsi="Calibri"/>
      <w:color w:val="000000"/>
      <w:sz w:val="24"/>
      <w:szCs w:val="22"/>
      <w:lang w:eastAsia="en-US"/>
    </w:rPr>
  </w:style>
  <w:style w:type="character" w:customStyle="1" w:styleId="DashChar">
    <w:name w:val="Dash Char"/>
    <w:link w:val="Dash"/>
    <w:rPr>
      <w:rFonts w:ascii="Calibri" w:eastAsia="Calibri" w:hAnsi="Calibri"/>
      <w:color w:val="000000"/>
      <w:sz w:val="24"/>
      <w:szCs w:val="22"/>
      <w:lang w:eastAsia="en-US"/>
    </w:rPr>
  </w:style>
  <w:style w:type="character" w:customStyle="1" w:styleId="BAHeader1CharChar">
    <w:name w:val="BA Header 1 Char Char"/>
    <w:link w:val="BAHeader1"/>
    <w:rPr>
      <w:rFonts w:ascii="Arial" w:eastAsia="Calibri" w:hAnsi="Arial"/>
      <w:b/>
      <w:sz w:val="28"/>
      <w:szCs w:val="28"/>
      <w:lang w:eastAsia="en-US"/>
    </w:rPr>
  </w:style>
  <w:style w:type="character" w:customStyle="1" w:styleId="BAHeader3CharChar">
    <w:name w:val="BA Header 3 Char Char"/>
    <w:link w:val="BAHeader3"/>
    <w:rPr>
      <w:rFonts w:ascii="Arial" w:eastAsia="Calibri" w:hAnsi="Arial"/>
      <w:b/>
      <w:sz w:val="24"/>
      <w:szCs w:val="22"/>
      <w:lang w:eastAsia="en-US"/>
    </w:rPr>
  </w:style>
  <w:style w:type="character" w:customStyle="1" w:styleId="BATextChar">
    <w:name w:val="BA Text Char"/>
    <w:link w:val="BAText"/>
    <w:rPr>
      <w:rFonts w:ascii="Calibri" w:eastAsia="Calibri" w:hAnsi="Calibri"/>
      <w:bCs/>
      <w:sz w:val="22"/>
      <w:lang w:eastAsia="en-US"/>
    </w:rPr>
  </w:style>
  <w:style w:type="character" w:customStyle="1" w:styleId="BAHead4CharChar">
    <w:name w:val="BA Head 4 Char Char"/>
    <w:link w:val="BAHead4"/>
    <w:rPr>
      <w:rFonts w:ascii="Arial" w:eastAsia="Calibri" w:hAnsi="Arial"/>
      <w:b/>
      <w:bCs/>
      <w:sz w:val="24"/>
      <w:szCs w:val="23"/>
      <w:lang w:eastAsia="en-US"/>
    </w:rPr>
  </w:style>
  <w:style w:type="character" w:customStyle="1" w:styleId="BATableheadingCharChar">
    <w:name w:val="BA Table heading Char Char"/>
    <w:link w:val="BATableheading"/>
    <w:locked/>
    <w:rPr>
      <w:rFonts w:ascii="Arial" w:eastAsia="Arial Unicode MS" w:hAnsi="Arial" w:cs="Arial"/>
      <w:b/>
      <w:bCs/>
      <w:sz w:val="22"/>
      <w:szCs w:val="22"/>
      <w:lang w:eastAsia="en-US"/>
    </w:rPr>
  </w:style>
  <w:style w:type="character" w:customStyle="1" w:styleId="BAHeader2CharChar">
    <w:name w:val="BA Header 2 Char Char"/>
    <w:link w:val="BAHeader2"/>
    <w:rPr>
      <w:rFonts w:ascii="Arial" w:eastAsia="Calibri" w:hAnsi="Arial"/>
      <w:b/>
      <w:sz w:val="28"/>
      <w:szCs w:val="28"/>
      <w:lang w:eastAsia="en-US"/>
    </w:rPr>
  </w:style>
  <w:style w:type="character" w:customStyle="1" w:styleId="TableheaderCharChar">
    <w:name w:val="Table header Char Char"/>
    <w:link w:val="Tableheader"/>
    <w:rPr>
      <w:rFonts w:ascii="Arial" w:eastAsia="Calibri" w:hAnsi="Arial"/>
      <w:b/>
      <w:sz w:val="22"/>
      <w:szCs w:val="22"/>
      <w:lang w:eastAsia="en-US"/>
    </w:rPr>
  </w:style>
  <w:style w:type="character" w:customStyle="1" w:styleId="BAHeader5Char">
    <w:name w:val="BA Header 5 Char"/>
    <w:link w:val="BAHeader5"/>
    <w:rPr>
      <w:rFonts w:ascii="Arial" w:eastAsia="Calibri" w:hAnsi="Arial"/>
      <w:b/>
      <w:sz w:val="24"/>
      <w:szCs w:val="22"/>
      <w:u w:val="single"/>
      <w:lang w:eastAsia="en-US"/>
    </w:rPr>
  </w:style>
  <w:style w:type="character" w:customStyle="1" w:styleId="BAReftext1Char">
    <w:name w:val="BA Ref text 1 Char"/>
    <w:link w:val="BAReftext1"/>
    <w:rPr>
      <w:rFonts w:ascii="Times" w:hAnsi="Times"/>
      <w:sz w:val="24"/>
      <w:szCs w:val="22"/>
      <w:lang w:eastAsia="en-US"/>
    </w:rPr>
  </w:style>
  <w:style w:type="character" w:customStyle="1" w:styleId="BAReftext2Char">
    <w:name w:val="BA Ref text 2 Char"/>
    <w:basedOn w:val="BAReftext1Char"/>
    <w:link w:val="BAReftext2"/>
    <w:rPr>
      <w:rFonts w:ascii="Times" w:hAnsi="Times"/>
      <w:sz w:val="24"/>
      <w:szCs w:val="22"/>
      <w:lang w:eastAsia="en-US"/>
    </w:rPr>
  </w:style>
  <w:style w:type="character" w:customStyle="1" w:styleId="BAQuoteCharChar">
    <w:name w:val="BA Quote Char Char"/>
    <w:link w:val="BAQuote"/>
    <w:rPr>
      <w:rFonts w:ascii="Calibri" w:eastAsia="Calibri" w:hAnsi="Calibri" w:cs="Arial"/>
      <w:bCs/>
      <w:sz w:val="22"/>
      <w:szCs w:val="22"/>
      <w:lang w:eastAsia="en-US"/>
    </w:rPr>
  </w:style>
  <w:style w:type="character" w:customStyle="1" w:styleId="IRAheading3CharChar">
    <w:name w:val="IRAheading3 Char Char"/>
    <w:link w:val="IRAheading3"/>
    <w:rPr>
      <w:rFonts w:ascii="Arial" w:hAnsi="Arial"/>
      <w:b/>
      <w:bCs/>
      <w:sz w:val="28"/>
      <w:szCs w:val="24"/>
      <w:lang w:eastAsia="en-US"/>
    </w:rPr>
  </w:style>
  <w:style w:type="character" w:customStyle="1" w:styleId="IRAheading4Char">
    <w:name w:val="IRAheading4 Char"/>
    <w:link w:val="IRAheading4"/>
    <w:rPr>
      <w:rFonts w:ascii="Arial" w:hAnsi="Arial"/>
      <w:b/>
      <w:bCs/>
      <w:sz w:val="24"/>
      <w:szCs w:val="24"/>
      <w:lang w:eastAsia="en-US"/>
    </w:rPr>
  </w:style>
  <w:style w:type="character" w:customStyle="1" w:styleId="NoSpacingChar">
    <w:name w:val="No Spacing Char"/>
    <w:link w:val="NoSpacing"/>
    <w:uiPriority w:val="1"/>
    <w:rPr>
      <w:sz w:val="22"/>
      <w:szCs w:val="22"/>
      <w:lang w:val="en-US" w:eastAsia="en-US" w:bidi="ar-SA"/>
    </w:rPr>
  </w:style>
  <w:style w:type="character" w:customStyle="1" w:styleId="TableNotesChar">
    <w:name w:val="TableNotes Char"/>
    <w:link w:val="TableNotes"/>
    <w:rPr>
      <w:rFonts w:ascii="Arial Narrow" w:eastAsia="Calibri" w:hAnsi="Arial Narrow"/>
      <w:color w:val="000000"/>
      <w:sz w:val="16"/>
      <w:szCs w:val="22"/>
      <w:lang w:eastAsia="en-US"/>
    </w:rPr>
  </w:style>
  <w:style w:type="character" w:customStyle="1" w:styleId="StyleBAText1bulletItalicChar">
    <w:name w:val="Style BA Text 1 bullet + Italic Char"/>
    <w:link w:val="StyleBAText1bulletItalic"/>
    <w:rPr>
      <w:rFonts w:ascii="Times" w:eastAsia="Calibri" w:hAnsi="Times"/>
      <w:i/>
      <w:iCs/>
      <w:sz w:val="24"/>
      <w:szCs w:val="24"/>
      <w:lang w:eastAsia="en-US"/>
    </w:rPr>
  </w:style>
  <w:style w:type="character" w:customStyle="1" w:styleId="Style9Char">
    <w:name w:val="Style9 Char"/>
    <w:basedOn w:val="FigureChar"/>
    <w:link w:val="Style9"/>
    <w:rPr>
      <w:rFonts w:ascii="Arial" w:hAnsi="Arial" w:cs="Arial"/>
      <w:b/>
    </w:rPr>
  </w:style>
  <w:style w:type="character" w:customStyle="1" w:styleId="Heanding5Char">
    <w:name w:val="Heanding 5 Char"/>
    <w:link w:val="Heanding5"/>
    <w:rPr>
      <w:rFonts w:ascii="Arial" w:eastAsia="Calibri" w:hAnsi="Arial"/>
      <w:bCs/>
      <w:i/>
      <w:iCs/>
      <w:color w:val="000000"/>
      <w:sz w:val="24"/>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80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header" Target="header14.xml"/><Relationship Id="rId50" Type="http://schemas.openxmlformats.org/officeDocument/2006/relationships/footer" Target="footer7.xml"/><Relationship Id="rId55" Type="http://schemas.openxmlformats.org/officeDocument/2006/relationships/hyperlink" Target="http://www.cabi.org/cpc/Default.aspx?site=161&amp;page=868&amp;LoadModule=datasheet&amp;CompID=1&amp;dsID=13463" TargetMode="External"/><Relationship Id="rId63" Type="http://schemas.openxmlformats.org/officeDocument/2006/relationships/header" Target="header2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eader" Target="header10.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12.xml"/><Relationship Id="rId53" Type="http://schemas.openxmlformats.org/officeDocument/2006/relationships/header" Target="header18.xml"/><Relationship Id="rId58" Type="http://schemas.openxmlformats.org/officeDocument/2006/relationships/hyperlink" Target="http://www.cabi.org/cpc/Default.aspx?site=161&amp;page=868&amp;LoadModule=datasheet&amp;CompID=1&amp;dsID=34505" TargetMode="External"/><Relationship Id="rId5" Type="http://schemas.openxmlformats.org/officeDocument/2006/relationships/styles" Target="styles.xml"/><Relationship Id="rId61" Type="http://schemas.openxmlformats.org/officeDocument/2006/relationships/header" Target="header21.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eader" Target="header15.xml"/><Relationship Id="rId56" Type="http://schemas.openxmlformats.org/officeDocument/2006/relationships/hyperlink" Target="http://www.cabi.org/cpc/Default.aspx?site=161&amp;page=868&amp;LoadModule=datasheet&amp;CompID=1&amp;dsID=14791"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header" Target="header11.xml"/><Relationship Id="rId38" Type="http://schemas.openxmlformats.org/officeDocument/2006/relationships/image" Target="media/image12.jpeg"/><Relationship Id="rId46" Type="http://schemas.openxmlformats.org/officeDocument/2006/relationships/header" Target="header13.xml"/><Relationship Id="rId59" Type="http://schemas.openxmlformats.org/officeDocument/2006/relationships/header" Target="header19.xml"/><Relationship Id="rId20" Type="http://schemas.openxmlformats.org/officeDocument/2006/relationships/footer" Target="footer4.xml"/><Relationship Id="rId41" Type="http://schemas.openxmlformats.org/officeDocument/2006/relationships/image" Target="media/image15.jpeg"/><Relationship Id="rId54" Type="http://schemas.openxmlformats.org/officeDocument/2006/relationships/hyperlink" Target="http://www.cabi.org/cpc/Default.aspx?site=161&amp;page=868&amp;LoadModule=datasheet&amp;CompID=1&amp;dsID=13442" TargetMode="External"/><Relationship Id="rId6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0.jpeg"/><Relationship Id="rId49" Type="http://schemas.openxmlformats.org/officeDocument/2006/relationships/header" Target="header16.xml"/><Relationship Id="rId57" Type="http://schemas.openxmlformats.org/officeDocument/2006/relationships/hyperlink" Target="http://www.cabi.org/cpc/Default.aspx?site=161&amp;page=868&amp;LoadModule=datasheet&amp;CompID=1&amp;dsID=17221" TargetMode="External"/><Relationship Id="rId10" Type="http://schemas.openxmlformats.org/officeDocument/2006/relationships/image" Target="media/image1.jpeg"/><Relationship Id="rId31" Type="http://schemas.openxmlformats.org/officeDocument/2006/relationships/footer" Target="footer6.xml"/><Relationship Id="rId44" Type="http://schemas.openxmlformats.org/officeDocument/2006/relationships/image" Target="media/image18.jpeg"/><Relationship Id="rId52" Type="http://schemas.openxmlformats.org/officeDocument/2006/relationships/hyperlink" Target="http://www.speciesfungorum.org/Names/Names.asp?strGenus=Erythricium" TargetMode="External"/><Relationship Id="rId60" Type="http://schemas.openxmlformats.org/officeDocument/2006/relationships/header" Target="header20.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C4251B41-817A-4E12-95F3-ADCE064FB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4C8DFE-CBE6-4693-94EA-E0DAD184D8E4}">
  <ds:schemaRefs>
    <ds:schemaRef ds:uri="http://schemas.microsoft.com/sharepoint/v3/contenttype/forms"/>
  </ds:schemaRefs>
</ds:datastoreItem>
</file>

<file path=customXml/itemProps3.xml><?xml version="1.0" encoding="utf-8"?>
<ds:datastoreItem xmlns:ds="http://schemas.openxmlformats.org/officeDocument/2006/customXml" ds:itemID="{9DB7ECB4-8145-4B4B-B114-710A2C0548D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158</Pages>
  <Words>49903</Words>
  <Characters>284452</Characters>
  <Application>Microsoft Office Word</Application>
  <DocSecurity>0</DocSecurity>
  <Lines>2370</Lines>
  <Paragraphs>667</Paragraphs>
  <ScaleCrop>false</ScaleCrop>
  <HeadingPairs>
    <vt:vector size="2" baseType="variant">
      <vt:variant>
        <vt:lpstr>Title</vt:lpstr>
      </vt:variant>
      <vt:variant>
        <vt:i4>1</vt:i4>
      </vt:variant>
    </vt:vector>
  </HeadingPairs>
  <TitlesOfParts>
    <vt:vector size="1" baseType="lpstr">
      <vt:lpstr>Final report for the non-regulated analysis of existing policy for fresh mangosteen fruit from Indonesia</vt:lpstr>
    </vt:vector>
  </TitlesOfParts>
  <Company/>
  <LinksUpToDate>false</LinksUpToDate>
  <CharactersWithSpaces>333688</CharactersWithSpaces>
  <SharedDoc>false</SharedDoc>
  <HLinks>
    <vt:vector size="396" baseType="variant">
      <vt:variant>
        <vt:i4>6619168</vt:i4>
      </vt:variant>
      <vt:variant>
        <vt:i4>392</vt:i4>
      </vt:variant>
      <vt:variant>
        <vt:i4>0</vt:i4>
      </vt:variant>
      <vt:variant>
        <vt:i4>5</vt:i4>
      </vt:variant>
      <vt:variant>
        <vt:lpwstr>http://www.cabi.org/cpc/Default.aspx?site=161&amp;page=868&amp;LoadModule=datasheet&amp;CompID=1&amp;dsID=34505</vt:lpwstr>
      </vt:variant>
      <vt:variant>
        <vt:lpwstr/>
      </vt:variant>
      <vt:variant>
        <vt:i4>6553637</vt:i4>
      </vt:variant>
      <vt:variant>
        <vt:i4>389</vt:i4>
      </vt:variant>
      <vt:variant>
        <vt:i4>0</vt:i4>
      </vt:variant>
      <vt:variant>
        <vt:i4>5</vt:i4>
      </vt:variant>
      <vt:variant>
        <vt:lpwstr>http://www.cabi.org/cpc/Default.aspx?site=161&amp;page=868&amp;LoadModule=datasheet&amp;CompID=1&amp;dsID=17221</vt:lpwstr>
      </vt:variant>
      <vt:variant>
        <vt:lpwstr/>
      </vt:variant>
      <vt:variant>
        <vt:i4>7077920</vt:i4>
      </vt:variant>
      <vt:variant>
        <vt:i4>386</vt:i4>
      </vt:variant>
      <vt:variant>
        <vt:i4>0</vt:i4>
      </vt:variant>
      <vt:variant>
        <vt:i4>5</vt:i4>
      </vt:variant>
      <vt:variant>
        <vt:lpwstr>http://www.cabi.org/cpc/Default.aspx?site=161&amp;page=868&amp;LoadModule=datasheet&amp;CompID=1&amp;dsID=14791</vt:lpwstr>
      </vt:variant>
      <vt:variant>
        <vt:lpwstr/>
      </vt:variant>
      <vt:variant>
        <vt:i4>6553635</vt:i4>
      </vt:variant>
      <vt:variant>
        <vt:i4>383</vt:i4>
      </vt:variant>
      <vt:variant>
        <vt:i4>0</vt:i4>
      </vt:variant>
      <vt:variant>
        <vt:i4>5</vt:i4>
      </vt:variant>
      <vt:variant>
        <vt:lpwstr>http://www.cabi.org/cpc/Default.aspx?site=161&amp;page=868&amp;LoadModule=datasheet&amp;CompID=1&amp;dsID=13463</vt:lpwstr>
      </vt:variant>
      <vt:variant>
        <vt:lpwstr/>
      </vt:variant>
      <vt:variant>
        <vt:i4>6684707</vt:i4>
      </vt:variant>
      <vt:variant>
        <vt:i4>380</vt:i4>
      </vt:variant>
      <vt:variant>
        <vt:i4>0</vt:i4>
      </vt:variant>
      <vt:variant>
        <vt:i4>5</vt:i4>
      </vt:variant>
      <vt:variant>
        <vt:lpwstr>http://www.cabi.org/cpc/Default.aspx?site=161&amp;page=868&amp;LoadModule=datasheet&amp;CompID=1&amp;dsID=13442</vt:lpwstr>
      </vt:variant>
      <vt:variant>
        <vt:lpwstr/>
      </vt:variant>
      <vt:variant>
        <vt:i4>8192112</vt:i4>
      </vt:variant>
      <vt:variant>
        <vt:i4>377</vt:i4>
      </vt:variant>
      <vt:variant>
        <vt:i4>0</vt:i4>
      </vt:variant>
      <vt:variant>
        <vt:i4>5</vt:i4>
      </vt:variant>
      <vt:variant>
        <vt:lpwstr>http://www.speciesfungorum.org/Names/Names.asp?strGenus=Erythricium</vt:lpwstr>
      </vt:variant>
      <vt:variant>
        <vt:lpwstr/>
      </vt:variant>
      <vt:variant>
        <vt:i4>2031676</vt:i4>
      </vt:variant>
      <vt:variant>
        <vt:i4>362</vt:i4>
      </vt:variant>
      <vt:variant>
        <vt:i4>0</vt:i4>
      </vt:variant>
      <vt:variant>
        <vt:i4>5</vt:i4>
      </vt:variant>
      <vt:variant>
        <vt:lpwstr/>
      </vt:variant>
      <vt:variant>
        <vt:lpwstr>_Toc318962129</vt:lpwstr>
      </vt:variant>
      <vt:variant>
        <vt:i4>2031676</vt:i4>
      </vt:variant>
      <vt:variant>
        <vt:i4>356</vt:i4>
      </vt:variant>
      <vt:variant>
        <vt:i4>0</vt:i4>
      </vt:variant>
      <vt:variant>
        <vt:i4>5</vt:i4>
      </vt:variant>
      <vt:variant>
        <vt:lpwstr/>
      </vt:variant>
      <vt:variant>
        <vt:lpwstr>_Toc318962128</vt:lpwstr>
      </vt:variant>
      <vt:variant>
        <vt:i4>2031676</vt:i4>
      </vt:variant>
      <vt:variant>
        <vt:i4>350</vt:i4>
      </vt:variant>
      <vt:variant>
        <vt:i4>0</vt:i4>
      </vt:variant>
      <vt:variant>
        <vt:i4>5</vt:i4>
      </vt:variant>
      <vt:variant>
        <vt:lpwstr/>
      </vt:variant>
      <vt:variant>
        <vt:lpwstr>_Toc318962127</vt:lpwstr>
      </vt:variant>
      <vt:variant>
        <vt:i4>2031676</vt:i4>
      </vt:variant>
      <vt:variant>
        <vt:i4>344</vt:i4>
      </vt:variant>
      <vt:variant>
        <vt:i4>0</vt:i4>
      </vt:variant>
      <vt:variant>
        <vt:i4>5</vt:i4>
      </vt:variant>
      <vt:variant>
        <vt:lpwstr/>
      </vt:variant>
      <vt:variant>
        <vt:lpwstr>_Toc318962126</vt:lpwstr>
      </vt:variant>
      <vt:variant>
        <vt:i4>2031676</vt:i4>
      </vt:variant>
      <vt:variant>
        <vt:i4>338</vt:i4>
      </vt:variant>
      <vt:variant>
        <vt:i4>0</vt:i4>
      </vt:variant>
      <vt:variant>
        <vt:i4>5</vt:i4>
      </vt:variant>
      <vt:variant>
        <vt:lpwstr/>
      </vt:variant>
      <vt:variant>
        <vt:lpwstr>_Toc318962125</vt:lpwstr>
      </vt:variant>
      <vt:variant>
        <vt:i4>2031676</vt:i4>
      </vt:variant>
      <vt:variant>
        <vt:i4>332</vt:i4>
      </vt:variant>
      <vt:variant>
        <vt:i4>0</vt:i4>
      </vt:variant>
      <vt:variant>
        <vt:i4>5</vt:i4>
      </vt:variant>
      <vt:variant>
        <vt:lpwstr/>
      </vt:variant>
      <vt:variant>
        <vt:lpwstr>_Toc318962124</vt:lpwstr>
      </vt:variant>
      <vt:variant>
        <vt:i4>2031676</vt:i4>
      </vt:variant>
      <vt:variant>
        <vt:i4>326</vt:i4>
      </vt:variant>
      <vt:variant>
        <vt:i4>0</vt:i4>
      </vt:variant>
      <vt:variant>
        <vt:i4>5</vt:i4>
      </vt:variant>
      <vt:variant>
        <vt:lpwstr/>
      </vt:variant>
      <vt:variant>
        <vt:lpwstr>_Toc318962123</vt:lpwstr>
      </vt:variant>
      <vt:variant>
        <vt:i4>2031676</vt:i4>
      </vt:variant>
      <vt:variant>
        <vt:i4>320</vt:i4>
      </vt:variant>
      <vt:variant>
        <vt:i4>0</vt:i4>
      </vt:variant>
      <vt:variant>
        <vt:i4>5</vt:i4>
      </vt:variant>
      <vt:variant>
        <vt:lpwstr/>
      </vt:variant>
      <vt:variant>
        <vt:lpwstr>_Toc318962122</vt:lpwstr>
      </vt:variant>
      <vt:variant>
        <vt:i4>2031676</vt:i4>
      </vt:variant>
      <vt:variant>
        <vt:i4>314</vt:i4>
      </vt:variant>
      <vt:variant>
        <vt:i4>0</vt:i4>
      </vt:variant>
      <vt:variant>
        <vt:i4>5</vt:i4>
      </vt:variant>
      <vt:variant>
        <vt:lpwstr/>
      </vt:variant>
      <vt:variant>
        <vt:lpwstr>_Toc318962121</vt:lpwstr>
      </vt:variant>
      <vt:variant>
        <vt:i4>2031676</vt:i4>
      </vt:variant>
      <vt:variant>
        <vt:i4>308</vt:i4>
      </vt:variant>
      <vt:variant>
        <vt:i4>0</vt:i4>
      </vt:variant>
      <vt:variant>
        <vt:i4>5</vt:i4>
      </vt:variant>
      <vt:variant>
        <vt:lpwstr/>
      </vt:variant>
      <vt:variant>
        <vt:lpwstr>_Toc318962120</vt:lpwstr>
      </vt:variant>
      <vt:variant>
        <vt:i4>1441852</vt:i4>
      </vt:variant>
      <vt:variant>
        <vt:i4>299</vt:i4>
      </vt:variant>
      <vt:variant>
        <vt:i4>0</vt:i4>
      </vt:variant>
      <vt:variant>
        <vt:i4>5</vt:i4>
      </vt:variant>
      <vt:variant>
        <vt:lpwstr/>
      </vt:variant>
      <vt:variant>
        <vt:lpwstr>_Toc325625803</vt:lpwstr>
      </vt:variant>
      <vt:variant>
        <vt:i4>1441852</vt:i4>
      </vt:variant>
      <vt:variant>
        <vt:i4>293</vt:i4>
      </vt:variant>
      <vt:variant>
        <vt:i4>0</vt:i4>
      </vt:variant>
      <vt:variant>
        <vt:i4>5</vt:i4>
      </vt:variant>
      <vt:variant>
        <vt:lpwstr/>
      </vt:variant>
      <vt:variant>
        <vt:lpwstr>_Toc325625802</vt:lpwstr>
      </vt:variant>
      <vt:variant>
        <vt:i4>1441852</vt:i4>
      </vt:variant>
      <vt:variant>
        <vt:i4>287</vt:i4>
      </vt:variant>
      <vt:variant>
        <vt:i4>0</vt:i4>
      </vt:variant>
      <vt:variant>
        <vt:i4>5</vt:i4>
      </vt:variant>
      <vt:variant>
        <vt:lpwstr/>
      </vt:variant>
      <vt:variant>
        <vt:lpwstr>_Toc325625801</vt:lpwstr>
      </vt:variant>
      <vt:variant>
        <vt:i4>1441852</vt:i4>
      </vt:variant>
      <vt:variant>
        <vt:i4>281</vt:i4>
      </vt:variant>
      <vt:variant>
        <vt:i4>0</vt:i4>
      </vt:variant>
      <vt:variant>
        <vt:i4>5</vt:i4>
      </vt:variant>
      <vt:variant>
        <vt:lpwstr/>
      </vt:variant>
      <vt:variant>
        <vt:lpwstr>_Toc325625800</vt:lpwstr>
      </vt:variant>
      <vt:variant>
        <vt:i4>2031667</vt:i4>
      </vt:variant>
      <vt:variant>
        <vt:i4>275</vt:i4>
      </vt:variant>
      <vt:variant>
        <vt:i4>0</vt:i4>
      </vt:variant>
      <vt:variant>
        <vt:i4>5</vt:i4>
      </vt:variant>
      <vt:variant>
        <vt:lpwstr/>
      </vt:variant>
      <vt:variant>
        <vt:lpwstr>_Toc325625799</vt:lpwstr>
      </vt:variant>
      <vt:variant>
        <vt:i4>2031667</vt:i4>
      </vt:variant>
      <vt:variant>
        <vt:i4>269</vt:i4>
      </vt:variant>
      <vt:variant>
        <vt:i4>0</vt:i4>
      </vt:variant>
      <vt:variant>
        <vt:i4>5</vt:i4>
      </vt:variant>
      <vt:variant>
        <vt:lpwstr/>
      </vt:variant>
      <vt:variant>
        <vt:lpwstr>_Toc325625798</vt:lpwstr>
      </vt:variant>
      <vt:variant>
        <vt:i4>2031667</vt:i4>
      </vt:variant>
      <vt:variant>
        <vt:i4>263</vt:i4>
      </vt:variant>
      <vt:variant>
        <vt:i4>0</vt:i4>
      </vt:variant>
      <vt:variant>
        <vt:i4>5</vt:i4>
      </vt:variant>
      <vt:variant>
        <vt:lpwstr/>
      </vt:variant>
      <vt:variant>
        <vt:lpwstr>_Toc325625797</vt:lpwstr>
      </vt:variant>
      <vt:variant>
        <vt:i4>2031667</vt:i4>
      </vt:variant>
      <vt:variant>
        <vt:i4>257</vt:i4>
      </vt:variant>
      <vt:variant>
        <vt:i4>0</vt:i4>
      </vt:variant>
      <vt:variant>
        <vt:i4>5</vt:i4>
      </vt:variant>
      <vt:variant>
        <vt:lpwstr/>
      </vt:variant>
      <vt:variant>
        <vt:lpwstr>_Toc325625796</vt:lpwstr>
      </vt:variant>
      <vt:variant>
        <vt:i4>2031667</vt:i4>
      </vt:variant>
      <vt:variant>
        <vt:i4>251</vt:i4>
      </vt:variant>
      <vt:variant>
        <vt:i4>0</vt:i4>
      </vt:variant>
      <vt:variant>
        <vt:i4>5</vt:i4>
      </vt:variant>
      <vt:variant>
        <vt:lpwstr/>
      </vt:variant>
      <vt:variant>
        <vt:lpwstr>_Toc325625795</vt:lpwstr>
      </vt:variant>
      <vt:variant>
        <vt:i4>2031667</vt:i4>
      </vt:variant>
      <vt:variant>
        <vt:i4>245</vt:i4>
      </vt:variant>
      <vt:variant>
        <vt:i4>0</vt:i4>
      </vt:variant>
      <vt:variant>
        <vt:i4>5</vt:i4>
      </vt:variant>
      <vt:variant>
        <vt:lpwstr/>
      </vt:variant>
      <vt:variant>
        <vt:lpwstr>_Toc325625794</vt:lpwstr>
      </vt:variant>
      <vt:variant>
        <vt:i4>2031667</vt:i4>
      </vt:variant>
      <vt:variant>
        <vt:i4>239</vt:i4>
      </vt:variant>
      <vt:variant>
        <vt:i4>0</vt:i4>
      </vt:variant>
      <vt:variant>
        <vt:i4>5</vt:i4>
      </vt:variant>
      <vt:variant>
        <vt:lpwstr/>
      </vt:variant>
      <vt:variant>
        <vt:lpwstr>_Toc325625793</vt:lpwstr>
      </vt:variant>
      <vt:variant>
        <vt:i4>2031667</vt:i4>
      </vt:variant>
      <vt:variant>
        <vt:i4>233</vt:i4>
      </vt:variant>
      <vt:variant>
        <vt:i4>0</vt:i4>
      </vt:variant>
      <vt:variant>
        <vt:i4>5</vt:i4>
      </vt:variant>
      <vt:variant>
        <vt:lpwstr/>
      </vt:variant>
      <vt:variant>
        <vt:lpwstr>_Toc325625792</vt:lpwstr>
      </vt:variant>
      <vt:variant>
        <vt:i4>1900595</vt:i4>
      </vt:variant>
      <vt:variant>
        <vt:i4>224</vt:i4>
      </vt:variant>
      <vt:variant>
        <vt:i4>0</vt:i4>
      </vt:variant>
      <vt:variant>
        <vt:i4>5</vt:i4>
      </vt:variant>
      <vt:variant>
        <vt:lpwstr/>
      </vt:variant>
      <vt:variant>
        <vt:lpwstr>_Toc325618460</vt:lpwstr>
      </vt:variant>
      <vt:variant>
        <vt:i4>1966131</vt:i4>
      </vt:variant>
      <vt:variant>
        <vt:i4>218</vt:i4>
      </vt:variant>
      <vt:variant>
        <vt:i4>0</vt:i4>
      </vt:variant>
      <vt:variant>
        <vt:i4>5</vt:i4>
      </vt:variant>
      <vt:variant>
        <vt:lpwstr/>
      </vt:variant>
      <vt:variant>
        <vt:lpwstr>_Toc325618459</vt:lpwstr>
      </vt:variant>
      <vt:variant>
        <vt:i4>1966131</vt:i4>
      </vt:variant>
      <vt:variant>
        <vt:i4>212</vt:i4>
      </vt:variant>
      <vt:variant>
        <vt:i4>0</vt:i4>
      </vt:variant>
      <vt:variant>
        <vt:i4>5</vt:i4>
      </vt:variant>
      <vt:variant>
        <vt:lpwstr/>
      </vt:variant>
      <vt:variant>
        <vt:lpwstr>_Toc325618458</vt:lpwstr>
      </vt:variant>
      <vt:variant>
        <vt:i4>1966131</vt:i4>
      </vt:variant>
      <vt:variant>
        <vt:i4>206</vt:i4>
      </vt:variant>
      <vt:variant>
        <vt:i4>0</vt:i4>
      </vt:variant>
      <vt:variant>
        <vt:i4>5</vt:i4>
      </vt:variant>
      <vt:variant>
        <vt:lpwstr/>
      </vt:variant>
      <vt:variant>
        <vt:lpwstr>_Toc325618457</vt:lpwstr>
      </vt:variant>
      <vt:variant>
        <vt:i4>1966131</vt:i4>
      </vt:variant>
      <vt:variant>
        <vt:i4>200</vt:i4>
      </vt:variant>
      <vt:variant>
        <vt:i4>0</vt:i4>
      </vt:variant>
      <vt:variant>
        <vt:i4>5</vt:i4>
      </vt:variant>
      <vt:variant>
        <vt:lpwstr/>
      </vt:variant>
      <vt:variant>
        <vt:lpwstr>_Toc325618456</vt:lpwstr>
      </vt:variant>
      <vt:variant>
        <vt:i4>1966131</vt:i4>
      </vt:variant>
      <vt:variant>
        <vt:i4>194</vt:i4>
      </vt:variant>
      <vt:variant>
        <vt:i4>0</vt:i4>
      </vt:variant>
      <vt:variant>
        <vt:i4>5</vt:i4>
      </vt:variant>
      <vt:variant>
        <vt:lpwstr/>
      </vt:variant>
      <vt:variant>
        <vt:lpwstr>_Toc325618455</vt:lpwstr>
      </vt:variant>
      <vt:variant>
        <vt:i4>1966131</vt:i4>
      </vt:variant>
      <vt:variant>
        <vt:i4>188</vt:i4>
      </vt:variant>
      <vt:variant>
        <vt:i4>0</vt:i4>
      </vt:variant>
      <vt:variant>
        <vt:i4>5</vt:i4>
      </vt:variant>
      <vt:variant>
        <vt:lpwstr/>
      </vt:variant>
      <vt:variant>
        <vt:lpwstr>_Toc325618454</vt:lpwstr>
      </vt:variant>
      <vt:variant>
        <vt:i4>1966131</vt:i4>
      </vt:variant>
      <vt:variant>
        <vt:i4>182</vt:i4>
      </vt:variant>
      <vt:variant>
        <vt:i4>0</vt:i4>
      </vt:variant>
      <vt:variant>
        <vt:i4>5</vt:i4>
      </vt:variant>
      <vt:variant>
        <vt:lpwstr/>
      </vt:variant>
      <vt:variant>
        <vt:lpwstr>_Toc325618453</vt:lpwstr>
      </vt:variant>
      <vt:variant>
        <vt:i4>1966131</vt:i4>
      </vt:variant>
      <vt:variant>
        <vt:i4>176</vt:i4>
      </vt:variant>
      <vt:variant>
        <vt:i4>0</vt:i4>
      </vt:variant>
      <vt:variant>
        <vt:i4>5</vt:i4>
      </vt:variant>
      <vt:variant>
        <vt:lpwstr/>
      </vt:variant>
      <vt:variant>
        <vt:lpwstr>_Toc325618452</vt:lpwstr>
      </vt:variant>
      <vt:variant>
        <vt:i4>1966131</vt:i4>
      </vt:variant>
      <vt:variant>
        <vt:i4>170</vt:i4>
      </vt:variant>
      <vt:variant>
        <vt:i4>0</vt:i4>
      </vt:variant>
      <vt:variant>
        <vt:i4>5</vt:i4>
      </vt:variant>
      <vt:variant>
        <vt:lpwstr/>
      </vt:variant>
      <vt:variant>
        <vt:lpwstr>_Toc325618451</vt:lpwstr>
      </vt:variant>
      <vt:variant>
        <vt:i4>1966131</vt:i4>
      </vt:variant>
      <vt:variant>
        <vt:i4>164</vt:i4>
      </vt:variant>
      <vt:variant>
        <vt:i4>0</vt:i4>
      </vt:variant>
      <vt:variant>
        <vt:i4>5</vt:i4>
      </vt:variant>
      <vt:variant>
        <vt:lpwstr/>
      </vt:variant>
      <vt:variant>
        <vt:lpwstr>_Toc325618450</vt:lpwstr>
      </vt:variant>
      <vt:variant>
        <vt:i4>2031667</vt:i4>
      </vt:variant>
      <vt:variant>
        <vt:i4>158</vt:i4>
      </vt:variant>
      <vt:variant>
        <vt:i4>0</vt:i4>
      </vt:variant>
      <vt:variant>
        <vt:i4>5</vt:i4>
      </vt:variant>
      <vt:variant>
        <vt:lpwstr/>
      </vt:variant>
      <vt:variant>
        <vt:lpwstr>_Toc325618449</vt:lpwstr>
      </vt:variant>
      <vt:variant>
        <vt:i4>2031667</vt:i4>
      </vt:variant>
      <vt:variant>
        <vt:i4>152</vt:i4>
      </vt:variant>
      <vt:variant>
        <vt:i4>0</vt:i4>
      </vt:variant>
      <vt:variant>
        <vt:i4>5</vt:i4>
      </vt:variant>
      <vt:variant>
        <vt:lpwstr/>
      </vt:variant>
      <vt:variant>
        <vt:lpwstr>_Toc325618448</vt:lpwstr>
      </vt:variant>
      <vt:variant>
        <vt:i4>2031667</vt:i4>
      </vt:variant>
      <vt:variant>
        <vt:i4>146</vt:i4>
      </vt:variant>
      <vt:variant>
        <vt:i4>0</vt:i4>
      </vt:variant>
      <vt:variant>
        <vt:i4>5</vt:i4>
      </vt:variant>
      <vt:variant>
        <vt:lpwstr/>
      </vt:variant>
      <vt:variant>
        <vt:lpwstr>_Toc325618447</vt:lpwstr>
      </vt:variant>
      <vt:variant>
        <vt:i4>2031667</vt:i4>
      </vt:variant>
      <vt:variant>
        <vt:i4>140</vt:i4>
      </vt:variant>
      <vt:variant>
        <vt:i4>0</vt:i4>
      </vt:variant>
      <vt:variant>
        <vt:i4>5</vt:i4>
      </vt:variant>
      <vt:variant>
        <vt:lpwstr/>
      </vt:variant>
      <vt:variant>
        <vt:lpwstr>_Toc325618446</vt:lpwstr>
      </vt:variant>
      <vt:variant>
        <vt:i4>2031667</vt:i4>
      </vt:variant>
      <vt:variant>
        <vt:i4>134</vt:i4>
      </vt:variant>
      <vt:variant>
        <vt:i4>0</vt:i4>
      </vt:variant>
      <vt:variant>
        <vt:i4>5</vt:i4>
      </vt:variant>
      <vt:variant>
        <vt:lpwstr/>
      </vt:variant>
      <vt:variant>
        <vt:lpwstr>_Toc325618445</vt:lpwstr>
      </vt:variant>
      <vt:variant>
        <vt:i4>2031667</vt:i4>
      </vt:variant>
      <vt:variant>
        <vt:i4>128</vt:i4>
      </vt:variant>
      <vt:variant>
        <vt:i4>0</vt:i4>
      </vt:variant>
      <vt:variant>
        <vt:i4>5</vt:i4>
      </vt:variant>
      <vt:variant>
        <vt:lpwstr/>
      </vt:variant>
      <vt:variant>
        <vt:lpwstr>_Toc325618444</vt:lpwstr>
      </vt:variant>
      <vt:variant>
        <vt:i4>2031667</vt:i4>
      </vt:variant>
      <vt:variant>
        <vt:i4>122</vt:i4>
      </vt:variant>
      <vt:variant>
        <vt:i4>0</vt:i4>
      </vt:variant>
      <vt:variant>
        <vt:i4>5</vt:i4>
      </vt:variant>
      <vt:variant>
        <vt:lpwstr/>
      </vt:variant>
      <vt:variant>
        <vt:lpwstr>_Toc325618443</vt:lpwstr>
      </vt:variant>
      <vt:variant>
        <vt:i4>2031667</vt:i4>
      </vt:variant>
      <vt:variant>
        <vt:i4>116</vt:i4>
      </vt:variant>
      <vt:variant>
        <vt:i4>0</vt:i4>
      </vt:variant>
      <vt:variant>
        <vt:i4>5</vt:i4>
      </vt:variant>
      <vt:variant>
        <vt:lpwstr/>
      </vt:variant>
      <vt:variant>
        <vt:lpwstr>_Toc325618442</vt:lpwstr>
      </vt:variant>
      <vt:variant>
        <vt:i4>2031667</vt:i4>
      </vt:variant>
      <vt:variant>
        <vt:i4>110</vt:i4>
      </vt:variant>
      <vt:variant>
        <vt:i4>0</vt:i4>
      </vt:variant>
      <vt:variant>
        <vt:i4>5</vt:i4>
      </vt:variant>
      <vt:variant>
        <vt:lpwstr/>
      </vt:variant>
      <vt:variant>
        <vt:lpwstr>_Toc325618441</vt:lpwstr>
      </vt:variant>
      <vt:variant>
        <vt:i4>2031667</vt:i4>
      </vt:variant>
      <vt:variant>
        <vt:i4>104</vt:i4>
      </vt:variant>
      <vt:variant>
        <vt:i4>0</vt:i4>
      </vt:variant>
      <vt:variant>
        <vt:i4>5</vt:i4>
      </vt:variant>
      <vt:variant>
        <vt:lpwstr/>
      </vt:variant>
      <vt:variant>
        <vt:lpwstr>_Toc325618440</vt:lpwstr>
      </vt:variant>
      <vt:variant>
        <vt:i4>1572915</vt:i4>
      </vt:variant>
      <vt:variant>
        <vt:i4>98</vt:i4>
      </vt:variant>
      <vt:variant>
        <vt:i4>0</vt:i4>
      </vt:variant>
      <vt:variant>
        <vt:i4>5</vt:i4>
      </vt:variant>
      <vt:variant>
        <vt:lpwstr/>
      </vt:variant>
      <vt:variant>
        <vt:lpwstr>_Toc325618439</vt:lpwstr>
      </vt:variant>
      <vt:variant>
        <vt:i4>1572915</vt:i4>
      </vt:variant>
      <vt:variant>
        <vt:i4>92</vt:i4>
      </vt:variant>
      <vt:variant>
        <vt:i4>0</vt:i4>
      </vt:variant>
      <vt:variant>
        <vt:i4>5</vt:i4>
      </vt:variant>
      <vt:variant>
        <vt:lpwstr/>
      </vt:variant>
      <vt:variant>
        <vt:lpwstr>_Toc325618438</vt:lpwstr>
      </vt:variant>
      <vt:variant>
        <vt:i4>1572915</vt:i4>
      </vt:variant>
      <vt:variant>
        <vt:i4>86</vt:i4>
      </vt:variant>
      <vt:variant>
        <vt:i4>0</vt:i4>
      </vt:variant>
      <vt:variant>
        <vt:i4>5</vt:i4>
      </vt:variant>
      <vt:variant>
        <vt:lpwstr/>
      </vt:variant>
      <vt:variant>
        <vt:lpwstr>_Toc325618437</vt:lpwstr>
      </vt:variant>
      <vt:variant>
        <vt:i4>1572915</vt:i4>
      </vt:variant>
      <vt:variant>
        <vt:i4>80</vt:i4>
      </vt:variant>
      <vt:variant>
        <vt:i4>0</vt:i4>
      </vt:variant>
      <vt:variant>
        <vt:i4>5</vt:i4>
      </vt:variant>
      <vt:variant>
        <vt:lpwstr/>
      </vt:variant>
      <vt:variant>
        <vt:lpwstr>_Toc325618436</vt:lpwstr>
      </vt:variant>
      <vt:variant>
        <vt:i4>1572915</vt:i4>
      </vt:variant>
      <vt:variant>
        <vt:i4>74</vt:i4>
      </vt:variant>
      <vt:variant>
        <vt:i4>0</vt:i4>
      </vt:variant>
      <vt:variant>
        <vt:i4>5</vt:i4>
      </vt:variant>
      <vt:variant>
        <vt:lpwstr/>
      </vt:variant>
      <vt:variant>
        <vt:lpwstr>_Toc325618435</vt:lpwstr>
      </vt:variant>
      <vt:variant>
        <vt:i4>1572915</vt:i4>
      </vt:variant>
      <vt:variant>
        <vt:i4>68</vt:i4>
      </vt:variant>
      <vt:variant>
        <vt:i4>0</vt:i4>
      </vt:variant>
      <vt:variant>
        <vt:i4>5</vt:i4>
      </vt:variant>
      <vt:variant>
        <vt:lpwstr/>
      </vt:variant>
      <vt:variant>
        <vt:lpwstr>_Toc325618434</vt:lpwstr>
      </vt:variant>
      <vt:variant>
        <vt:i4>1572915</vt:i4>
      </vt:variant>
      <vt:variant>
        <vt:i4>62</vt:i4>
      </vt:variant>
      <vt:variant>
        <vt:i4>0</vt:i4>
      </vt:variant>
      <vt:variant>
        <vt:i4>5</vt:i4>
      </vt:variant>
      <vt:variant>
        <vt:lpwstr/>
      </vt:variant>
      <vt:variant>
        <vt:lpwstr>_Toc325618433</vt:lpwstr>
      </vt:variant>
      <vt:variant>
        <vt:i4>1572915</vt:i4>
      </vt:variant>
      <vt:variant>
        <vt:i4>56</vt:i4>
      </vt:variant>
      <vt:variant>
        <vt:i4>0</vt:i4>
      </vt:variant>
      <vt:variant>
        <vt:i4>5</vt:i4>
      </vt:variant>
      <vt:variant>
        <vt:lpwstr/>
      </vt:variant>
      <vt:variant>
        <vt:lpwstr>_Toc325618432</vt:lpwstr>
      </vt:variant>
      <vt:variant>
        <vt:i4>1572915</vt:i4>
      </vt:variant>
      <vt:variant>
        <vt:i4>50</vt:i4>
      </vt:variant>
      <vt:variant>
        <vt:i4>0</vt:i4>
      </vt:variant>
      <vt:variant>
        <vt:i4>5</vt:i4>
      </vt:variant>
      <vt:variant>
        <vt:lpwstr/>
      </vt:variant>
      <vt:variant>
        <vt:lpwstr>_Toc325618431</vt:lpwstr>
      </vt:variant>
      <vt:variant>
        <vt:i4>1572915</vt:i4>
      </vt:variant>
      <vt:variant>
        <vt:i4>44</vt:i4>
      </vt:variant>
      <vt:variant>
        <vt:i4>0</vt:i4>
      </vt:variant>
      <vt:variant>
        <vt:i4>5</vt:i4>
      </vt:variant>
      <vt:variant>
        <vt:lpwstr/>
      </vt:variant>
      <vt:variant>
        <vt:lpwstr>_Toc325618430</vt:lpwstr>
      </vt:variant>
      <vt:variant>
        <vt:i4>1638451</vt:i4>
      </vt:variant>
      <vt:variant>
        <vt:i4>38</vt:i4>
      </vt:variant>
      <vt:variant>
        <vt:i4>0</vt:i4>
      </vt:variant>
      <vt:variant>
        <vt:i4>5</vt:i4>
      </vt:variant>
      <vt:variant>
        <vt:lpwstr/>
      </vt:variant>
      <vt:variant>
        <vt:lpwstr>_Toc325618429</vt:lpwstr>
      </vt:variant>
      <vt:variant>
        <vt:i4>1638451</vt:i4>
      </vt:variant>
      <vt:variant>
        <vt:i4>32</vt:i4>
      </vt:variant>
      <vt:variant>
        <vt:i4>0</vt:i4>
      </vt:variant>
      <vt:variant>
        <vt:i4>5</vt:i4>
      </vt:variant>
      <vt:variant>
        <vt:lpwstr/>
      </vt:variant>
      <vt:variant>
        <vt:lpwstr>_Toc325618428</vt:lpwstr>
      </vt:variant>
      <vt:variant>
        <vt:i4>1638451</vt:i4>
      </vt:variant>
      <vt:variant>
        <vt:i4>26</vt:i4>
      </vt:variant>
      <vt:variant>
        <vt:i4>0</vt:i4>
      </vt:variant>
      <vt:variant>
        <vt:i4>5</vt:i4>
      </vt:variant>
      <vt:variant>
        <vt:lpwstr/>
      </vt:variant>
      <vt:variant>
        <vt:lpwstr>_Toc325618427</vt:lpwstr>
      </vt:variant>
      <vt:variant>
        <vt:i4>1638451</vt:i4>
      </vt:variant>
      <vt:variant>
        <vt:i4>20</vt:i4>
      </vt:variant>
      <vt:variant>
        <vt:i4>0</vt:i4>
      </vt:variant>
      <vt:variant>
        <vt:i4>5</vt:i4>
      </vt:variant>
      <vt:variant>
        <vt:lpwstr/>
      </vt:variant>
      <vt:variant>
        <vt:lpwstr>_Toc325618426</vt:lpwstr>
      </vt:variant>
      <vt:variant>
        <vt:i4>1638451</vt:i4>
      </vt:variant>
      <vt:variant>
        <vt:i4>14</vt:i4>
      </vt:variant>
      <vt:variant>
        <vt:i4>0</vt:i4>
      </vt:variant>
      <vt:variant>
        <vt:i4>5</vt:i4>
      </vt:variant>
      <vt:variant>
        <vt:lpwstr/>
      </vt:variant>
      <vt:variant>
        <vt:lpwstr>_Toc325618425</vt:lpwstr>
      </vt:variant>
      <vt:variant>
        <vt:i4>1638451</vt:i4>
      </vt:variant>
      <vt:variant>
        <vt:i4>8</vt:i4>
      </vt:variant>
      <vt:variant>
        <vt:i4>0</vt:i4>
      </vt:variant>
      <vt:variant>
        <vt:i4>5</vt:i4>
      </vt:variant>
      <vt:variant>
        <vt:lpwstr/>
      </vt:variant>
      <vt:variant>
        <vt:lpwstr>_Toc325618424</vt:lpwstr>
      </vt:variant>
      <vt:variant>
        <vt:i4>1638451</vt:i4>
      </vt:variant>
      <vt:variant>
        <vt:i4>2</vt:i4>
      </vt:variant>
      <vt:variant>
        <vt:i4>0</vt:i4>
      </vt:variant>
      <vt:variant>
        <vt:i4>5</vt:i4>
      </vt:variant>
      <vt:variant>
        <vt:lpwstr/>
      </vt:variant>
      <vt:variant>
        <vt:lpwstr>_Toc325618423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non-regulated analysis of existing policy for fresh mangosteen fruit from Indonesia</dc:title>
  <dc:subject/>
  <dc:creator>Department of Agriculture, Fisheries and Forestry</dc:creator>
  <cp:keywords/>
  <cp:lastPrinted>2012-06-04T02:47:00Z</cp:lastPrinted>
  <dcterms:created xsi:type="dcterms:W3CDTF">2025-10-19T21:44:00Z</dcterms:created>
  <dcterms:modified xsi:type="dcterms:W3CDTF">2025-10-19T21:44:00Z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3d8be6-3c40-4052-87a2-9c2adcba8759_Enabled">
    <vt:lpwstr>true</vt:lpwstr>
  </property>
  <property fmtid="{D5CDD505-2E9C-101B-9397-08002B2CF9AE}" pid="3" name="MSIP_Label_933d8be6-3c40-4052-87a2-9c2adcba8759_SetDate">
    <vt:lpwstr>2025-10-19T21:44:51Z</vt:lpwstr>
  </property>
  <property fmtid="{D5CDD505-2E9C-101B-9397-08002B2CF9AE}" pid="4" name="MSIP_Label_933d8be6-3c40-4052-87a2-9c2adcba8759_Method">
    <vt:lpwstr>Standard</vt:lpwstr>
  </property>
  <property fmtid="{D5CDD505-2E9C-101B-9397-08002B2CF9AE}" pid="5" name="MSIP_Label_933d8be6-3c40-4052-87a2-9c2adcba8759_Name">
    <vt:lpwstr>OFFICIAL</vt:lpwstr>
  </property>
  <property fmtid="{D5CDD505-2E9C-101B-9397-08002B2CF9AE}" pid="6" name="MSIP_Label_933d8be6-3c40-4052-87a2-9c2adcba8759_SiteId">
    <vt:lpwstr>2be67eb7-400c-4b3f-a5a1-1258c0da0696</vt:lpwstr>
  </property>
  <property fmtid="{D5CDD505-2E9C-101B-9397-08002B2CF9AE}" pid="7" name="MSIP_Label_933d8be6-3c40-4052-87a2-9c2adcba8759_ActionId">
    <vt:lpwstr>5cb9cbf2-5b3f-4b8c-b057-34475f00d57f</vt:lpwstr>
  </property>
  <property fmtid="{D5CDD505-2E9C-101B-9397-08002B2CF9AE}" pid="8" name="MSIP_Label_933d8be6-3c40-4052-87a2-9c2adcba8759_ContentBits">
    <vt:lpwstr>0</vt:lpwstr>
  </property>
</Properties>
</file>