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672D" w14:textId="0327A7E6" w:rsidR="00B84AE9" w:rsidRDefault="0025053E" w:rsidP="00AB53EE">
      <w:pPr>
        <w:pStyle w:val="Heading1"/>
      </w:pPr>
      <w:r w:rsidRPr="0025053E">
        <w:t>United Arab Emirates food and agriculture snapshot</w:t>
      </w:r>
      <w:r>
        <w:t xml:space="preserve"> </w:t>
      </w:r>
      <w:r w:rsidR="00AB53EE">
        <w:t xml:space="preserve">– </w:t>
      </w:r>
      <w:r w:rsidR="005850BD">
        <w:t>March</w:t>
      </w:r>
      <w:r w:rsidR="005850BD" w:rsidRPr="00B84AE9">
        <w:t xml:space="preserve"> </w:t>
      </w:r>
      <w:r w:rsidR="00B84AE9" w:rsidRPr="00B84AE9">
        <w:t>202</w:t>
      </w:r>
      <w:r w:rsidR="00E508BE">
        <w:t>2</w:t>
      </w:r>
    </w:p>
    <w:p w14:paraId="79DD5D1C" w14:textId="731E40FE" w:rsidR="00492BDD" w:rsidRPr="0004750F" w:rsidRDefault="00492BDD" w:rsidP="005850BD">
      <w:pPr>
        <w:pStyle w:val="Normalsmall"/>
        <w:jc w:val="both"/>
        <w:rPr>
          <w:bCs/>
          <w:sz w:val="22"/>
          <w:szCs w:val="22"/>
        </w:rPr>
      </w:pPr>
      <w:r w:rsidRPr="0004750F">
        <w:rPr>
          <w:sz w:val="22"/>
          <w:szCs w:val="22"/>
        </w:rPr>
        <w:t>The United Arab Emirates is a dynamic and globalised market with opportunities for</w:t>
      </w:r>
      <w:r w:rsidR="00DB7263">
        <w:rPr>
          <w:sz w:val="22"/>
          <w:szCs w:val="22"/>
        </w:rPr>
        <w:t xml:space="preserve"> </w:t>
      </w:r>
      <w:r w:rsidRPr="0004750F">
        <w:rPr>
          <w:sz w:val="22"/>
          <w:szCs w:val="22"/>
        </w:rPr>
        <w:t>agricultural exporters. There</w:t>
      </w:r>
      <w:r w:rsidR="00D13C6B" w:rsidRPr="0004750F">
        <w:rPr>
          <w:bCs/>
          <w:sz w:val="22"/>
          <w:szCs w:val="22"/>
        </w:rPr>
        <w:t xml:space="preserve"> </w:t>
      </w:r>
      <w:r w:rsidRPr="0004750F">
        <w:rPr>
          <w:sz w:val="22"/>
          <w:szCs w:val="22"/>
        </w:rPr>
        <w:t xml:space="preserve">are many wealthy citizens, </w:t>
      </w:r>
      <w:r w:rsidR="00FE2E14" w:rsidRPr="0004750F">
        <w:rPr>
          <w:sz w:val="22"/>
          <w:szCs w:val="22"/>
        </w:rPr>
        <w:t>expatriates,</w:t>
      </w:r>
      <w:r w:rsidRPr="0004750F">
        <w:rPr>
          <w:sz w:val="22"/>
          <w:szCs w:val="22"/>
        </w:rPr>
        <w:t xml:space="preserve"> and tourists, who are</w:t>
      </w:r>
      <w:r w:rsidR="00DB7263">
        <w:rPr>
          <w:bCs/>
          <w:sz w:val="22"/>
          <w:szCs w:val="22"/>
        </w:rPr>
        <w:t xml:space="preserve"> </w:t>
      </w:r>
      <w:r w:rsidRPr="0004750F">
        <w:rPr>
          <w:sz w:val="22"/>
          <w:szCs w:val="22"/>
        </w:rPr>
        <w:t xml:space="preserve">increasingly </w:t>
      </w:r>
      <w:r w:rsidR="00DB7263">
        <w:rPr>
          <w:sz w:val="22"/>
          <w:szCs w:val="22"/>
        </w:rPr>
        <w:t xml:space="preserve">seeking </w:t>
      </w:r>
      <w:r w:rsidRPr="0004750F">
        <w:rPr>
          <w:sz w:val="22"/>
          <w:szCs w:val="22"/>
        </w:rPr>
        <w:t>premium and specialised food products</w:t>
      </w:r>
      <w:r w:rsidR="00456C80" w:rsidRPr="0004750F">
        <w:rPr>
          <w:sz w:val="22"/>
          <w:szCs w:val="22"/>
        </w:rPr>
        <w:t xml:space="preserve"> including</w:t>
      </w:r>
      <w:r w:rsidRPr="0004750F">
        <w:rPr>
          <w:sz w:val="22"/>
          <w:szCs w:val="22"/>
        </w:rPr>
        <w:t xml:space="preserve"> </w:t>
      </w:r>
      <w:r w:rsidR="00456C80" w:rsidRPr="0004750F">
        <w:rPr>
          <w:sz w:val="22"/>
          <w:szCs w:val="22"/>
        </w:rPr>
        <w:t>organic food.</w:t>
      </w:r>
    </w:p>
    <w:p w14:paraId="7697F9F7" w14:textId="5B31C2D4" w:rsidR="00B84AE9" w:rsidRPr="00B84AE9" w:rsidRDefault="00DA734A" w:rsidP="00B84AE9">
      <w:pPr>
        <w:pStyle w:val="Heading2"/>
        <w:numPr>
          <w:ilvl w:val="0"/>
          <w:numId w:val="0"/>
        </w:numPr>
        <w:ind w:left="720" w:hanging="720"/>
      </w:pPr>
      <w:r>
        <w:t>UAE</w:t>
      </w:r>
      <w:r w:rsidR="00F7044C">
        <w:t xml:space="preserve"> market overview</w:t>
      </w:r>
    </w:p>
    <w:p w14:paraId="46D75EC9" w14:textId="3CA196E7" w:rsidR="00B258EB" w:rsidRDefault="00B258EB" w:rsidP="00B258EB">
      <w:pPr>
        <w:pStyle w:val="ListBullet"/>
        <w:jc w:val="both"/>
      </w:pPr>
      <w:r>
        <w:t xml:space="preserve">The United Arab Emirates </w:t>
      </w:r>
      <w:r w:rsidR="002A17DE">
        <w:t xml:space="preserve">(UAE) </w:t>
      </w:r>
      <w:r>
        <w:t xml:space="preserve">has a population of 9.9 million and real GDP growth is forecasted to be 3% in 2022. Rising incomes, changing </w:t>
      </w:r>
      <w:r w:rsidR="00DB7263">
        <w:t xml:space="preserve">consumer </w:t>
      </w:r>
      <w:r>
        <w:t xml:space="preserve">preferences and a </w:t>
      </w:r>
      <w:r w:rsidR="00FE2E14">
        <w:t xml:space="preserve">strong </w:t>
      </w:r>
      <w:r>
        <w:t xml:space="preserve">tourist sector is fuelling demand for premium, organic and specialised foods. </w:t>
      </w:r>
    </w:p>
    <w:p w14:paraId="6ACEC9B4" w14:textId="1649C8ED" w:rsidR="00B258EB" w:rsidRDefault="00DB7263" w:rsidP="00B258EB">
      <w:pPr>
        <w:pStyle w:val="ListBullet"/>
        <w:jc w:val="both"/>
      </w:pPr>
      <w:r>
        <w:t>A large e</w:t>
      </w:r>
      <w:r w:rsidR="00B258EB">
        <w:t>xpatriate</w:t>
      </w:r>
      <w:r>
        <w:t xml:space="preserve"> population is helping drive demand</w:t>
      </w:r>
      <w:r w:rsidR="00B258EB">
        <w:t xml:space="preserve"> </w:t>
      </w:r>
      <w:r>
        <w:t>for</w:t>
      </w:r>
      <w:r w:rsidR="00FE25EC">
        <w:t xml:space="preserve"> </w:t>
      </w:r>
      <w:r w:rsidR="00456C80">
        <w:t>w</w:t>
      </w:r>
      <w:r w:rsidR="00B258EB">
        <w:t>estern</w:t>
      </w:r>
      <w:r w:rsidR="002A17DE">
        <w:t xml:space="preserve"> </w:t>
      </w:r>
      <w:r w:rsidR="00B258EB">
        <w:t>style</w:t>
      </w:r>
      <w:r w:rsidR="00FE25EC">
        <w:t xml:space="preserve"> food</w:t>
      </w:r>
      <w:r w:rsidR="00B258EB">
        <w:t>. Hyper/supermarkets are widespread and supply a diverse range of food.</w:t>
      </w:r>
    </w:p>
    <w:p w14:paraId="55A02105" w14:textId="7998342C" w:rsidR="00B258EB" w:rsidRDefault="00B258EB" w:rsidP="00B258EB">
      <w:pPr>
        <w:pStyle w:val="ListBullet"/>
        <w:jc w:val="both"/>
      </w:pPr>
      <w:r>
        <w:t>Dubai has developed</w:t>
      </w:r>
      <w:r w:rsidR="00DB7263">
        <w:t xml:space="preserve"> Jebel Ali,</w:t>
      </w:r>
      <w:r>
        <w:t xml:space="preserve"> the largest cargo port in the Middle East</w:t>
      </w:r>
      <w:r w:rsidR="00DB7263">
        <w:t>,</w:t>
      </w:r>
      <w:r>
        <w:t xml:space="preserve"> and a range of free trade zones to attract manufacturing and service industries.</w:t>
      </w:r>
    </w:p>
    <w:p w14:paraId="1C7EC382" w14:textId="0898C1B8" w:rsidR="00B410E6" w:rsidRDefault="00AC3388" w:rsidP="00B258EB">
      <w:pPr>
        <w:pStyle w:val="ListBullet"/>
        <w:jc w:val="both"/>
      </w:pPr>
      <w:r>
        <w:t xml:space="preserve">The </w:t>
      </w:r>
      <w:r w:rsidR="002A17DE" w:rsidRPr="0004750F">
        <w:t xml:space="preserve">UAE is </w:t>
      </w:r>
      <w:r w:rsidR="002A17DE">
        <w:t xml:space="preserve">a </w:t>
      </w:r>
      <w:r w:rsidR="002A17DE" w:rsidRPr="0004750F">
        <w:t>commercial hub for regional food and agriculture supply</w:t>
      </w:r>
      <w:r w:rsidR="002A17DE">
        <w:t xml:space="preserve">. In 2020, </w:t>
      </w:r>
      <w:r w:rsidR="00A46DA9">
        <w:t xml:space="preserve">the </w:t>
      </w:r>
      <w:r w:rsidR="002A17DE">
        <w:t>UAE re-exported $7.5 billion of food and</w:t>
      </w:r>
      <w:r w:rsidR="002A17DE" w:rsidRPr="002A17DE">
        <w:t xml:space="preserve"> </w:t>
      </w:r>
      <w:r w:rsidR="002A17DE">
        <w:t>agriculture products, predominately to other Middle Eastern countries.</w:t>
      </w:r>
    </w:p>
    <w:p w14:paraId="5F1677D7" w14:textId="7B190112" w:rsidR="002A17DE" w:rsidRPr="00B258EB" w:rsidRDefault="00AC3388" w:rsidP="00B258EB">
      <w:pPr>
        <w:pStyle w:val="ListBullet"/>
        <w:jc w:val="both"/>
      </w:pPr>
      <w:r>
        <w:t>On 17 March 2022</w:t>
      </w:r>
      <w:r w:rsidR="00A46DA9">
        <w:t>,</w:t>
      </w:r>
      <w:r>
        <w:t xml:space="preserve"> </w:t>
      </w:r>
      <w:r w:rsidR="00B410E6">
        <w:t xml:space="preserve">Australia and </w:t>
      </w:r>
      <w:r w:rsidR="00A46DA9">
        <w:t xml:space="preserve">the </w:t>
      </w:r>
      <w:r w:rsidR="00B410E6">
        <w:t xml:space="preserve">UAE </w:t>
      </w:r>
      <w:r>
        <w:t xml:space="preserve">agreed </w:t>
      </w:r>
      <w:r w:rsidR="00B410E6">
        <w:t xml:space="preserve">to commence negotiation of </w:t>
      </w:r>
      <w:r w:rsidR="00B410E6" w:rsidRPr="00EE53E7">
        <w:t>a Comprehensive Economic Partnership Agreement</w:t>
      </w:r>
      <w:r w:rsidR="008B2129">
        <w:t>.</w:t>
      </w:r>
    </w:p>
    <w:p w14:paraId="55C15677" w14:textId="05119F2B" w:rsidR="00045981" w:rsidRPr="00B84AE9" w:rsidRDefault="00DA734A" w:rsidP="00045981">
      <w:pPr>
        <w:pStyle w:val="Heading2"/>
        <w:numPr>
          <w:ilvl w:val="0"/>
          <w:numId w:val="0"/>
        </w:numPr>
        <w:ind w:left="720" w:hanging="720"/>
      </w:pPr>
      <w:r>
        <w:t xml:space="preserve">UAE </w:t>
      </w:r>
      <w:r w:rsidR="00F7044C">
        <w:t>food and agriculture imports</w:t>
      </w:r>
    </w:p>
    <w:p w14:paraId="7D52F954" w14:textId="47EF0E49" w:rsidR="00B258EB" w:rsidRDefault="00B258EB" w:rsidP="005850BD">
      <w:pPr>
        <w:pStyle w:val="ListBullet"/>
        <w:jc w:val="both"/>
      </w:pPr>
      <w:r w:rsidRPr="00B258EB">
        <w:t xml:space="preserve">In 2020, </w:t>
      </w:r>
      <w:r w:rsidR="00A46DA9">
        <w:t xml:space="preserve">the </w:t>
      </w:r>
      <w:r w:rsidRPr="00B258EB">
        <w:t xml:space="preserve">UAE imported $24 billion of agriculture, </w:t>
      </w:r>
      <w:proofErr w:type="gramStart"/>
      <w:r w:rsidR="004D5F7D">
        <w:t>f</w:t>
      </w:r>
      <w:r w:rsidR="004D5F7D" w:rsidRPr="00B258EB">
        <w:t>isheries</w:t>
      </w:r>
      <w:proofErr w:type="gramEnd"/>
      <w:r w:rsidR="004D5F7D" w:rsidRPr="00B258EB">
        <w:t xml:space="preserve"> </w:t>
      </w:r>
      <w:r w:rsidRPr="00B258EB">
        <w:t xml:space="preserve">and </w:t>
      </w:r>
      <w:r w:rsidR="004D5F7D">
        <w:t>f</w:t>
      </w:r>
      <w:r w:rsidR="004D5F7D" w:rsidRPr="00B258EB">
        <w:t xml:space="preserve">orestry </w:t>
      </w:r>
      <w:r w:rsidRPr="00B258EB">
        <w:t xml:space="preserve">(AFF) products. </w:t>
      </w:r>
      <w:r w:rsidR="00A46DA9">
        <w:t xml:space="preserve">The </w:t>
      </w:r>
      <w:r w:rsidRPr="00B258EB">
        <w:t>UAE imports 85% of the food it consumes.</w:t>
      </w:r>
    </w:p>
    <w:p w14:paraId="2493B5AE" w14:textId="19791C25" w:rsidR="00B258EB" w:rsidRPr="00F10509" w:rsidRDefault="00B258EB" w:rsidP="005850BD">
      <w:pPr>
        <w:pStyle w:val="ListBullet"/>
        <w:jc w:val="both"/>
      </w:pPr>
      <w:r w:rsidRPr="00F10509">
        <w:t xml:space="preserve">In </w:t>
      </w:r>
      <w:r w:rsidR="00F10509" w:rsidRPr="00F10509">
        <w:t>2021</w:t>
      </w:r>
      <w:r w:rsidRPr="00F10509">
        <w:t>, Australia exported $</w:t>
      </w:r>
      <w:r w:rsidR="00F10509" w:rsidRPr="00F10509">
        <w:t>1.06 b</w:t>
      </w:r>
      <w:r w:rsidRPr="00F10509">
        <w:t xml:space="preserve">illion of AFF products to </w:t>
      </w:r>
      <w:r w:rsidR="00A46DA9">
        <w:t xml:space="preserve">the </w:t>
      </w:r>
      <w:r w:rsidRPr="00F10509">
        <w:t>UAE,</w:t>
      </w:r>
      <w:r w:rsidR="00DB7263" w:rsidRPr="00F10509">
        <w:t xml:space="preserve"> predominately meat and crop products. This was</w:t>
      </w:r>
      <w:r w:rsidRPr="00F10509">
        <w:t xml:space="preserve"> </w:t>
      </w:r>
      <w:r w:rsidR="00F10509" w:rsidRPr="00F10509">
        <w:t>57.4</w:t>
      </w:r>
      <w:r w:rsidRPr="00F10509">
        <w:t xml:space="preserve">% </w:t>
      </w:r>
      <w:r w:rsidR="00DB7263" w:rsidRPr="00F10509">
        <w:t xml:space="preserve">higher </w:t>
      </w:r>
      <w:r w:rsidRPr="00F10509">
        <w:t xml:space="preserve">than </w:t>
      </w:r>
      <w:r w:rsidR="00F10509" w:rsidRPr="00F10509">
        <w:t>2020</w:t>
      </w:r>
      <w:r w:rsidRPr="00F10509">
        <w:t xml:space="preserve">. </w:t>
      </w:r>
    </w:p>
    <w:p w14:paraId="44B62C0D" w14:textId="0FE0FC3D" w:rsidR="002E618E" w:rsidRDefault="00A46DA9" w:rsidP="005850BD">
      <w:pPr>
        <w:pStyle w:val="ListBullet"/>
        <w:jc w:val="both"/>
      </w:pPr>
      <w:r>
        <w:t xml:space="preserve">The </w:t>
      </w:r>
      <w:r w:rsidR="002E618E" w:rsidRPr="002E618E">
        <w:t xml:space="preserve">UAE is a large </w:t>
      </w:r>
      <w:r w:rsidR="00DB7263">
        <w:t xml:space="preserve">global </w:t>
      </w:r>
      <w:r w:rsidR="002E618E" w:rsidRPr="002E618E">
        <w:t>market for processed foods and drinks ($5.1b), fruit</w:t>
      </w:r>
      <w:r w:rsidR="00220159">
        <w:t>s</w:t>
      </w:r>
      <w:r w:rsidR="002E618E" w:rsidRPr="002E618E">
        <w:t xml:space="preserve"> and vegetables ($4.8b), meat &amp; live animals ($2.6b), dairy products ($2.4b) and grains ($2.2b).</w:t>
      </w:r>
    </w:p>
    <w:p w14:paraId="16F05247" w14:textId="27A859E8" w:rsidR="00F7044C" w:rsidRDefault="00E20EC8" w:rsidP="00184D3A">
      <w:pPr>
        <w:pStyle w:val="ListBullet"/>
        <w:numPr>
          <w:ilvl w:val="0"/>
          <w:numId w:val="0"/>
        </w:numPr>
      </w:pPr>
      <w:r>
        <w:rPr>
          <w:b/>
          <w:bCs/>
        </w:rPr>
        <w:br w:type="column"/>
      </w:r>
      <w:r w:rsidR="00F7044C" w:rsidRPr="002E618E">
        <w:rPr>
          <w:b/>
          <w:bCs/>
        </w:rPr>
        <w:lastRenderedPageBreak/>
        <w:t xml:space="preserve">Figure 1 </w:t>
      </w:r>
      <w:r w:rsidR="00DA734A">
        <w:rPr>
          <w:b/>
          <w:bCs/>
        </w:rPr>
        <w:t>UAE</w:t>
      </w:r>
      <w:r w:rsidR="00F7044C" w:rsidRPr="002E618E">
        <w:rPr>
          <w:b/>
          <w:bCs/>
        </w:rPr>
        <w:t xml:space="preserve"> food and agricultural product imports from the </w:t>
      </w:r>
      <w:r w:rsidR="00AB6C00">
        <w:rPr>
          <w:b/>
          <w:bCs/>
        </w:rPr>
        <w:t>W</w:t>
      </w:r>
      <w:r w:rsidR="00F7044C" w:rsidRPr="002E618E">
        <w:rPr>
          <w:b/>
          <w:bCs/>
        </w:rPr>
        <w:t>orld in 2020</w:t>
      </w:r>
    </w:p>
    <w:p w14:paraId="1836E211" w14:textId="32A4DC3F" w:rsidR="00DD2F6A" w:rsidRDefault="00184D3A" w:rsidP="002E618E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C074EB" wp14:editId="6663E170">
            <wp:extent cx="5759450" cy="2820106"/>
            <wp:effectExtent l="0" t="0" r="0" b="0"/>
            <wp:docPr id="8" name="Picture 8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20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625DE" w14:textId="19B941CE" w:rsidR="00F7044C" w:rsidRDefault="00F7044C" w:rsidP="00C02B23">
      <w:pPr>
        <w:pStyle w:val="ListBullet"/>
        <w:numPr>
          <w:ilvl w:val="0"/>
          <w:numId w:val="0"/>
        </w:numPr>
        <w:rPr>
          <w:b/>
          <w:bCs/>
        </w:rPr>
      </w:pPr>
      <w:r w:rsidRPr="009D30DE">
        <w:rPr>
          <w:b/>
          <w:bCs/>
        </w:rPr>
        <w:t xml:space="preserve">Figure </w:t>
      </w:r>
      <w:r w:rsidRPr="009D30DE">
        <w:rPr>
          <w:b/>
          <w:bCs/>
        </w:rPr>
        <w:fldChar w:fldCharType="begin"/>
      </w:r>
      <w:r w:rsidRPr="009D30DE">
        <w:rPr>
          <w:b/>
          <w:bCs/>
        </w:rPr>
        <w:instrText xml:space="preserve"> SEQ Figure \* ARABIC </w:instrText>
      </w:r>
      <w:r w:rsidRPr="009D30DE">
        <w:rPr>
          <w:b/>
          <w:bCs/>
        </w:rPr>
        <w:fldChar w:fldCharType="separate"/>
      </w:r>
      <w:r w:rsidRPr="009D30DE">
        <w:rPr>
          <w:b/>
          <w:bCs/>
        </w:rPr>
        <w:t>2</w:t>
      </w:r>
      <w:r w:rsidRPr="009D30DE">
        <w:rPr>
          <w:b/>
          <w:bCs/>
        </w:rPr>
        <w:fldChar w:fldCharType="end"/>
      </w:r>
      <w:r w:rsidRPr="009D30DE">
        <w:rPr>
          <w:b/>
          <w:bCs/>
        </w:rPr>
        <w:t xml:space="preserve"> </w:t>
      </w:r>
      <w:r>
        <w:rPr>
          <w:b/>
          <w:bCs/>
        </w:rPr>
        <w:t xml:space="preserve">Australia food and agricultural product exports to </w:t>
      </w:r>
      <w:r w:rsidR="00A46DA9">
        <w:rPr>
          <w:b/>
          <w:bCs/>
        </w:rPr>
        <w:t xml:space="preserve">the </w:t>
      </w:r>
      <w:r w:rsidR="00DA734A">
        <w:rPr>
          <w:b/>
          <w:bCs/>
        </w:rPr>
        <w:t>UAE</w:t>
      </w:r>
      <w:r w:rsidR="00C02B23">
        <w:rPr>
          <w:b/>
          <w:bCs/>
        </w:rPr>
        <w:t xml:space="preserve"> (2017 to 2021)</w:t>
      </w:r>
    </w:p>
    <w:p w14:paraId="24A1DC4F" w14:textId="22A9CC7D" w:rsidR="00F7044C" w:rsidRPr="009D30DE" w:rsidRDefault="0008778A" w:rsidP="00F7044C">
      <w:pPr>
        <w:pStyle w:val="ListBullet"/>
        <w:numPr>
          <w:ilvl w:val="0"/>
          <w:numId w:val="0"/>
        </w:numPr>
        <w:ind w:left="425" w:hanging="425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9143A56" wp14:editId="76FE9763">
            <wp:extent cx="5761355" cy="3724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72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CA2A1" w14:textId="469B5AC0" w:rsidR="00F7044C" w:rsidRPr="00B84AE9" w:rsidRDefault="00F7044C" w:rsidP="00635CEF">
      <w:pPr>
        <w:pStyle w:val="Heading2"/>
        <w:numPr>
          <w:ilvl w:val="0"/>
          <w:numId w:val="0"/>
        </w:numPr>
        <w:ind w:left="720" w:hanging="720"/>
      </w:pPr>
      <w:r>
        <w:t>Outlook for Australian food and agricultur</w:t>
      </w:r>
      <w:r w:rsidR="005D560A">
        <w:t>al</w:t>
      </w:r>
      <w:r>
        <w:t xml:space="preserve"> exports to </w:t>
      </w:r>
      <w:r w:rsidR="00635CEF">
        <w:t>the UAE</w:t>
      </w:r>
    </w:p>
    <w:p w14:paraId="603A3EA0" w14:textId="7D2981C4" w:rsidR="00B36004" w:rsidRDefault="00F94266" w:rsidP="005850BD">
      <w:pPr>
        <w:pStyle w:val="ListBullet"/>
        <w:jc w:val="both"/>
        <w:rPr>
          <w:lang w:val="en-US"/>
        </w:rPr>
      </w:pPr>
      <w:r>
        <w:rPr>
          <w:lang w:val="en-US"/>
        </w:rPr>
        <w:t>N</w:t>
      </w:r>
      <w:r w:rsidR="00B36004">
        <w:rPr>
          <w:lang w:val="en-US"/>
        </w:rPr>
        <w:t xml:space="preserve">egotiation and implementation of the </w:t>
      </w:r>
      <w:r w:rsidR="00B36004" w:rsidRPr="00907A70">
        <w:rPr>
          <w:lang w:val="en-US"/>
        </w:rPr>
        <w:t xml:space="preserve">Comprehensive Economic Partnership Agreement </w:t>
      </w:r>
      <w:r w:rsidR="00B36004">
        <w:rPr>
          <w:lang w:val="en-US"/>
        </w:rPr>
        <w:t xml:space="preserve">between Australia and </w:t>
      </w:r>
      <w:r w:rsidR="00A46DA9">
        <w:rPr>
          <w:lang w:val="en-US"/>
        </w:rPr>
        <w:t xml:space="preserve">the </w:t>
      </w:r>
      <w:r w:rsidR="00DA734A">
        <w:rPr>
          <w:lang w:val="en-US"/>
        </w:rPr>
        <w:t>UAE</w:t>
      </w:r>
      <w:r>
        <w:rPr>
          <w:lang w:val="en-US"/>
        </w:rPr>
        <w:t xml:space="preserve"> should support expanded market opportunities for food and agriculture</w:t>
      </w:r>
      <w:r w:rsidR="00587540">
        <w:rPr>
          <w:lang w:val="en-US"/>
        </w:rPr>
        <w:t>.</w:t>
      </w:r>
    </w:p>
    <w:p w14:paraId="787CDF23" w14:textId="02462902" w:rsidR="002E618E" w:rsidRPr="002E618E" w:rsidRDefault="002E618E" w:rsidP="005850BD">
      <w:pPr>
        <w:pStyle w:val="ListBullet"/>
        <w:jc w:val="both"/>
      </w:pPr>
      <w:r w:rsidRPr="002E618E">
        <w:lastRenderedPageBreak/>
        <w:t xml:space="preserve">In 2018, </w:t>
      </w:r>
      <w:r w:rsidR="00FC174E">
        <w:t xml:space="preserve">the </w:t>
      </w:r>
      <w:r w:rsidRPr="002E618E">
        <w:t>UAE Government published the National Strategy for Food Security which aims to improve food security by facilitating global food trade and diversifying food import sources.</w:t>
      </w:r>
    </w:p>
    <w:p w14:paraId="157DA791" w14:textId="77777777" w:rsidR="00894CD4" w:rsidRPr="00DD2F6A" w:rsidRDefault="00894CD4" w:rsidP="005850BD">
      <w:pPr>
        <w:pStyle w:val="ListBullet"/>
        <w:jc w:val="both"/>
      </w:pPr>
      <w:r w:rsidRPr="002E618E">
        <w:t xml:space="preserve">Food and beverage products identified with high growth potential include ready-to-eat meals, processed food, health food, organic food, soft </w:t>
      </w:r>
      <w:proofErr w:type="gramStart"/>
      <w:r w:rsidRPr="002E618E">
        <w:t>drinks</w:t>
      </w:r>
      <w:proofErr w:type="gramEnd"/>
      <w:r w:rsidRPr="002E618E">
        <w:t xml:space="preserve"> and flavoured water.</w:t>
      </w:r>
    </w:p>
    <w:p w14:paraId="22819AE3" w14:textId="0C743490" w:rsidR="002E618E" w:rsidRDefault="002E618E" w:rsidP="005850BD">
      <w:pPr>
        <w:pStyle w:val="ListBullet"/>
        <w:jc w:val="both"/>
      </w:pPr>
      <w:r w:rsidRPr="002E618E">
        <w:t>A Memorandum of Understanding</w:t>
      </w:r>
      <w:r w:rsidR="00FE25EC">
        <w:t xml:space="preserve"> </w:t>
      </w:r>
      <w:r w:rsidR="00894CD4">
        <w:t>to establish electronic certification has been agreed</w:t>
      </w:r>
      <w:r w:rsidRPr="002E618E">
        <w:t xml:space="preserve"> between Australia and the Dubai Municipality </w:t>
      </w:r>
      <w:r w:rsidR="004D4405">
        <w:t>that</w:t>
      </w:r>
      <w:r w:rsidR="004D4405" w:rsidRPr="002E618E">
        <w:t xml:space="preserve"> </w:t>
      </w:r>
      <w:r w:rsidRPr="002E618E">
        <w:t xml:space="preserve">will facilitate </w:t>
      </w:r>
      <w:r w:rsidR="00456C80">
        <w:t xml:space="preserve">food and agriculture </w:t>
      </w:r>
      <w:r w:rsidRPr="002E618E">
        <w:t xml:space="preserve">trade </w:t>
      </w:r>
      <w:r w:rsidR="00456C80">
        <w:t>to and through the Port of Dubai</w:t>
      </w:r>
      <w:r w:rsidRPr="002E618E">
        <w:t>.</w:t>
      </w:r>
    </w:p>
    <w:p w14:paraId="33D1EE10" w14:textId="06EFEB95" w:rsidR="00F7044C" w:rsidRPr="00DD2F6A" w:rsidRDefault="00A46DA9" w:rsidP="005850BD">
      <w:pPr>
        <w:pStyle w:val="ListBullet"/>
        <w:jc w:val="both"/>
      </w:pPr>
      <w:r>
        <w:t xml:space="preserve">The </w:t>
      </w:r>
      <w:r w:rsidR="004D4405">
        <w:t xml:space="preserve">UAE consumers view </w:t>
      </w:r>
      <w:r w:rsidR="004D4405" w:rsidRPr="00F7044C">
        <w:t>Australia</w:t>
      </w:r>
      <w:r w:rsidR="004D4405">
        <w:t>n</w:t>
      </w:r>
      <w:r w:rsidR="004D4405" w:rsidRPr="00F7044C">
        <w:t xml:space="preserve"> </w:t>
      </w:r>
      <w:r w:rsidR="004D4405">
        <w:t xml:space="preserve">food </w:t>
      </w:r>
      <w:r w:rsidR="004D4405" w:rsidRPr="00F7044C">
        <w:t>as</w:t>
      </w:r>
      <w:r w:rsidR="004D4405">
        <w:t xml:space="preserve"> premium products</w:t>
      </w:r>
      <w:r w:rsidR="004D4405" w:rsidRPr="00F7044C">
        <w:t xml:space="preserve"> with reliable traceability</w:t>
      </w:r>
      <w:r w:rsidR="004D4405">
        <w:t xml:space="preserve">. </w:t>
      </w:r>
      <w:r w:rsidR="00002678">
        <w:t>Australia’s strong regulatory frameworks</w:t>
      </w:r>
      <w:r w:rsidR="004D4405">
        <w:t xml:space="preserve"> and reliability of supply supports </w:t>
      </w:r>
      <w:r w:rsidR="008201E1">
        <w:t>growing</w:t>
      </w:r>
      <w:r w:rsidR="00F7044C" w:rsidRPr="00F7044C">
        <w:t xml:space="preserve"> demand for organic and vegan food products by wealthy young citizens and expats.</w:t>
      </w:r>
    </w:p>
    <w:sectPr w:rsidR="00F7044C" w:rsidRPr="00DD2F6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A51C" w14:textId="77777777" w:rsidR="001710F9" w:rsidRDefault="001710F9">
      <w:r>
        <w:separator/>
      </w:r>
    </w:p>
    <w:p w14:paraId="089A1464" w14:textId="77777777" w:rsidR="001710F9" w:rsidRDefault="001710F9"/>
    <w:p w14:paraId="1A0D056A" w14:textId="77777777" w:rsidR="001710F9" w:rsidRDefault="001710F9"/>
  </w:endnote>
  <w:endnote w:type="continuationSeparator" w:id="0">
    <w:p w14:paraId="015443ED" w14:textId="77777777" w:rsidR="001710F9" w:rsidRDefault="001710F9">
      <w:r>
        <w:continuationSeparator/>
      </w:r>
    </w:p>
    <w:p w14:paraId="18BE8E47" w14:textId="77777777" w:rsidR="001710F9" w:rsidRDefault="001710F9"/>
    <w:p w14:paraId="6164FB17" w14:textId="77777777" w:rsidR="001710F9" w:rsidRDefault="001710F9"/>
  </w:endnote>
  <w:endnote w:type="continuationNotice" w:id="1">
    <w:p w14:paraId="2706A18B" w14:textId="77777777" w:rsidR="001710F9" w:rsidRDefault="001710F9">
      <w:pPr>
        <w:pStyle w:val="Footer"/>
      </w:pPr>
    </w:p>
    <w:p w14:paraId="44702724" w14:textId="77777777" w:rsidR="001710F9" w:rsidRDefault="001710F9"/>
    <w:p w14:paraId="1D9A5B29" w14:textId="77777777" w:rsidR="001710F9" w:rsidRDefault="00171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7207" w14:textId="4FEE5583" w:rsidR="002A193C" w:rsidRDefault="002A193C">
    <w:pPr>
      <w:pStyle w:val="Footer"/>
    </w:pPr>
    <w:r>
      <w:t>Department of Agriculture, Water and the Environment</w:t>
    </w:r>
  </w:p>
  <w:p w14:paraId="041055DB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DDA5" w14:textId="7D5A5EAC" w:rsidR="002A193C" w:rsidRDefault="002A193C">
    <w:pPr>
      <w:pStyle w:val="Footer"/>
    </w:pPr>
    <w:r>
      <w:t>Department of Agriculture, Water and the Environment</w:t>
    </w:r>
  </w:p>
  <w:p w14:paraId="48B5E446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84DB" w14:textId="77777777" w:rsidR="001710F9" w:rsidRDefault="001710F9">
      <w:r>
        <w:separator/>
      </w:r>
    </w:p>
    <w:p w14:paraId="0308A95E" w14:textId="77777777" w:rsidR="001710F9" w:rsidRDefault="001710F9"/>
    <w:p w14:paraId="7E562C86" w14:textId="77777777" w:rsidR="001710F9" w:rsidRDefault="001710F9"/>
  </w:footnote>
  <w:footnote w:type="continuationSeparator" w:id="0">
    <w:p w14:paraId="0197CAA4" w14:textId="77777777" w:rsidR="001710F9" w:rsidRDefault="001710F9">
      <w:r>
        <w:continuationSeparator/>
      </w:r>
    </w:p>
    <w:p w14:paraId="3745B737" w14:textId="77777777" w:rsidR="001710F9" w:rsidRDefault="001710F9"/>
    <w:p w14:paraId="08929752" w14:textId="77777777" w:rsidR="001710F9" w:rsidRDefault="001710F9"/>
  </w:footnote>
  <w:footnote w:type="continuationNotice" w:id="1">
    <w:p w14:paraId="46357B69" w14:textId="77777777" w:rsidR="001710F9" w:rsidRDefault="001710F9">
      <w:pPr>
        <w:pStyle w:val="Footer"/>
      </w:pPr>
    </w:p>
    <w:p w14:paraId="0CCC3F4B" w14:textId="77777777" w:rsidR="001710F9" w:rsidRDefault="001710F9"/>
    <w:p w14:paraId="12A4D30D" w14:textId="77777777" w:rsidR="001710F9" w:rsidRDefault="001710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C972" w14:textId="6B055E0D" w:rsidR="00AB53EE" w:rsidRDefault="00DF6FEE">
    <w:pPr>
      <w:pStyle w:val="Header"/>
    </w:pPr>
    <w:r w:rsidRPr="00DF6FEE">
      <w:t xml:space="preserve">United Arab Emirates </w:t>
    </w:r>
    <w:r w:rsidR="00AB53EE" w:rsidRPr="00AB53EE">
      <w:t xml:space="preserve">food and agriculture snapshot – </w:t>
    </w:r>
    <w:r w:rsidR="00DA734A">
      <w:t>March</w:t>
    </w:r>
    <w:r w:rsidR="00DA734A" w:rsidRPr="00AB53EE">
      <w:t xml:space="preserve"> </w:t>
    </w:r>
    <w:r w:rsidR="00AB53EE" w:rsidRPr="00AB53EE"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35D6" w14:textId="2CA29C24" w:rsidR="002A193C" w:rsidRDefault="002A193C">
    <w:pPr>
      <w:pStyle w:val="Header"/>
      <w:jc w:val="left"/>
    </w:pPr>
    <w:r>
      <w:rPr>
        <w:noProof/>
        <w:lang w:eastAsia="en-AU"/>
      </w:rPr>
      <w:drawing>
        <wp:inline distT="0" distB="0" distL="0" distR="0" wp14:anchorId="5BBE5CE1" wp14:editId="2B9A98F8">
          <wp:extent cx="2123264" cy="637247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7D1C3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ADEE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3ED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291240A"/>
    <w:multiLevelType w:val="hybridMultilevel"/>
    <w:tmpl w:val="91CA9F14"/>
    <w:lvl w:ilvl="0" w:tplc="4FEECFB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00A6158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65C71D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761B7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20EB0F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2A78D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20B2B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4A413E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7EEC9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3641885"/>
    <w:multiLevelType w:val="hybridMultilevel"/>
    <w:tmpl w:val="F4E817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800B4"/>
    <w:multiLevelType w:val="multilevel"/>
    <w:tmpl w:val="23887CA2"/>
    <w:numStyleLink w:val="List1"/>
  </w:abstractNum>
  <w:abstractNum w:abstractNumId="20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159DC"/>
    <w:multiLevelType w:val="multilevel"/>
    <w:tmpl w:val="BE78A4F8"/>
    <w:numStyleLink w:val="Numberlist"/>
  </w:abstractNum>
  <w:abstractNum w:abstractNumId="22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531A7"/>
    <w:multiLevelType w:val="hybridMultilevel"/>
    <w:tmpl w:val="75BE8F0A"/>
    <w:lvl w:ilvl="0" w:tplc="2BCC8D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5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5BAF0DBC"/>
    <w:multiLevelType w:val="hybridMultilevel"/>
    <w:tmpl w:val="261A1CB4"/>
    <w:lvl w:ilvl="0" w:tplc="8D16E5A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3B06B12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34F4E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B8E343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C2EDF8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30A18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848048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4B0084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10A00D2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C10A1"/>
    <w:multiLevelType w:val="multilevel"/>
    <w:tmpl w:val="BE78A4F8"/>
    <w:numStyleLink w:val="Numberlist"/>
  </w:abstractNum>
  <w:abstractNum w:abstractNumId="31" w15:restartNumberingAfterBreak="0">
    <w:nsid w:val="6ED35505"/>
    <w:multiLevelType w:val="hybridMultilevel"/>
    <w:tmpl w:val="5666FE72"/>
    <w:lvl w:ilvl="0" w:tplc="72382A18">
      <w:numFmt w:val="bullet"/>
      <w:lvlText w:val="-"/>
      <w:lvlJc w:val="left"/>
      <w:pPr>
        <w:ind w:left="785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9"/>
  </w:num>
  <w:num w:numId="3">
    <w:abstractNumId w:val="20"/>
  </w:num>
  <w:num w:numId="4">
    <w:abstractNumId w:val="10"/>
  </w:num>
  <w:num w:numId="5">
    <w:abstractNumId w:val="26"/>
  </w:num>
  <w:num w:numId="6">
    <w:abstractNumId w:val="27"/>
  </w:num>
  <w:num w:numId="7">
    <w:abstractNumId w:val="8"/>
  </w:num>
  <w:num w:numId="8">
    <w:abstractNumId w:val="13"/>
  </w:num>
  <w:num w:numId="9">
    <w:abstractNumId w:val="16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"/>
  </w:num>
  <w:num w:numId="20">
    <w:abstractNumId w:val="0"/>
  </w:num>
  <w:num w:numId="21">
    <w:abstractNumId w:val="14"/>
  </w:num>
  <w:num w:numId="22">
    <w:abstractNumId w:val="21"/>
  </w:num>
  <w:num w:numId="23">
    <w:abstractNumId w:val="30"/>
  </w:num>
  <w:num w:numId="24">
    <w:abstractNumId w:val="12"/>
  </w:num>
  <w:num w:numId="25">
    <w:abstractNumId w:val="1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2"/>
  </w:num>
  <w:num w:numId="29">
    <w:abstractNumId w:val="25"/>
  </w:num>
  <w:num w:numId="30">
    <w:abstractNumId w:val="9"/>
  </w:num>
  <w:num w:numId="31">
    <w:abstractNumId w:val="5"/>
  </w:num>
  <w:num w:numId="32">
    <w:abstractNumId w:val="26"/>
  </w:num>
  <w:num w:numId="33">
    <w:abstractNumId w:val="26"/>
  </w:num>
  <w:num w:numId="34">
    <w:abstractNumId w:val="26"/>
  </w:num>
  <w:num w:numId="35">
    <w:abstractNumId w:val="31"/>
  </w:num>
  <w:num w:numId="36">
    <w:abstractNumId w:val="23"/>
  </w:num>
  <w:num w:numId="37">
    <w:abstractNumId w:val="15"/>
  </w:num>
  <w:num w:numId="38">
    <w:abstractNumId w:val="16"/>
  </w:num>
  <w:num w:numId="39">
    <w:abstractNumId w:val="28"/>
  </w:num>
  <w:num w:numId="40">
    <w:abstractNumId w:val="26"/>
  </w:num>
  <w:num w:numId="41">
    <w:abstractNumId w:val="26"/>
  </w:num>
  <w:num w:numId="42">
    <w:abstractNumId w:val="16"/>
  </w:num>
  <w:num w:numId="43">
    <w:abstractNumId w:val="16"/>
  </w:num>
  <w:num w:numId="44">
    <w:abstractNumId w:val="18"/>
  </w:num>
  <w:num w:numId="45">
    <w:abstractNumId w:val="26"/>
  </w:num>
  <w:num w:numId="4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EF"/>
    <w:rsid w:val="00002678"/>
    <w:rsid w:val="00045981"/>
    <w:rsid w:val="0004750F"/>
    <w:rsid w:val="00081754"/>
    <w:rsid w:val="0008778A"/>
    <w:rsid w:val="000979CD"/>
    <w:rsid w:val="000B589C"/>
    <w:rsid w:val="000B6CFC"/>
    <w:rsid w:val="000C14C5"/>
    <w:rsid w:val="000D5EE0"/>
    <w:rsid w:val="000E43D5"/>
    <w:rsid w:val="000F27EF"/>
    <w:rsid w:val="0014769A"/>
    <w:rsid w:val="001567E9"/>
    <w:rsid w:val="001654C6"/>
    <w:rsid w:val="001710F9"/>
    <w:rsid w:val="00175FBB"/>
    <w:rsid w:val="00184D3A"/>
    <w:rsid w:val="001922B0"/>
    <w:rsid w:val="001C44E8"/>
    <w:rsid w:val="001D77BC"/>
    <w:rsid w:val="001F0E04"/>
    <w:rsid w:val="00215BF5"/>
    <w:rsid w:val="00220159"/>
    <w:rsid w:val="002234A5"/>
    <w:rsid w:val="00230C06"/>
    <w:rsid w:val="0024748F"/>
    <w:rsid w:val="0025053E"/>
    <w:rsid w:val="00262394"/>
    <w:rsid w:val="002732D7"/>
    <w:rsid w:val="0027462F"/>
    <w:rsid w:val="0029119D"/>
    <w:rsid w:val="002A17DE"/>
    <w:rsid w:val="002A193C"/>
    <w:rsid w:val="002A4A39"/>
    <w:rsid w:val="002B3AC7"/>
    <w:rsid w:val="002C2D73"/>
    <w:rsid w:val="002C3BB0"/>
    <w:rsid w:val="002E618E"/>
    <w:rsid w:val="003014DB"/>
    <w:rsid w:val="003754A6"/>
    <w:rsid w:val="0038514A"/>
    <w:rsid w:val="0038783C"/>
    <w:rsid w:val="00391D2A"/>
    <w:rsid w:val="00396339"/>
    <w:rsid w:val="003A4B4A"/>
    <w:rsid w:val="003F0271"/>
    <w:rsid w:val="004413C7"/>
    <w:rsid w:val="00456C80"/>
    <w:rsid w:val="00466EC1"/>
    <w:rsid w:val="00486C20"/>
    <w:rsid w:val="00492BDD"/>
    <w:rsid w:val="004D4405"/>
    <w:rsid w:val="004D5F7D"/>
    <w:rsid w:val="004E0FB2"/>
    <w:rsid w:val="004E31E9"/>
    <w:rsid w:val="005239F6"/>
    <w:rsid w:val="005850BD"/>
    <w:rsid w:val="00587540"/>
    <w:rsid w:val="005C403A"/>
    <w:rsid w:val="005D560A"/>
    <w:rsid w:val="005F0E4D"/>
    <w:rsid w:val="00623CFB"/>
    <w:rsid w:val="00623FF0"/>
    <w:rsid w:val="00626504"/>
    <w:rsid w:val="00635CEF"/>
    <w:rsid w:val="00663EF4"/>
    <w:rsid w:val="006B601A"/>
    <w:rsid w:val="006F284E"/>
    <w:rsid w:val="0072129C"/>
    <w:rsid w:val="00736280"/>
    <w:rsid w:val="007405CB"/>
    <w:rsid w:val="007C14C8"/>
    <w:rsid w:val="007C5B94"/>
    <w:rsid w:val="007E3DF6"/>
    <w:rsid w:val="008201E1"/>
    <w:rsid w:val="0082249A"/>
    <w:rsid w:val="00833933"/>
    <w:rsid w:val="00870518"/>
    <w:rsid w:val="00894CD4"/>
    <w:rsid w:val="008A3190"/>
    <w:rsid w:val="008A58E2"/>
    <w:rsid w:val="008B2129"/>
    <w:rsid w:val="008B442B"/>
    <w:rsid w:val="008D12DC"/>
    <w:rsid w:val="008D1C7D"/>
    <w:rsid w:val="008E1D0A"/>
    <w:rsid w:val="008F3365"/>
    <w:rsid w:val="008F4847"/>
    <w:rsid w:val="008F484E"/>
    <w:rsid w:val="009117DD"/>
    <w:rsid w:val="009225D1"/>
    <w:rsid w:val="00933047"/>
    <w:rsid w:val="009438D4"/>
    <w:rsid w:val="0098179E"/>
    <w:rsid w:val="0098223B"/>
    <w:rsid w:val="009A24DC"/>
    <w:rsid w:val="009B427A"/>
    <w:rsid w:val="009D5B06"/>
    <w:rsid w:val="009E1B7F"/>
    <w:rsid w:val="00A00303"/>
    <w:rsid w:val="00A27D3B"/>
    <w:rsid w:val="00A31627"/>
    <w:rsid w:val="00A46DA9"/>
    <w:rsid w:val="00A56E69"/>
    <w:rsid w:val="00A60E77"/>
    <w:rsid w:val="00A70FC4"/>
    <w:rsid w:val="00A8010A"/>
    <w:rsid w:val="00A87236"/>
    <w:rsid w:val="00A9574E"/>
    <w:rsid w:val="00AA6DA3"/>
    <w:rsid w:val="00AA70E3"/>
    <w:rsid w:val="00AB0FBE"/>
    <w:rsid w:val="00AB53EE"/>
    <w:rsid w:val="00AB6C00"/>
    <w:rsid w:val="00AC3388"/>
    <w:rsid w:val="00AE4F27"/>
    <w:rsid w:val="00AF5211"/>
    <w:rsid w:val="00B01FB8"/>
    <w:rsid w:val="00B258EB"/>
    <w:rsid w:val="00B30536"/>
    <w:rsid w:val="00B307F4"/>
    <w:rsid w:val="00B36004"/>
    <w:rsid w:val="00B410E6"/>
    <w:rsid w:val="00B62B73"/>
    <w:rsid w:val="00B84AE9"/>
    <w:rsid w:val="00B97D52"/>
    <w:rsid w:val="00BA127E"/>
    <w:rsid w:val="00BA4D93"/>
    <w:rsid w:val="00BA7B9C"/>
    <w:rsid w:val="00BD05CD"/>
    <w:rsid w:val="00BF4900"/>
    <w:rsid w:val="00C02B23"/>
    <w:rsid w:val="00C70FAD"/>
    <w:rsid w:val="00CF0DE3"/>
    <w:rsid w:val="00D06356"/>
    <w:rsid w:val="00D13C6B"/>
    <w:rsid w:val="00D14BC4"/>
    <w:rsid w:val="00D16171"/>
    <w:rsid w:val="00D22977"/>
    <w:rsid w:val="00D45274"/>
    <w:rsid w:val="00D45E0E"/>
    <w:rsid w:val="00D64543"/>
    <w:rsid w:val="00D666DC"/>
    <w:rsid w:val="00D90778"/>
    <w:rsid w:val="00DA734A"/>
    <w:rsid w:val="00DB7263"/>
    <w:rsid w:val="00DC3F9F"/>
    <w:rsid w:val="00DD2F6A"/>
    <w:rsid w:val="00DD7D81"/>
    <w:rsid w:val="00DF6FEE"/>
    <w:rsid w:val="00DF7CA4"/>
    <w:rsid w:val="00E0344B"/>
    <w:rsid w:val="00E1656F"/>
    <w:rsid w:val="00E20EC8"/>
    <w:rsid w:val="00E243A5"/>
    <w:rsid w:val="00E31E13"/>
    <w:rsid w:val="00E32AE7"/>
    <w:rsid w:val="00E362EF"/>
    <w:rsid w:val="00E508BE"/>
    <w:rsid w:val="00E51D6E"/>
    <w:rsid w:val="00E732BE"/>
    <w:rsid w:val="00E907BF"/>
    <w:rsid w:val="00ED0E6C"/>
    <w:rsid w:val="00ED5814"/>
    <w:rsid w:val="00EE53E7"/>
    <w:rsid w:val="00F10509"/>
    <w:rsid w:val="00F12A47"/>
    <w:rsid w:val="00F21196"/>
    <w:rsid w:val="00F7044C"/>
    <w:rsid w:val="00F772D0"/>
    <w:rsid w:val="00F901D4"/>
    <w:rsid w:val="00F94266"/>
    <w:rsid w:val="00FB088E"/>
    <w:rsid w:val="00FB5FC7"/>
    <w:rsid w:val="00FC174E"/>
    <w:rsid w:val="00FD117D"/>
    <w:rsid w:val="00FE25EC"/>
    <w:rsid w:val="00FE2E14"/>
    <w:rsid w:val="0DD16A4C"/>
    <w:rsid w:val="271B8E59"/>
    <w:rsid w:val="319991E4"/>
    <w:rsid w:val="42E35799"/>
    <w:rsid w:val="4CFF36A3"/>
    <w:rsid w:val="5F2DD641"/>
    <w:rsid w:val="60CD85B6"/>
    <w:rsid w:val="7B08E283"/>
    <w:rsid w:val="7F64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62E972"/>
  <w15:docId w15:val="{2B1492BF-BB26-482F-8BA9-D03363E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sid w:val="00081754"/>
    <w:rPr>
      <w:rFonts w:eastAsia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36004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31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89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579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9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F65DA30-81C0-499A-A80C-1CF0F85257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441</Words>
  <Characters>2516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Cotton Placemat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2022 - United Arab Emirates food and agriculture snapshot</dc:title>
  <dc:creator>Department of Agriculture, Water and the Environment</dc:creator>
  <cp:lastPrinted>2022-03-15T01:01:00Z</cp:lastPrinted>
  <dcterms:created xsi:type="dcterms:W3CDTF">2022-03-28T03:47:00Z</dcterms:created>
  <dcterms:modified xsi:type="dcterms:W3CDTF">2022-03-30T04:20:00Z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