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B8B8" w14:textId="77777777" w:rsidR="00764D6A" w:rsidRPr="003B51CE" w:rsidRDefault="00EA4A22">
      <w:pPr>
        <w:pStyle w:val="Heading1"/>
      </w:pPr>
      <w:r w:rsidRPr="003B51CE">
        <w:t>Murray–Darling Communities Investment Package</w:t>
      </w:r>
    </w:p>
    <w:p w14:paraId="32162B82" w14:textId="77777777" w:rsidR="00C43C4F" w:rsidRPr="003B51CE" w:rsidRDefault="00C21F43" w:rsidP="00C43C4F">
      <w:pPr>
        <w:pStyle w:val="Subtitle"/>
      </w:pPr>
      <w:r>
        <w:t>Third</w:t>
      </w:r>
      <w:r w:rsidRPr="003B51CE">
        <w:t xml:space="preserve"> </w:t>
      </w:r>
      <w:r w:rsidR="00EA4A22" w:rsidRPr="003B51CE">
        <w:t xml:space="preserve">report into implementation </w:t>
      </w:r>
      <w:r w:rsidR="0033003D">
        <w:t>February</w:t>
      </w:r>
      <w:r w:rsidR="0033003D" w:rsidRPr="003B51CE">
        <w:t xml:space="preserve"> </w:t>
      </w:r>
      <w:r w:rsidR="00EA4A22" w:rsidRPr="003B51CE">
        <w:t>202</w:t>
      </w:r>
      <w:r>
        <w:t>2</w:t>
      </w:r>
    </w:p>
    <w:p w14:paraId="178FEAB4" w14:textId="77777777" w:rsidR="00286E91" w:rsidRDefault="00EA4A22" w:rsidP="00C43C4F">
      <w:pPr>
        <w:pStyle w:val="Picture"/>
      </w:pPr>
      <w:r w:rsidRPr="003B51CE">
        <w:drawing>
          <wp:inline distT="0" distB="0" distL="0" distR="0" wp14:anchorId="74C04348" wp14:editId="0EE221D0">
            <wp:extent cx="5403850" cy="5435600"/>
            <wp:effectExtent l="0" t="0" r="6350" b="0"/>
            <wp:docPr id="364054526" name="Picture 7" descr="C:\Users\lb0005\AppData\Local\Microsoft\Windows\INetCache\Content.Word\MDB-Biosphere_V5.jpg"/>
            <wp:cNvGraphicFramePr/>
            <a:graphic xmlns:a="http://schemas.openxmlformats.org/drawingml/2006/main">
              <a:graphicData uri="http://schemas.openxmlformats.org/drawingml/2006/picture">
                <pic:pic xmlns:pic="http://schemas.openxmlformats.org/drawingml/2006/picture">
                  <pic:nvPicPr>
                    <pic:cNvPr id="3" name="Picture 3" descr="C:\Users\lb0005\AppData\Local\Microsoft\Windows\INetCache\Content.Word\MDB-Biosphere_V5.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403850" cy="5435600"/>
                    </a:xfrm>
                    <a:prstGeom prst="rect">
                      <a:avLst/>
                    </a:prstGeom>
                    <a:noFill/>
                    <a:ln>
                      <a:noFill/>
                    </a:ln>
                  </pic:spPr>
                </pic:pic>
              </a:graphicData>
            </a:graphic>
          </wp:inline>
        </w:drawing>
      </w:r>
    </w:p>
    <w:p w14:paraId="072BB204" w14:textId="77777777" w:rsidR="00764D6A" w:rsidRPr="003B51CE" w:rsidRDefault="00EA4A22" w:rsidP="00286E91">
      <w:pPr>
        <w:pStyle w:val="Heading2"/>
        <w:numPr>
          <w:ilvl w:val="0"/>
          <w:numId w:val="0"/>
        </w:numPr>
      </w:pPr>
      <w:r w:rsidRPr="003B51CE">
        <w:lastRenderedPageBreak/>
        <w:t>Progressing Community Investment Package implementation report</w:t>
      </w:r>
    </w:p>
    <w:p w14:paraId="325906E4" w14:textId="77777777" w:rsidR="004F4A4C" w:rsidRDefault="00C21F43" w:rsidP="00286E91">
      <w:r>
        <w:t>The</w:t>
      </w:r>
      <w:r w:rsidR="00EA4A22" w:rsidRPr="003B51CE">
        <w:t xml:space="preserve"> Australian Government’s $270 million Murray–Darling Communities Investment Package </w:t>
      </w:r>
      <w:r w:rsidR="00165855">
        <w:t>(</w:t>
      </w:r>
      <w:r w:rsidR="00CF4C5A">
        <w:t>i</w:t>
      </w:r>
      <w:r w:rsidR="00165855">
        <w:t xml:space="preserve">nvestment </w:t>
      </w:r>
      <w:r w:rsidR="00CF4C5A">
        <w:t>p</w:t>
      </w:r>
      <w:r w:rsidR="00165855">
        <w:t xml:space="preserve">ackage) </w:t>
      </w:r>
      <w:r w:rsidR="004F4A4C">
        <w:t xml:space="preserve">is </w:t>
      </w:r>
      <w:r>
        <w:t>making a difference to communities as Murray–Darling Basin Plan implementation continues</w:t>
      </w:r>
      <w:r w:rsidR="00EA4A22" w:rsidRPr="003B51CE">
        <w:t xml:space="preserve">. </w:t>
      </w:r>
      <w:r w:rsidR="00B97432">
        <w:t>Since</w:t>
      </w:r>
      <w:r w:rsidR="004F4A4C">
        <w:t xml:space="preserve"> the package was announced</w:t>
      </w:r>
      <w:r w:rsidR="00855EE2">
        <w:t>,</w:t>
      </w:r>
      <w:r w:rsidR="004F4A4C">
        <w:t xml:space="preserve"> </w:t>
      </w:r>
      <w:r w:rsidR="004F4A4C" w:rsidRPr="003B51CE">
        <w:t>on 4 September 2020</w:t>
      </w:r>
      <w:r w:rsidR="00855EE2">
        <w:t>,</w:t>
      </w:r>
      <w:r w:rsidR="004F4A4C" w:rsidRPr="003B51CE">
        <w:t xml:space="preserve"> </w:t>
      </w:r>
      <w:r w:rsidR="004F4A4C">
        <w:t xml:space="preserve">good progress has been </w:t>
      </w:r>
      <w:r w:rsidR="00855EE2">
        <w:t>made</w:t>
      </w:r>
      <w:r>
        <w:t xml:space="preserve"> in delivering its 11 measures</w:t>
      </w:r>
      <w:r w:rsidR="00855EE2">
        <w:t>.</w:t>
      </w:r>
    </w:p>
    <w:p w14:paraId="1C6A1E97" w14:textId="77777777" w:rsidR="00C43C4F" w:rsidRPr="003B51CE" w:rsidRDefault="00EA4A22" w:rsidP="00286E91">
      <w:r w:rsidRPr="003B51CE">
        <w:t>Th</w:t>
      </w:r>
      <w:r w:rsidR="00855EE2">
        <w:t xml:space="preserve">is is the </w:t>
      </w:r>
      <w:r w:rsidR="00C21F43">
        <w:t>third</w:t>
      </w:r>
      <w:r w:rsidR="00855EE2">
        <w:t xml:space="preserve"> report </w:t>
      </w:r>
      <w:r w:rsidR="00165855">
        <w:t>from</w:t>
      </w:r>
      <w:r w:rsidR="00855EE2">
        <w:t xml:space="preserve"> the</w:t>
      </w:r>
      <w:r w:rsidRPr="003B51CE">
        <w:t xml:space="preserve"> Department of Agriculture, </w:t>
      </w:r>
      <w:proofErr w:type="gramStart"/>
      <w:r w:rsidRPr="003B51CE">
        <w:t>Water</w:t>
      </w:r>
      <w:proofErr w:type="gramEnd"/>
      <w:r w:rsidRPr="003B51CE">
        <w:t xml:space="preserve"> and the Environment </w:t>
      </w:r>
      <w:r w:rsidR="00C21F43">
        <w:t xml:space="preserve">detailing </w:t>
      </w:r>
      <w:r w:rsidRPr="003B51CE">
        <w:t>progress</w:t>
      </w:r>
      <w:r w:rsidR="00165855">
        <w:t xml:space="preserve"> in </w:t>
      </w:r>
      <w:r w:rsidR="00C21F43">
        <w:t>rolling out the</w:t>
      </w:r>
      <w:r w:rsidR="00165855">
        <w:t xml:space="preserve"> Investment Package</w:t>
      </w:r>
      <w:r w:rsidR="00C21F43">
        <w:t xml:space="preserve"> </w:t>
      </w:r>
      <w:r w:rsidR="008E484B">
        <w:t>which</w:t>
      </w:r>
      <w:r w:rsidR="00C21F43">
        <w:t xml:space="preserve"> put</w:t>
      </w:r>
      <w:r w:rsidR="008E484B">
        <w:t>s</w:t>
      </w:r>
      <w:r w:rsidR="00855EE2">
        <w:t xml:space="preserve"> communities back at the centre of the Basin Plan</w:t>
      </w:r>
      <w:r w:rsidRPr="003B51CE">
        <w:t xml:space="preserve">. </w:t>
      </w:r>
    </w:p>
    <w:p w14:paraId="2E243E74" w14:textId="77777777" w:rsidR="00C43C4F" w:rsidRPr="003B51CE" w:rsidRDefault="00EA4A22" w:rsidP="00286E91">
      <w:r w:rsidRPr="003B51CE">
        <w:t xml:space="preserve">The </w:t>
      </w:r>
      <w:r w:rsidR="00CF4C5A">
        <w:t>i</w:t>
      </w:r>
      <w:r w:rsidRPr="003B51CE">
        <w:t xml:space="preserve">nvestment </w:t>
      </w:r>
      <w:r w:rsidR="00CF4C5A">
        <w:t>p</w:t>
      </w:r>
      <w:r w:rsidRPr="003B51CE">
        <w:t xml:space="preserve">ackage responds to needs identified by the community, </w:t>
      </w:r>
      <w:proofErr w:type="gramStart"/>
      <w:r w:rsidRPr="003B51CE">
        <w:t>stakeholders</w:t>
      </w:r>
      <w:proofErr w:type="gramEnd"/>
      <w:r w:rsidRPr="003B51CE">
        <w:t xml:space="preserve"> and governments </w:t>
      </w:r>
      <w:r w:rsidR="00BC4B6F">
        <w:t>across</w:t>
      </w:r>
      <w:r w:rsidRPr="003B51CE">
        <w:t xml:space="preserve"> </w:t>
      </w:r>
      <w:r w:rsidR="00F4562A">
        <w:t>3</w:t>
      </w:r>
      <w:r w:rsidRPr="003B51CE">
        <w:t xml:space="preserve"> key themes:</w:t>
      </w:r>
    </w:p>
    <w:p w14:paraId="3F7CB970" w14:textId="77777777" w:rsidR="00C43C4F" w:rsidRPr="003B51CE" w:rsidRDefault="00A17267" w:rsidP="00286E91">
      <w:pPr>
        <w:pStyle w:val="ListBullet"/>
      </w:pPr>
      <w:r>
        <w:t>i</w:t>
      </w:r>
      <w:r w:rsidR="00EA4A22" w:rsidRPr="003B51CE">
        <w:t>nvesting in community resilience and river health</w:t>
      </w:r>
    </w:p>
    <w:p w14:paraId="2EE2DA9A" w14:textId="77777777" w:rsidR="00C43C4F" w:rsidRPr="003B51CE" w:rsidRDefault="00A17267" w:rsidP="00286E91">
      <w:pPr>
        <w:pStyle w:val="ListBullet"/>
      </w:pPr>
      <w:r>
        <w:t>b</w:t>
      </w:r>
      <w:r w:rsidR="00EA4A22" w:rsidRPr="003B51CE">
        <w:t xml:space="preserve">uilding trust, </w:t>
      </w:r>
      <w:proofErr w:type="gramStart"/>
      <w:r w:rsidR="00EA4A22" w:rsidRPr="003B51CE">
        <w:t>transparency</w:t>
      </w:r>
      <w:proofErr w:type="gramEnd"/>
      <w:r w:rsidR="00EA4A22" w:rsidRPr="003B51CE">
        <w:t xml:space="preserve"> and accountability in governments</w:t>
      </w:r>
    </w:p>
    <w:p w14:paraId="4FE90269" w14:textId="77777777" w:rsidR="00C43C4F" w:rsidRPr="003B51CE" w:rsidRDefault="00A17267" w:rsidP="00286E91">
      <w:pPr>
        <w:pStyle w:val="ListBullet"/>
      </w:pPr>
      <w:r>
        <w:t>i</w:t>
      </w:r>
      <w:r w:rsidR="00EA4A22" w:rsidRPr="003B51CE">
        <w:t>mproving implementation of the Basin Plan</w:t>
      </w:r>
      <w:r w:rsidR="00F4562A">
        <w:t>.</w:t>
      </w:r>
    </w:p>
    <w:p w14:paraId="390E6663" w14:textId="77777777" w:rsidR="00C43C4F" w:rsidRPr="003B51CE" w:rsidRDefault="00EA4A22" w:rsidP="00286E91">
      <w:r w:rsidRPr="003B51CE">
        <w:t xml:space="preserve">The </w:t>
      </w:r>
      <w:r w:rsidR="00CF4C5A">
        <w:t>i</w:t>
      </w:r>
      <w:r w:rsidRPr="003B51CE">
        <w:t xml:space="preserve">nvestment </w:t>
      </w:r>
      <w:r w:rsidR="00CF4C5A">
        <w:t>p</w:t>
      </w:r>
      <w:r w:rsidRPr="003B51CE">
        <w:t xml:space="preserve">ackage </w:t>
      </w:r>
      <w:r w:rsidR="00C21F43">
        <w:t>delivers</w:t>
      </w:r>
      <w:r w:rsidRPr="003B51CE">
        <w:t xml:space="preserve"> practical and realistic measures</w:t>
      </w:r>
      <w:r w:rsidR="00855EE2">
        <w:t xml:space="preserve"> that support</w:t>
      </w:r>
      <w:r w:rsidR="00C21F43">
        <w:t>s</w:t>
      </w:r>
      <w:r w:rsidR="00855EE2">
        <w:t xml:space="preserve"> </w:t>
      </w:r>
      <w:r w:rsidR="00AB7B4D">
        <w:t xml:space="preserve">Murray–Darling </w:t>
      </w:r>
      <w:r w:rsidR="00855EE2">
        <w:t xml:space="preserve">Basin </w:t>
      </w:r>
      <w:r w:rsidR="00AB7B4D">
        <w:t xml:space="preserve">(Basin) </w:t>
      </w:r>
      <w:r w:rsidR="00F4562A">
        <w:t>g</w:t>
      </w:r>
      <w:r w:rsidR="00855EE2">
        <w:t>overnments</w:t>
      </w:r>
      <w:r w:rsidR="00F4562A">
        <w:t xml:space="preserve"> </w:t>
      </w:r>
      <w:r w:rsidR="00CF4C5A">
        <w:t xml:space="preserve">to </w:t>
      </w:r>
      <w:r w:rsidR="00855EE2">
        <w:t xml:space="preserve">deliver on </w:t>
      </w:r>
      <w:r w:rsidR="00A17267">
        <w:t xml:space="preserve">their </w:t>
      </w:r>
      <w:r w:rsidR="00855EE2">
        <w:t>Basin Plan commitments by</w:t>
      </w:r>
      <w:r w:rsidRPr="003B51CE">
        <w:t xml:space="preserve">: </w:t>
      </w:r>
    </w:p>
    <w:p w14:paraId="787AC18C" w14:textId="77777777" w:rsidR="0086198C" w:rsidRPr="003B51CE" w:rsidRDefault="0086198C" w:rsidP="0086198C">
      <w:pPr>
        <w:pStyle w:val="ListBullet"/>
      </w:pPr>
      <w:r w:rsidRPr="003B51CE">
        <w:t>ending water buybacks</w:t>
      </w:r>
    </w:p>
    <w:p w14:paraId="1860130B" w14:textId="77777777" w:rsidR="0086198C" w:rsidRPr="003B51CE" w:rsidRDefault="00C21F43" w:rsidP="0086198C">
      <w:pPr>
        <w:pStyle w:val="ListBullet"/>
      </w:pPr>
      <w:r>
        <w:t>focusing on</w:t>
      </w:r>
      <w:r w:rsidR="0086198C" w:rsidRPr="003B51CE">
        <w:t xml:space="preserve"> off-farm </w:t>
      </w:r>
      <w:r>
        <w:t xml:space="preserve">efficiency </w:t>
      </w:r>
      <w:r w:rsidR="0086198C" w:rsidRPr="003B51CE">
        <w:t xml:space="preserve">projects to </w:t>
      </w:r>
      <w:r>
        <w:t xml:space="preserve">return water to the environment while </w:t>
      </w:r>
      <w:r w:rsidR="0086198C" w:rsidRPr="003B51CE">
        <w:t>protect</w:t>
      </w:r>
      <w:r>
        <w:t>ing</w:t>
      </w:r>
      <w:r w:rsidR="0086198C" w:rsidRPr="003B51CE">
        <w:t xml:space="preserve"> communities and economies</w:t>
      </w:r>
    </w:p>
    <w:p w14:paraId="38C75826" w14:textId="77777777" w:rsidR="00244160" w:rsidRDefault="00C21F43" w:rsidP="0086198C">
      <w:pPr>
        <w:pStyle w:val="ListBullet"/>
      </w:pPr>
      <w:r>
        <w:t>backing</w:t>
      </w:r>
      <w:r w:rsidR="00244160">
        <w:t xml:space="preserve"> communities to </w:t>
      </w:r>
      <w:r>
        <w:t xml:space="preserve">design their own viable futures </w:t>
      </w:r>
    </w:p>
    <w:p w14:paraId="528D8AC3" w14:textId="77777777" w:rsidR="00C43C4F" w:rsidRPr="003B51CE" w:rsidRDefault="00C21F43" w:rsidP="00286E91">
      <w:pPr>
        <w:pStyle w:val="ListBullet"/>
      </w:pPr>
      <w:r>
        <w:t xml:space="preserve">improving trust and confidence in Basin water management </w:t>
      </w:r>
      <w:r w:rsidR="006E3646">
        <w:t>with</w:t>
      </w:r>
      <w:r w:rsidR="00855EE2">
        <w:t xml:space="preserve"> a statutory and independent Inspector-General of Water Compliance </w:t>
      </w:r>
      <w:r w:rsidR="006E3646">
        <w:t>on the job</w:t>
      </w:r>
    </w:p>
    <w:p w14:paraId="1B113654" w14:textId="77777777" w:rsidR="00C43C4F" w:rsidRPr="003B51CE" w:rsidRDefault="00244160" w:rsidP="00286E91">
      <w:pPr>
        <w:pStyle w:val="ListBullet"/>
      </w:pPr>
      <w:r>
        <w:t xml:space="preserve">working </w:t>
      </w:r>
      <w:r w:rsidR="006E3646">
        <w:t>to fast</w:t>
      </w:r>
      <w:r w:rsidR="004352A5">
        <w:t xml:space="preserve"> </w:t>
      </w:r>
      <w:r w:rsidR="006E3646">
        <w:t>track</w:t>
      </w:r>
      <w:r>
        <w:t xml:space="preserve"> a suite of projects that </w:t>
      </w:r>
      <w:r w:rsidR="00096135">
        <w:t>keep 605 GL of water in productive use while achieving the environmental outcomes of the Basin Plan.</w:t>
      </w:r>
    </w:p>
    <w:p w14:paraId="7E5E0609" w14:textId="07F0ED90" w:rsidR="00764D6A" w:rsidRPr="003B51CE" w:rsidRDefault="00EA4A22" w:rsidP="00286E91">
      <w:r w:rsidRPr="003B51CE">
        <w:t xml:space="preserve">The next report into implementation of the Murray–Darling Communities Investment Package is due </w:t>
      </w:r>
      <w:r w:rsidR="006E3646">
        <w:t>late</w:t>
      </w:r>
      <w:r w:rsidR="0011623C">
        <w:t>r</w:t>
      </w:r>
      <w:r w:rsidR="006E3646">
        <w:t xml:space="preserve"> this year</w:t>
      </w:r>
      <w:r w:rsidRPr="003B51CE">
        <w:t xml:space="preserve">. </w:t>
      </w:r>
    </w:p>
    <w:p w14:paraId="781A7915" w14:textId="77777777" w:rsidR="00764D6A" w:rsidRPr="003B51CE" w:rsidRDefault="00764D6A">
      <w:pPr>
        <w:sectPr w:rsidR="00764D6A" w:rsidRPr="003B51CE">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fmt="lowerRoman" w:start="1"/>
          <w:cols w:space="708"/>
          <w:titlePg/>
          <w:docGrid w:linePitch="360"/>
        </w:sectPr>
      </w:pPr>
    </w:p>
    <w:p w14:paraId="2AA41789" w14:textId="77777777" w:rsidR="00764D6A" w:rsidRPr="003B51CE" w:rsidRDefault="00EA4A22" w:rsidP="00286E91">
      <w:pPr>
        <w:pStyle w:val="Heading2"/>
        <w:numPr>
          <w:ilvl w:val="0"/>
          <w:numId w:val="0"/>
        </w:numPr>
        <w:ind w:left="720" w:hanging="720"/>
      </w:pPr>
      <w:r w:rsidRPr="003B51CE">
        <w:lastRenderedPageBreak/>
        <w:t>Investing in community resilience and river health</w:t>
      </w:r>
    </w:p>
    <w:p w14:paraId="7427B4D0" w14:textId="09C31264" w:rsidR="00CF4C5A" w:rsidRDefault="00CF4C5A" w:rsidP="00CF4C5A">
      <w:r>
        <w:t xml:space="preserve">The Healthy Rivers grants program </w:t>
      </w:r>
      <w:r w:rsidR="0033003D">
        <w:t>awards</w:t>
      </w:r>
      <w:r>
        <w:t xml:space="preserve"> grants to </w:t>
      </w:r>
      <w:r w:rsidR="0033003D">
        <w:t>community groups for</w:t>
      </w:r>
      <w:r>
        <w:t xml:space="preserve"> on-ground projects across </w:t>
      </w:r>
      <w:r w:rsidR="00995AA4">
        <w:t>a</w:t>
      </w:r>
      <w:r>
        <w:t xml:space="preserve"> small grant stream and </w:t>
      </w:r>
      <w:r w:rsidR="00995AA4">
        <w:t>a</w:t>
      </w:r>
      <w:r>
        <w:t xml:space="preserve"> large grant stream. These grants demonstrate the </w:t>
      </w:r>
      <w:r w:rsidR="004339CA">
        <w:t xml:space="preserve">positive impact </w:t>
      </w:r>
      <w:r>
        <w:t xml:space="preserve">that local organisations and communities can </w:t>
      </w:r>
      <w:r w:rsidR="004339CA">
        <w:t>make to</w:t>
      </w:r>
      <w:r>
        <w:t xml:space="preserve"> their stretch of river. It gives communities practical</w:t>
      </w:r>
      <w:r w:rsidRPr="00F32013">
        <w:t xml:space="preserve"> tools to improve the health of rivers and wetlands</w:t>
      </w:r>
      <w:r>
        <w:t>,</w:t>
      </w:r>
      <w:r w:rsidRPr="00F32013">
        <w:t xml:space="preserve"> complement</w:t>
      </w:r>
      <w:r>
        <w:t>ing</w:t>
      </w:r>
      <w:r w:rsidRPr="00F32013">
        <w:t xml:space="preserve"> other Basin Plan measures, like </w:t>
      </w:r>
      <w:r w:rsidR="00172C83">
        <w:t>the more than 2,100 GL</w:t>
      </w:r>
      <w:r w:rsidR="0033003D">
        <w:t xml:space="preserve"> a year</w:t>
      </w:r>
      <w:r w:rsidR="00172C83">
        <w:t xml:space="preserve"> of </w:t>
      </w:r>
      <w:r w:rsidRPr="00F32013">
        <w:t>water recovery</w:t>
      </w:r>
      <w:r w:rsidR="0033003D">
        <w:t xml:space="preserve"> achieved so far</w:t>
      </w:r>
      <w:r>
        <w:t xml:space="preserve">. </w:t>
      </w:r>
      <w:r w:rsidRPr="004352A5">
        <w:t>Grants have been awarded for grazing exclusion fencing, riverbank and wetland revegetation, invasive species control and fish passage installation</w:t>
      </w:r>
      <w:r>
        <w:t xml:space="preserve">. In total, over 29 animal species, 13 plant species and </w:t>
      </w:r>
      <w:r w:rsidR="0011623C">
        <w:t>5</w:t>
      </w:r>
      <w:r>
        <w:t xml:space="preserve"> ecological communities listed under federal environmental legislation are being supported by projects.</w:t>
      </w:r>
    </w:p>
    <w:p w14:paraId="32508BCB" w14:textId="76214CBD" w:rsidR="006E3646" w:rsidRPr="003B51CE" w:rsidRDefault="006E3646" w:rsidP="006473EA">
      <w:r>
        <w:t xml:space="preserve">The </w:t>
      </w:r>
      <w:r w:rsidR="006473EA">
        <w:t xml:space="preserve">3 rounds of the </w:t>
      </w:r>
      <w:r>
        <w:t xml:space="preserve">Murray–Darling Basin Economic Development Grants </w:t>
      </w:r>
      <w:r w:rsidR="006473EA">
        <w:t xml:space="preserve">program </w:t>
      </w:r>
      <w:r>
        <w:t>ha</w:t>
      </w:r>
      <w:r w:rsidR="00802996">
        <w:t>ve</w:t>
      </w:r>
      <w:r>
        <w:t xml:space="preserve"> provided $72.7 million to 132 projects </w:t>
      </w:r>
      <w:r w:rsidR="007854E4">
        <w:t>put forward</w:t>
      </w:r>
      <w:r w:rsidR="006473EA">
        <w:t xml:space="preserve"> and implemented </w:t>
      </w:r>
      <w:r>
        <w:t>by eligible Basin communities</w:t>
      </w:r>
      <w:r w:rsidR="006473EA">
        <w:t xml:space="preserve"> since 2020. </w:t>
      </w:r>
      <w:r w:rsidR="000D741D">
        <w:t xml:space="preserve">Seventeen </w:t>
      </w:r>
      <w:r w:rsidR="006473EA">
        <w:t xml:space="preserve">projects are </w:t>
      </w:r>
      <w:proofErr w:type="gramStart"/>
      <w:r w:rsidR="006473EA">
        <w:t>complete</w:t>
      </w:r>
      <w:proofErr w:type="gramEnd"/>
      <w:r w:rsidR="006473EA">
        <w:t xml:space="preserve"> and </w:t>
      </w:r>
      <w:r w:rsidR="006473EA" w:rsidRPr="002E10FD">
        <w:t>1</w:t>
      </w:r>
      <w:r w:rsidR="00D454E2" w:rsidRPr="002E10FD">
        <w:t>1</w:t>
      </w:r>
      <w:r w:rsidR="002E10FD" w:rsidRPr="002E10FD">
        <w:t>2</w:t>
      </w:r>
      <w:r w:rsidR="006473EA">
        <w:t xml:space="preserve"> </w:t>
      </w:r>
      <w:r w:rsidR="00F90F08">
        <w:t xml:space="preserve">projects </w:t>
      </w:r>
      <w:r w:rsidR="006473EA">
        <w:t>are underway</w:t>
      </w:r>
      <w:r w:rsidR="008A4339">
        <w:t xml:space="preserve"> in communities most affected by historic water recovery</w:t>
      </w:r>
      <w:r w:rsidR="006473EA">
        <w:t xml:space="preserve">. The </w:t>
      </w:r>
      <w:r w:rsidR="0011623C">
        <w:t>3</w:t>
      </w:r>
      <w:r w:rsidR="0011623C" w:rsidRPr="0011623C">
        <w:rPr>
          <w:vertAlign w:val="superscript"/>
        </w:rPr>
        <w:t>rd</w:t>
      </w:r>
      <w:r w:rsidR="006473EA">
        <w:t xml:space="preserve"> and largest round of the program</w:t>
      </w:r>
      <w:r w:rsidR="000C04A6">
        <w:t xml:space="preserve"> </w:t>
      </w:r>
      <w:r w:rsidR="004E3785">
        <w:t>expands</w:t>
      </w:r>
      <w:r w:rsidR="000C04A6">
        <w:t xml:space="preserve"> the number of</w:t>
      </w:r>
      <w:r w:rsidR="006473EA">
        <w:t xml:space="preserve"> local government areas </w:t>
      </w:r>
      <w:r w:rsidR="000C04A6">
        <w:t>eligible to apply for</w:t>
      </w:r>
      <w:r w:rsidR="00DF182A">
        <w:t xml:space="preserve"> </w:t>
      </w:r>
      <w:r w:rsidR="000C04A6">
        <w:t>grants to 38</w:t>
      </w:r>
      <w:r w:rsidR="006473EA">
        <w:t xml:space="preserve"> </w:t>
      </w:r>
      <w:r w:rsidR="00750B6A">
        <w:t>in response to the Sefton Report</w:t>
      </w:r>
      <w:r w:rsidR="006473EA">
        <w:t>.</w:t>
      </w:r>
      <w:r w:rsidR="008A4339">
        <w:t xml:space="preserve"> </w:t>
      </w:r>
      <w:r w:rsidR="004339CA">
        <w:t xml:space="preserve">The grants generate </w:t>
      </w:r>
      <w:r w:rsidR="008A4339">
        <w:t xml:space="preserve">economic activity and </w:t>
      </w:r>
      <w:r w:rsidR="00D454E2">
        <w:t>additional</w:t>
      </w:r>
      <w:r w:rsidR="00D64EE1">
        <w:t xml:space="preserve"> jobs </w:t>
      </w:r>
      <w:r w:rsidR="008A4339">
        <w:t>in those</w:t>
      </w:r>
      <w:r w:rsidR="006473EA">
        <w:t xml:space="preserve"> communities</w:t>
      </w:r>
      <w:r w:rsidR="008A4339">
        <w:t xml:space="preserve"> that are</w:t>
      </w:r>
      <w:r w:rsidR="008A4339" w:rsidRPr="008A4339">
        <w:t xml:space="preserve"> </w:t>
      </w:r>
      <w:r w:rsidR="008A4339">
        <w:t>vulnerable and disadvantaged because of historic water recovery</w:t>
      </w:r>
      <w:r w:rsidR="00E37104">
        <w:t xml:space="preserve"> and also dealing with the economic impacts of COVID-19</w:t>
      </w:r>
      <w:r w:rsidR="00CC1809">
        <w:t>.</w:t>
      </w:r>
    </w:p>
    <w:p w14:paraId="570FCAE1" w14:textId="77777777" w:rsidR="00C43C4F" w:rsidRPr="003B51CE" w:rsidRDefault="00EA4A22" w:rsidP="00C43C4F">
      <w:pPr>
        <w:pStyle w:val="Heading3"/>
        <w:numPr>
          <w:ilvl w:val="0"/>
          <w:numId w:val="0"/>
        </w:numPr>
        <w:ind w:left="964" w:hanging="964"/>
        <w:rPr>
          <w:lang w:val="en-US"/>
        </w:rPr>
      </w:pPr>
      <w:r w:rsidRPr="003B51CE">
        <w:rPr>
          <w:lang w:val="en-US"/>
        </w:rPr>
        <w:t>Invest in community resilience and river health</w:t>
      </w:r>
    </w:p>
    <w:tbl>
      <w:tblPr>
        <w:tblStyle w:val="TableGrid"/>
        <w:tblW w:w="14392" w:type="dxa"/>
        <w:tblBorders>
          <w:left w:val="none" w:sz="0" w:space="0" w:color="auto"/>
          <w:right w:val="none" w:sz="0" w:space="0" w:color="auto"/>
          <w:insideV w:val="none" w:sz="0" w:space="0" w:color="auto"/>
        </w:tblBorders>
        <w:tblLook w:val="04A0" w:firstRow="1" w:lastRow="0" w:firstColumn="1" w:lastColumn="0" w:noHBand="0" w:noVBand="1"/>
      </w:tblPr>
      <w:tblGrid>
        <w:gridCol w:w="1933"/>
        <w:gridCol w:w="3879"/>
        <w:gridCol w:w="1693"/>
        <w:gridCol w:w="1359"/>
        <w:gridCol w:w="5528"/>
      </w:tblGrid>
      <w:tr w:rsidR="0086198C" w:rsidRPr="005F7497" w14:paraId="08D707BE" w14:textId="77777777" w:rsidTr="00B97432">
        <w:trPr>
          <w:cantSplit/>
          <w:tblHeader/>
        </w:trPr>
        <w:tc>
          <w:tcPr>
            <w:tcW w:w="1933" w:type="dxa"/>
          </w:tcPr>
          <w:p w14:paraId="13E6F54E" w14:textId="77777777" w:rsidR="0086198C" w:rsidRPr="005F7497" w:rsidRDefault="0086198C" w:rsidP="000D54FB">
            <w:pPr>
              <w:pStyle w:val="TableHeading"/>
            </w:pPr>
            <w:r w:rsidRPr="005F7497">
              <w:t>What we are doing</w:t>
            </w:r>
          </w:p>
        </w:tc>
        <w:tc>
          <w:tcPr>
            <w:tcW w:w="3879" w:type="dxa"/>
          </w:tcPr>
          <w:p w14:paraId="1E5D6377" w14:textId="77777777" w:rsidR="0086198C" w:rsidRPr="005F7497" w:rsidRDefault="0086198C" w:rsidP="000D54FB">
            <w:pPr>
              <w:pStyle w:val="TableHeading"/>
            </w:pPr>
            <w:r w:rsidRPr="005F7497">
              <w:t>How we will do it</w:t>
            </w:r>
          </w:p>
        </w:tc>
        <w:tc>
          <w:tcPr>
            <w:tcW w:w="1693" w:type="dxa"/>
          </w:tcPr>
          <w:p w14:paraId="7FBD938F" w14:textId="77777777" w:rsidR="0086198C" w:rsidRPr="005F7497" w:rsidRDefault="0086198C" w:rsidP="000D54FB">
            <w:pPr>
              <w:pStyle w:val="TableHeading"/>
            </w:pPr>
            <w:r w:rsidRPr="005F7497">
              <w:t>By when</w:t>
            </w:r>
          </w:p>
        </w:tc>
        <w:tc>
          <w:tcPr>
            <w:tcW w:w="1359" w:type="dxa"/>
          </w:tcPr>
          <w:p w14:paraId="26D2D228" w14:textId="77777777" w:rsidR="0086198C" w:rsidRPr="005F7497" w:rsidRDefault="0086198C" w:rsidP="000D54FB">
            <w:pPr>
              <w:pStyle w:val="TableHeading"/>
            </w:pPr>
            <w:r>
              <w:t>Status</w:t>
            </w:r>
          </w:p>
        </w:tc>
        <w:tc>
          <w:tcPr>
            <w:tcW w:w="5528" w:type="dxa"/>
          </w:tcPr>
          <w:p w14:paraId="00D51018" w14:textId="77777777" w:rsidR="0086198C" w:rsidRPr="005F7497" w:rsidRDefault="0086198C" w:rsidP="000D54FB">
            <w:pPr>
              <w:pStyle w:val="TableHeading"/>
            </w:pPr>
            <w:r w:rsidRPr="005F7497">
              <w:t>What have we done</w:t>
            </w:r>
          </w:p>
        </w:tc>
      </w:tr>
      <w:tr w:rsidR="0086198C" w:rsidRPr="005F7497" w14:paraId="461AB61D" w14:textId="77777777" w:rsidTr="00B97432">
        <w:tc>
          <w:tcPr>
            <w:tcW w:w="1933" w:type="dxa"/>
          </w:tcPr>
          <w:p w14:paraId="3C50BF25" w14:textId="77777777" w:rsidR="0086198C" w:rsidRPr="005F7497" w:rsidRDefault="0086198C" w:rsidP="000D54FB">
            <w:pPr>
              <w:pStyle w:val="TableText"/>
            </w:pPr>
            <w:r w:rsidRPr="005F7497">
              <w:t>Maximising the benefits of the Basin Plan for communities</w:t>
            </w:r>
          </w:p>
        </w:tc>
        <w:tc>
          <w:tcPr>
            <w:tcW w:w="3879" w:type="dxa"/>
          </w:tcPr>
          <w:p w14:paraId="00C1B97C" w14:textId="77777777" w:rsidR="0086198C" w:rsidRPr="005F7497" w:rsidRDefault="0086198C" w:rsidP="000D54FB">
            <w:pPr>
              <w:pStyle w:val="TableText"/>
            </w:pPr>
            <w:r w:rsidRPr="003B51CE">
              <w:t>Deliver $34 million for economic assistance to communities struggling with the effects of water recovery by extending the successful competitive grants Murray–Darling Basin Economic Development Program.</w:t>
            </w:r>
          </w:p>
        </w:tc>
        <w:tc>
          <w:tcPr>
            <w:tcW w:w="1693" w:type="dxa"/>
          </w:tcPr>
          <w:p w14:paraId="22F58D56" w14:textId="77777777" w:rsidR="0086198C" w:rsidRPr="005F7497" w:rsidRDefault="0086198C" w:rsidP="000D54FB">
            <w:pPr>
              <w:pStyle w:val="TableText"/>
            </w:pPr>
            <w:r w:rsidRPr="003B51CE">
              <w:t xml:space="preserve">Q1 2021 </w:t>
            </w:r>
          </w:p>
        </w:tc>
        <w:tc>
          <w:tcPr>
            <w:tcW w:w="1359" w:type="dxa"/>
          </w:tcPr>
          <w:p w14:paraId="413BD411" w14:textId="77777777" w:rsidR="0086198C" w:rsidRPr="00EA194C" w:rsidRDefault="00194881" w:rsidP="000D54FB">
            <w:pPr>
              <w:pStyle w:val="TableText"/>
            </w:pPr>
            <w:r>
              <w:t>C</w:t>
            </w:r>
            <w:r w:rsidR="00A324F8">
              <w:t>OMPLETE</w:t>
            </w:r>
          </w:p>
        </w:tc>
        <w:tc>
          <w:tcPr>
            <w:tcW w:w="5528" w:type="dxa"/>
          </w:tcPr>
          <w:p w14:paraId="67C46625" w14:textId="77777777" w:rsidR="000D741D" w:rsidRPr="00C92306" w:rsidRDefault="008A4339" w:rsidP="000D741D">
            <w:pPr>
              <w:pStyle w:val="TableText"/>
            </w:pPr>
            <w:r w:rsidRPr="00C92306">
              <w:t xml:space="preserve">Round 3, funded through the Communities Investment Package, awarded </w:t>
            </w:r>
            <w:r w:rsidR="0086198C" w:rsidRPr="00C92306">
              <w:t>5</w:t>
            </w:r>
            <w:r w:rsidR="00A324F8" w:rsidRPr="00C92306">
              <w:t>8</w:t>
            </w:r>
            <w:r w:rsidR="0086198C" w:rsidRPr="00C92306">
              <w:t xml:space="preserve"> projects </w:t>
            </w:r>
            <w:r w:rsidR="00CF7515" w:rsidRPr="00C92306">
              <w:t xml:space="preserve">a total of </w:t>
            </w:r>
            <w:r w:rsidR="0086198C" w:rsidRPr="00C92306">
              <w:t>$</w:t>
            </w:r>
            <w:r w:rsidR="00A324F8" w:rsidRPr="00C92306">
              <w:t>34</w:t>
            </w:r>
            <w:r w:rsidR="0086198C" w:rsidRPr="00C92306">
              <w:t xml:space="preserve"> million in funding in June and July 2021.</w:t>
            </w:r>
            <w:r w:rsidR="00CD58E8" w:rsidRPr="00C92306">
              <w:t xml:space="preserve"> </w:t>
            </w:r>
            <w:r w:rsidR="00D454E2" w:rsidRPr="00C92306">
              <w:t>105 g</w:t>
            </w:r>
            <w:r w:rsidR="00CD58E8" w:rsidRPr="00C92306">
              <w:t>rant applications were received between 3</w:t>
            </w:r>
            <w:r w:rsidR="00CF7515" w:rsidRPr="00C92306">
              <w:t> </w:t>
            </w:r>
            <w:r w:rsidR="00CD58E8" w:rsidRPr="00C92306">
              <w:t>March</w:t>
            </w:r>
            <w:r w:rsidR="00CF7515" w:rsidRPr="00C92306">
              <w:t> </w:t>
            </w:r>
            <w:r w:rsidR="00CD58E8" w:rsidRPr="00C92306">
              <w:t>2021 and 12 April 2021</w:t>
            </w:r>
            <w:r w:rsidR="00194881" w:rsidRPr="00C92306">
              <w:t xml:space="preserve"> following consultation on the guidelines</w:t>
            </w:r>
            <w:r w:rsidR="00D454E2" w:rsidRPr="00C92306">
              <w:t>, seeking over $85 million in funding</w:t>
            </w:r>
            <w:r w:rsidR="00194881" w:rsidRPr="00C92306">
              <w:t>.</w:t>
            </w:r>
            <w:r w:rsidRPr="00C92306">
              <w:t xml:space="preserve"> 5</w:t>
            </w:r>
            <w:r w:rsidR="00D454E2" w:rsidRPr="00C92306">
              <w:t>7</w:t>
            </w:r>
            <w:r w:rsidRPr="00C92306">
              <w:t xml:space="preserve"> projects are now underway providing economic stimulus and jobs on the ground.</w:t>
            </w:r>
            <w:r w:rsidR="000D741D" w:rsidRPr="00C92306">
              <w:t xml:space="preserve"> </w:t>
            </w:r>
          </w:p>
          <w:p w14:paraId="2F435B84" w14:textId="2187EB99" w:rsidR="0086198C" w:rsidRPr="00C92306" w:rsidRDefault="000D741D" w:rsidP="000D741D">
            <w:pPr>
              <w:pStyle w:val="TableText"/>
            </w:pPr>
            <w:r w:rsidRPr="00C92306">
              <w:t>The 17 projects funded in previous rounds and now complete generated 80 jobs during delivery and are expected to create a further 100 ongoing employment opportunities.</w:t>
            </w:r>
          </w:p>
        </w:tc>
      </w:tr>
      <w:tr w:rsidR="0086198C" w:rsidRPr="005F7497" w14:paraId="039EBE10" w14:textId="77777777" w:rsidTr="00B97432">
        <w:tc>
          <w:tcPr>
            <w:tcW w:w="1933" w:type="dxa"/>
          </w:tcPr>
          <w:p w14:paraId="09C9443D" w14:textId="77777777" w:rsidR="0086198C" w:rsidRPr="005F7497" w:rsidRDefault="0086198C" w:rsidP="000D54FB">
            <w:pPr>
              <w:pStyle w:val="TableText"/>
            </w:pPr>
            <w:r w:rsidRPr="003B51CE">
              <w:t>Improving river health for all users</w:t>
            </w:r>
          </w:p>
        </w:tc>
        <w:tc>
          <w:tcPr>
            <w:tcW w:w="3879" w:type="dxa"/>
          </w:tcPr>
          <w:p w14:paraId="094B9980" w14:textId="77777777" w:rsidR="003E64FE" w:rsidRDefault="0086198C" w:rsidP="000D54FB">
            <w:pPr>
              <w:pStyle w:val="TableText"/>
            </w:pPr>
            <w:r w:rsidRPr="003B51CE">
              <w:t>Deliver $20 million to fund community-driven grants for on-ground projects that will improve the health of rivers and wetlands.</w:t>
            </w:r>
          </w:p>
          <w:p w14:paraId="344C85F6" w14:textId="77777777" w:rsidR="003E64FE" w:rsidRDefault="003E64FE" w:rsidP="000D54FB">
            <w:pPr>
              <w:pStyle w:val="TableText"/>
            </w:pPr>
          </w:p>
          <w:p w14:paraId="76BC0CA0" w14:textId="77777777" w:rsidR="00DB2BB0" w:rsidRDefault="00DB2BB0" w:rsidP="000D54FB">
            <w:pPr>
              <w:pStyle w:val="TableText"/>
            </w:pPr>
          </w:p>
          <w:p w14:paraId="273D434C" w14:textId="77777777" w:rsidR="003E64FE" w:rsidRDefault="003E64FE" w:rsidP="000D54FB">
            <w:pPr>
              <w:pStyle w:val="TableText"/>
            </w:pPr>
          </w:p>
          <w:p w14:paraId="744B871C" w14:textId="77777777" w:rsidR="003E64FE" w:rsidRDefault="003E64FE" w:rsidP="000D54FB">
            <w:pPr>
              <w:pStyle w:val="TableText"/>
            </w:pPr>
          </w:p>
          <w:p w14:paraId="0D4159EE" w14:textId="77777777" w:rsidR="000D741D" w:rsidRDefault="000D741D" w:rsidP="000D54FB">
            <w:pPr>
              <w:pStyle w:val="TableText"/>
            </w:pPr>
          </w:p>
          <w:p w14:paraId="217A27B1" w14:textId="77777777" w:rsidR="000D741D" w:rsidRDefault="000D741D" w:rsidP="000D54FB">
            <w:pPr>
              <w:pStyle w:val="TableText"/>
            </w:pPr>
          </w:p>
          <w:p w14:paraId="48389C9F" w14:textId="77777777" w:rsidR="000D741D" w:rsidRDefault="000D741D" w:rsidP="000D54FB">
            <w:pPr>
              <w:pStyle w:val="TableText"/>
            </w:pPr>
          </w:p>
          <w:p w14:paraId="1BAC1ECD" w14:textId="77777777" w:rsidR="000D741D" w:rsidRDefault="000D741D" w:rsidP="000D54FB">
            <w:pPr>
              <w:pStyle w:val="TableText"/>
            </w:pPr>
          </w:p>
          <w:p w14:paraId="108B2879" w14:textId="0D374058" w:rsidR="0086198C" w:rsidRPr="003B51CE" w:rsidRDefault="0086198C" w:rsidP="000D54FB">
            <w:pPr>
              <w:pStyle w:val="TableText"/>
            </w:pPr>
            <w:r w:rsidRPr="003B51CE">
              <w:t>This builds on existing commitments to the environment of:</w:t>
            </w:r>
          </w:p>
          <w:p w14:paraId="459C61A1" w14:textId="77777777" w:rsidR="0086198C" w:rsidRPr="003B51CE" w:rsidRDefault="0086198C" w:rsidP="000D54FB">
            <w:pPr>
              <w:pStyle w:val="TableBullet1"/>
            </w:pPr>
            <w:r w:rsidRPr="003B51CE">
              <w:t>$6 million for fish ways in the Lower Darling</w:t>
            </w:r>
          </w:p>
          <w:p w14:paraId="1B5A35C2" w14:textId="77777777" w:rsidR="0086198C" w:rsidRPr="003B51CE" w:rsidRDefault="0086198C" w:rsidP="000D54FB">
            <w:pPr>
              <w:pStyle w:val="TableBullet1"/>
            </w:pPr>
            <w:r w:rsidRPr="003B51CE">
              <w:t>$10 million to establish hatcheries at St George and Menindee</w:t>
            </w:r>
          </w:p>
          <w:p w14:paraId="6ECD05E7" w14:textId="77777777" w:rsidR="0086198C" w:rsidRPr="003B51CE" w:rsidRDefault="0086198C" w:rsidP="000D54FB">
            <w:pPr>
              <w:pStyle w:val="TableBullet1"/>
            </w:pPr>
            <w:r w:rsidRPr="003B51CE">
              <w:t>$15 million to fence Northern Basin riverbanks</w:t>
            </w:r>
          </w:p>
          <w:p w14:paraId="4A68521F" w14:textId="77777777" w:rsidR="0086198C" w:rsidRPr="005F7497" w:rsidRDefault="0086198C" w:rsidP="000D54FB">
            <w:pPr>
              <w:pStyle w:val="TableBullet1"/>
            </w:pPr>
            <w:r w:rsidRPr="003B51CE">
              <w:t xml:space="preserve">$9.2 million to modify and decommission water infrastructure at </w:t>
            </w:r>
            <w:proofErr w:type="spellStart"/>
            <w:r w:rsidRPr="003B51CE">
              <w:t>Toorale</w:t>
            </w:r>
            <w:proofErr w:type="spellEnd"/>
            <w:r w:rsidRPr="003B51CE">
              <w:t>.</w:t>
            </w:r>
          </w:p>
        </w:tc>
        <w:tc>
          <w:tcPr>
            <w:tcW w:w="1693" w:type="dxa"/>
          </w:tcPr>
          <w:p w14:paraId="1F235BFC" w14:textId="77777777" w:rsidR="0086198C" w:rsidRPr="005F7497" w:rsidRDefault="0086198C" w:rsidP="000D54FB">
            <w:pPr>
              <w:pStyle w:val="TableText"/>
            </w:pPr>
            <w:r w:rsidRPr="00942ECD">
              <w:lastRenderedPageBreak/>
              <w:t>Q1 2021</w:t>
            </w:r>
            <w:r>
              <w:t xml:space="preserve"> </w:t>
            </w:r>
          </w:p>
        </w:tc>
        <w:tc>
          <w:tcPr>
            <w:tcW w:w="1359" w:type="dxa"/>
          </w:tcPr>
          <w:p w14:paraId="2A8C9B87" w14:textId="77777777" w:rsidR="00F32013" w:rsidRDefault="00F32013" w:rsidP="000D54FB">
            <w:pPr>
              <w:pStyle w:val="TableText"/>
            </w:pPr>
            <w:r>
              <w:t>Large grants</w:t>
            </w:r>
          </w:p>
          <w:p w14:paraId="6F3760BC" w14:textId="77777777" w:rsidR="00F32013" w:rsidRDefault="00F32013" w:rsidP="000D54FB">
            <w:pPr>
              <w:pStyle w:val="TableText"/>
            </w:pPr>
            <w:r>
              <w:t>Small grants</w:t>
            </w:r>
          </w:p>
          <w:p w14:paraId="3A86EC35" w14:textId="77777777" w:rsidR="0086198C" w:rsidRDefault="0086198C" w:rsidP="000D54FB">
            <w:pPr>
              <w:pStyle w:val="TableText"/>
            </w:pPr>
            <w:r>
              <w:t>C</w:t>
            </w:r>
            <w:r w:rsidR="00854E4A">
              <w:t>OMPLETE</w:t>
            </w:r>
          </w:p>
          <w:p w14:paraId="652073E9" w14:textId="77777777" w:rsidR="0086198C" w:rsidRPr="00942ECD" w:rsidRDefault="0086198C" w:rsidP="000D54FB">
            <w:pPr>
              <w:pStyle w:val="TableText"/>
            </w:pPr>
          </w:p>
        </w:tc>
        <w:tc>
          <w:tcPr>
            <w:tcW w:w="5528" w:type="dxa"/>
          </w:tcPr>
          <w:p w14:paraId="290B9680" w14:textId="77777777" w:rsidR="00D64EE1" w:rsidRPr="00C92306" w:rsidRDefault="0033003D" w:rsidP="003D5305">
            <w:pPr>
              <w:pStyle w:val="TableText"/>
            </w:pPr>
            <w:r w:rsidRPr="00C92306">
              <w:t>L</w:t>
            </w:r>
            <w:r w:rsidR="00D64EE1" w:rsidRPr="00C92306">
              <w:t xml:space="preserve">arge grants and small grants </w:t>
            </w:r>
            <w:r w:rsidRPr="00C92306">
              <w:t>are currently being</w:t>
            </w:r>
            <w:r w:rsidR="00D64EE1" w:rsidRPr="00C92306">
              <w:t xml:space="preserve"> awarded to communities through the Healthy Rivers grants program.</w:t>
            </w:r>
            <w:r w:rsidR="00D637C6" w:rsidRPr="00C92306">
              <w:t xml:space="preserve"> </w:t>
            </w:r>
            <w:r w:rsidR="003D5305" w:rsidRPr="00C92306">
              <w:t xml:space="preserve"> </w:t>
            </w:r>
            <w:r w:rsidR="0015615F" w:rsidRPr="00C92306">
              <w:t>P</w:t>
            </w:r>
            <w:r w:rsidR="003D5305" w:rsidRPr="00C92306">
              <w:t>ractical on-ground projects that improve the ecological</w:t>
            </w:r>
            <w:r w:rsidR="00663718" w:rsidRPr="00C92306">
              <w:t xml:space="preserve"> </w:t>
            </w:r>
            <w:r w:rsidR="003D5305" w:rsidRPr="00C92306">
              <w:t>health and condition of rivers and wetlands</w:t>
            </w:r>
            <w:r w:rsidR="0015615F" w:rsidRPr="00C92306">
              <w:t xml:space="preserve"> are</w:t>
            </w:r>
            <w:r w:rsidR="003D5305" w:rsidRPr="00C92306">
              <w:t xml:space="preserve"> supporting</w:t>
            </w:r>
            <w:r w:rsidR="00663718" w:rsidRPr="00C92306">
              <w:t xml:space="preserve"> </w:t>
            </w:r>
            <w:r w:rsidR="003D5305" w:rsidRPr="00C92306">
              <w:t>economic development and jobs.</w:t>
            </w:r>
          </w:p>
          <w:p w14:paraId="3C9972B5" w14:textId="0A6325E1" w:rsidR="0015615F" w:rsidRPr="00C92306" w:rsidRDefault="00CF4C5A" w:rsidP="000D54FB">
            <w:pPr>
              <w:pStyle w:val="TableText"/>
            </w:pPr>
            <w:r w:rsidRPr="00C92306">
              <w:t xml:space="preserve">Round 1 of Healthy Rivers grants program awarded 74 grants valued at $285 million (GST exclusive) to community groups to improve their stretch of river and all funding agreements are in place. </w:t>
            </w:r>
            <w:r w:rsidR="000D741D" w:rsidRPr="00C92306">
              <w:t xml:space="preserve">Round 1 </w:t>
            </w:r>
            <w:proofErr w:type="gramStart"/>
            <w:r w:rsidR="000D741D" w:rsidRPr="00C92306">
              <w:t>projects</w:t>
            </w:r>
            <w:proofErr w:type="gramEnd"/>
            <w:r w:rsidR="000D741D" w:rsidRPr="00C92306">
              <w:t xml:space="preserve"> aim to plant 84,000 native plants, install over 70 kms of fencing to protect nearly 800 hectares of riparian areas, and </w:t>
            </w:r>
            <w:r w:rsidR="000D741D" w:rsidRPr="00C92306">
              <w:lastRenderedPageBreak/>
              <w:t>undertake 2,700 hectares of weed control. The new grants will add to that by aiming to plant 210,000 native plants, install 160 kms of fencing to protect over 1,200 hectares of riparian areas, and undertake approximately 25,000 hectares of weed control.</w:t>
            </w:r>
          </w:p>
          <w:p w14:paraId="65D26B29" w14:textId="77777777" w:rsidR="00BB0960" w:rsidRPr="00C92306" w:rsidRDefault="00BB0960" w:rsidP="000D54FB">
            <w:pPr>
              <w:pStyle w:val="TableText"/>
            </w:pPr>
            <w:r w:rsidRPr="00C92306">
              <w:t xml:space="preserve">New South Wales is progressing planning for improved fish passage in the Lower Darling following the February 2021 announcement </w:t>
            </w:r>
            <w:r w:rsidR="00A166FF" w:rsidRPr="00C92306">
              <w:t>releasing</w:t>
            </w:r>
            <w:r w:rsidRPr="00C92306">
              <w:t xml:space="preserve"> $1.1 million</w:t>
            </w:r>
            <w:r w:rsidR="00CF7515" w:rsidRPr="00C92306">
              <w:t xml:space="preserve"> in funding</w:t>
            </w:r>
            <w:r w:rsidRPr="00C92306">
              <w:t>.</w:t>
            </w:r>
          </w:p>
          <w:p w14:paraId="5465E2D4" w14:textId="77777777" w:rsidR="0086198C" w:rsidRPr="00C92306" w:rsidRDefault="0086198C" w:rsidP="000D54FB">
            <w:pPr>
              <w:pStyle w:val="TableText"/>
            </w:pPr>
            <w:r w:rsidRPr="00C92306">
              <w:t>Work continues with the Menindee and St George communities on proposals for native fish hatcheries.</w:t>
            </w:r>
          </w:p>
          <w:p w14:paraId="63BBBE2C" w14:textId="77777777" w:rsidR="00CF4C5A" w:rsidRPr="00C92306" w:rsidRDefault="0086198C" w:rsidP="00CF4C5A">
            <w:pPr>
              <w:pStyle w:val="TableText"/>
            </w:pPr>
            <w:bookmarkStart w:id="0" w:name="_Hlk79485275"/>
            <w:r w:rsidRPr="00C92306">
              <w:t xml:space="preserve">The rollout of the Fencing Northern Riverbanks Program in </w:t>
            </w:r>
            <w:r w:rsidR="00CF4C5A" w:rsidRPr="00C92306">
              <w:t xml:space="preserve">Queensland and New South Wales is underway. Program delivery in Queensland is ahead of schedule and NSW is working to recover from delays caused by COVID 19-related travel restrictions. </w:t>
            </w:r>
          </w:p>
          <w:p w14:paraId="347B920D" w14:textId="77777777" w:rsidR="0086198C" w:rsidRPr="00C92306" w:rsidRDefault="00CF4C5A" w:rsidP="000D54FB">
            <w:pPr>
              <w:pStyle w:val="TableText"/>
            </w:pPr>
            <w:r w:rsidRPr="00C92306">
              <w:t xml:space="preserve">On-ground works to modify the </w:t>
            </w:r>
            <w:proofErr w:type="spellStart"/>
            <w:r w:rsidRPr="00C92306">
              <w:t>Boera</w:t>
            </w:r>
            <w:proofErr w:type="spellEnd"/>
            <w:r w:rsidRPr="00C92306">
              <w:t xml:space="preserve"> and Homestead dams at </w:t>
            </w:r>
            <w:proofErr w:type="spellStart"/>
            <w:r w:rsidRPr="00C92306">
              <w:t>Toorale</w:t>
            </w:r>
            <w:proofErr w:type="spellEnd"/>
            <w:r w:rsidRPr="00C92306">
              <w:t xml:space="preserve"> are underway and progressing to schedule.  </w:t>
            </w:r>
            <w:bookmarkEnd w:id="0"/>
          </w:p>
        </w:tc>
      </w:tr>
      <w:tr w:rsidR="0086198C" w:rsidRPr="005F7497" w14:paraId="67102CBE" w14:textId="77777777" w:rsidTr="002E10FD">
        <w:trPr>
          <w:trHeight w:val="619"/>
        </w:trPr>
        <w:tc>
          <w:tcPr>
            <w:tcW w:w="1933" w:type="dxa"/>
            <w:vMerge w:val="restart"/>
          </w:tcPr>
          <w:p w14:paraId="7BEE2E45" w14:textId="77777777" w:rsidR="0086198C" w:rsidRPr="005F7497" w:rsidRDefault="0086198C" w:rsidP="000D54FB">
            <w:pPr>
              <w:pStyle w:val="TableText"/>
            </w:pPr>
            <w:r>
              <w:lastRenderedPageBreak/>
              <w:t>Delivering environmental outcomes in the Riverland</w:t>
            </w:r>
          </w:p>
        </w:tc>
        <w:tc>
          <w:tcPr>
            <w:tcW w:w="3879" w:type="dxa"/>
          </w:tcPr>
          <w:p w14:paraId="7B7211B0" w14:textId="77777777" w:rsidR="0086198C" w:rsidRPr="005F7497" w:rsidRDefault="0086198C" w:rsidP="000D54FB">
            <w:pPr>
              <w:pStyle w:val="TableText"/>
            </w:pPr>
            <w:r w:rsidRPr="003B51CE">
              <w:t>Deliver $37.6 million in practical projects to sustain Riverland environments. We will work with the South Australian Government to deliver projects. This action recognises that there have been delays in progress towards securing an additional 450 GL of water to improve river health and habitats on the lower Murra</w:t>
            </w:r>
            <w:r>
              <w:t>y.</w:t>
            </w:r>
          </w:p>
        </w:tc>
        <w:tc>
          <w:tcPr>
            <w:tcW w:w="1693" w:type="dxa"/>
          </w:tcPr>
          <w:p w14:paraId="621D7A42" w14:textId="77777777" w:rsidR="0086198C" w:rsidRPr="005F7497" w:rsidRDefault="0086198C" w:rsidP="000D54FB">
            <w:pPr>
              <w:pStyle w:val="TableText"/>
            </w:pPr>
            <w:r>
              <w:t>Q</w:t>
            </w:r>
            <w:r w:rsidR="006B2008">
              <w:t>2</w:t>
            </w:r>
            <w:r>
              <w:t xml:space="preserve"> 202</w:t>
            </w:r>
            <w:r w:rsidR="006B2008">
              <w:t>4</w:t>
            </w:r>
          </w:p>
        </w:tc>
        <w:tc>
          <w:tcPr>
            <w:tcW w:w="1359" w:type="dxa"/>
          </w:tcPr>
          <w:p w14:paraId="1FE8106B" w14:textId="77777777" w:rsidR="0086198C" w:rsidRPr="00F1682E" w:rsidRDefault="0086198C" w:rsidP="000D54FB">
            <w:pPr>
              <w:rPr>
                <w:sz w:val="18"/>
              </w:rPr>
            </w:pPr>
            <w:r>
              <w:rPr>
                <w:sz w:val="18"/>
              </w:rPr>
              <w:t>ONGOING</w:t>
            </w:r>
          </w:p>
        </w:tc>
        <w:tc>
          <w:tcPr>
            <w:tcW w:w="5528" w:type="dxa"/>
          </w:tcPr>
          <w:p w14:paraId="24CA9591" w14:textId="77777777" w:rsidR="00E6423E" w:rsidRPr="006F0854" w:rsidRDefault="00E6423E" w:rsidP="00E6423E">
            <w:pPr>
              <w:pStyle w:val="TableText"/>
            </w:pPr>
            <w:r w:rsidRPr="006F0854">
              <w:t>South Australia continues to progress planning for restoring natural river patterns in the Lock 6 reach</w:t>
            </w:r>
            <w:r w:rsidR="00580017" w:rsidRPr="006F0854">
              <w:t>. C</w:t>
            </w:r>
            <w:r w:rsidRPr="006F0854">
              <w:t>onsultation</w:t>
            </w:r>
            <w:r w:rsidR="00580017" w:rsidRPr="006F0854">
              <w:t xml:space="preserve"> with irrigators</w:t>
            </w:r>
            <w:r w:rsidRPr="006F0854">
              <w:t xml:space="preserve"> </w:t>
            </w:r>
            <w:r w:rsidR="00112692" w:rsidRPr="006F0854">
              <w:t xml:space="preserve">is </w:t>
            </w:r>
            <w:r w:rsidRPr="006F0854">
              <w:t xml:space="preserve">expected to commence in early 2022. </w:t>
            </w:r>
          </w:p>
          <w:p w14:paraId="0AD8941A" w14:textId="77777777" w:rsidR="00E6423E" w:rsidRPr="006F0854" w:rsidRDefault="0033003D" w:rsidP="00E6423E">
            <w:pPr>
              <w:pStyle w:val="Default"/>
              <w:rPr>
                <w:rFonts w:ascii="Cambria" w:eastAsiaTheme="minorHAnsi" w:hAnsi="Cambria" w:cstheme="minorBidi"/>
                <w:color w:val="auto"/>
                <w:sz w:val="18"/>
                <w:szCs w:val="22"/>
                <w:lang w:eastAsia="en-US"/>
              </w:rPr>
            </w:pPr>
            <w:r w:rsidRPr="006F0854">
              <w:rPr>
                <w:rFonts w:ascii="Cambria" w:eastAsiaTheme="minorHAnsi" w:hAnsi="Cambria" w:cstheme="minorBidi"/>
                <w:color w:val="auto"/>
                <w:sz w:val="18"/>
                <w:szCs w:val="22"/>
                <w:lang w:eastAsia="en-US"/>
              </w:rPr>
              <w:t>S</w:t>
            </w:r>
            <w:r w:rsidR="00E6423E" w:rsidRPr="006F0854">
              <w:rPr>
                <w:rFonts w:ascii="Cambria" w:eastAsiaTheme="minorHAnsi" w:hAnsi="Cambria" w:cstheme="minorBidi"/>
                <w:color w:val="auto"/>
                <w:sz w:val="18"/>
                <w:szCs w:val="22"/>
                <w:lang w:eastAsia="en-US"/>
              </w:rPr>
              <w:t xml:space="preserve">takeholders in the Lock 3 reach </w:t>
            </w:r>
            <w:r w:rsidRPr="006F0854">
              <w:rPr>
                <w:rFonts w:ascii="Cambria" w:eastAsiaTheme="minorHAnsi" w:hAnsi="Cambria" w:cstheme="minorBidi"/>
                <w:color w:val="auto"/>
                <w:sz w:val="18"/>
                <w:szCs w:val="22"/>
                <w:lang w:eastAsia="en-US"/>
              </w:rPr>
              <w:t xml:space="preserve">are being engaged in </w:t>
            </w:r>
            <w:r w:rsidR="00E6423E" w:rsidRPr="006F0854">
              <w:rPr>
                <w:rFonts w:ascii="Cambria" w:eastAsiaTheme="minorHAnsi" w:hAnsi="Cambria" w:cstheme="minorBidi"/>
                <w:color w:val="auto"/>
                <w:sz w:val="18"/>
                <w:szCs w:val="22"/>
                <w:lang w:eastAsia="en-US"/>
              </w:rPr>
              <w:t xml:space="preserve">planning a demonstration site to show the benefits of fish screening for </w:t>
            </w:r>
            <w:r w:rsidR="00580017" w:rsidRPr="006F0854">
              <w:rPr>
                <w:rFonts w:ascii="Cambria" w:eastAsiaTheme="minorHAnsi" w:hAnsi="Cambria" w:cstheme="minorBidi"/>
                <w:color w:val="auto"/>
                <w:sz w:val="18"/>
                <w:szCs w:val="22"/>
                <w:lang w:eastAsia="en-US"/>
              </w:rPr>
              <w:t>n</w:t>
            </w:r>
            <w:r w:rsidR="00E6423E" w:rsidRPr="006F0854">
              <w:rPr>
                <w:rFonts w:ascii="Cambria" w:eastAsiaTheme="minorHAnsi" w:hAnsi="Cambria" w:cstheme="minorBidi"/>
                <w:color w:val="auto"/>
                <w:sz w:val="18"/>
                <w:szCs w:val="22"/>
                <w:lang w:eastAsia="en-US"/>
              </w:rPr>
              <w:t xml:space="preserve">ative </w:t>
            </w:r>
            <w:r w:rsidR="00580017" w:rsidRPr="006F0854">
              <w:rPr>
                <w:rFonts w:ascii="Cambria" w:eastAsiaTheme="minorHAnsi" w:hAnsi="Cambria" w:cstheme="minorBidi"/>
                <w:color w:val="auto"/>
                <w:sz w:val="18"/>
                <w:szCs w:val="22"/>
                <w:lang w:eastAsia="en-US"/>
              </w:rPr>
              <w:t>f</w:t>
            </w:r>
            <w:r w:rsidR="00E6423E" w:rsidRPr="006F0854">
              <w:rPr>
                <w:rFonts w:ascii="Cambria" w:eastAsiaTheme="minorHAnsi" w:hAnsi="Cambria" w:cstheme="minorBidi"/>
                <w:color w:val="auto"/>
                <w:sz w:val="18"/>
                <w:szCs w:val="22"/>
                <w:lang w:eastAsia="en-US"/>
              </w:rPr>
              <w:t xml:space="preserve">ish and </w:t>
            </w:r>
            <w:r w:rsidRPr="006F0854">
              <w:rPr>
                <w:rFonts w:ascii="Cambria" w:eastAsiaTheme="minorHAnsi" w:hAnsi="Cambria" w:cstheme="minorBidi"/>
                <w:color w:val="auto"/>
                <w:sz w:val="18"/>
                <w:szCs w:val="22"/>
                <w:lang w:eastAsia="en-US"/>
              </w:rPr>
              <w:t xml:space="preserve">the </w:t>
            </w:r>
            <w:r w:rsidR="00E6423E" w:rsidRPr="006F0854">
              <w:rPr>
                <w:rFonts w:ascii="Cambria" w:eastAsiaTheme="minorHAnsi" w:hAnsi="Cambria" w:cstheme="minorBidi"/>
                <w:color w:val="auto"/>
                <w:sz w:val="18"/>
                <w:szCs w:val="22"/>
                <w:lang w:eastAsia="en-US"/>
              </w:rPr>
              <w:t>socio-economic benefits for irrigators.</w:t>
            </w:r>
          </w:p>
          <w:p w14:paraId="00634B67" w14:textId="4AAD1634" w:rsidR="00094DFB" w:rsidRPr="00C92306" w:rsidRDefault="00E6423E" w:rsidP="002E10FD">
            <w:pPr>
              <w:pStyle w:val="TableText"/>
              <w:spacing w:before="0" w:after="120"/>
            </w:pPr>
            <w:r w:rsidRPr="006F0854">
              <w:t xml:space="preserve">Consultation continues with the Renmark community to finalise the design </w:t>
            </w:r>
            <w:r w:rsidR="0033003D" w:rsidRPr="006F0854">
              <w:t>of the project</w:t>
            </w:r>
            <w:r w:rsidRPr="006F0854">
              <w:t xml:space="preserve"> to reinstate the natural habitat conditions in the Bookmark Creek </w:t>
            </w:r>
            <w:r w:rsidRPr="00C92306">
              <w:t xml:space="preserve">complex. </w:t>
            </w:r>
            <w:r w:rsidR="006F0854" w:rsidRPr="00C92306">
              <w:t xml:space="preserve">Key components of the project include: </w:t>
            </w:r>
          </w:p>
          <w:p w14:paraId="71EA1AA5" w14:textId="6D3D01B5" w:rsidR="006F0854" w:rsidRPr="00C92306" w:rsidRDefault="00094DFB" w:rsidP="002E10FD">
            <w:pPr>
              <w:pStyle w:val="ListParagraph"/>
              <w:numPr>
                <w:ilvl w:val="0"/>
                <w:numId w:val="49"/>
              </w:numPr>
              <w:shd w:val="clear" w:color="auto" w:fill="FFFFFF"/>
              <w:spacing w:before="0" w:after="120" w:line="240" w:lineRule="auto"/>
              <w:ind w:left="244" w:hanging="218"/>
              <w:rPr>
                <w:sz w:val="18"/>
              </w:rPr>
            </w:pPr>
            <w:r w:rsidRPr="00C92306">
              <w:rPr>
                <w:sz w:val="18"/>
              </w:rPr>
              <w:t xml:space="preserve">proposed infrastructure upgrades at Jane Eliza Estate and </w:t>
            </w:r>
            <w:proofErr w:type="spellStart"/>
            <w:r w:rsidRPr="00C92306">
              <w:rPr>
                <w:sz w:val="18"/>
              </w:rPr>
              <w:t>Nelwart</w:t>
            </w:r>
            <w:proofErr w:type="spellEnd"/>
            <w:r w:rsidRPr="00C92306">
              <w:rPr>
                <w:sz w:val="18"/>
              </w:rPr>
              <w:t xml:space="preserve"> Street as part of a project to reinstate natural habitat conditions for native species. </w:t>
            </w:r>
            <w:r w:rsidR="00FD33A7" w:rsidRPr="00C92306">
              <w:rPr>
                <w:sz w:val="18"/>
              </w:rPr>
              <w:t>T</w:t>
            </w:r>
            <w:r w:rsidRPr="00C92306">
              <w:rPr>
                <w:sz w:val="18"/>
              </w:rPr>
              <w:t xml:space="preserve">he proposed works </w:t>
            </w:r>
            <w:r w:rsidR="00FD33A7" w:rsidRPr="00C92306">
              <w:rPr>
                <w:sz w:val="18"/>
              </w:rPr>
              <w:t>are expected to</w:t>
            </w:r>
            <w:r w:rsidRPr="00C92306">
              <w:rPr>
                <w:sz w:val="18"/>
              </w:rPr>
              <w:t xml:space="preserve"> include a new inlet regulator including fishway and canoe passage, along with re-snagging for aquatic habitat and upgrades to the </w:t>
            </w:r>
            <w:proofErr w:type="spellStart"/>
            <w:r w:rsidRPr="00C92306">
              <w:rPr>
                <w:sz w:val="18"/>
              </w:rPr>
              <w:t>Nelwart</w:t>
            </w:r>
            <w:proofErr w:type="spellEnd"/>
            <w:r w:rsidRPr="00C92306">
              <w:rPr>
                <w:sz w:val="18"/>
              </w:rPr>
              <w:t xml:space="preserve"> St bridge to improve connectivity along the river for fish.</w:t>
            </w:r>
          </w:p>
          <w:p w14:paraId="71F3C859" w14:textId="5801416A" w:rsidR="00E81797" w:rsidRPr="00C92306" w:rsidRDefault="002E10FD" w:rsidP="006F0854">
            <w:pPr>
              <w:pStyle w:val="ListParagraph"/>
              <w:numPr>
                <w:ilvl w:val="0"/>
                <w:numId w:val="49"/>
              </w:numPr>
              <w:shd w:val="clear" w:color="auto" w:fill="FFFFFF"/>
              <w:spacing w:before="100" w:beforeAutospacing="1" w:after="100" w:afterAutospacing="1" w:line="240" w:lineRule="auto"/>
              <w:ind w:left="244" w:hanging="218"/>
              <w:rPr>
                <w:sz w:val="18"/>
              </w:rPr>
            </w:pPr>
            <w:r w:rsidRPr="00C92306">
              <w:rPr>
                <w:sz w:val="18"/>
              </w:rPr>
              <w:t>i</w:t>
            </w:r>
            <w:r w:rsidR="00EE1CCF" w:rsidRPr="00C92306">
              <w:rPr>
                <w:sz w:val="18"/>
              </w:rPr>
              <w:t xml:space="preserve">ntroduction of instream habitat for fish, realignment of a pedestrian access, and general landscaping and replanting </w:t>
            </w:r>
            <w:r w:rsidR="003F60BE">
              <w:rPr>
                <w:sz w:val="18"/>
              </w:rPr>
              <w:t>n</w:t>
            </w:r>
            <w:r w:rsidR="00EE1CCF" w:rsidRPr="00C92306">
              <w:rPr>
                <w:sz w:val="18"/>
              </w:rPr>
              <w:t>ative riparian plants either side of the new 560m section of track</w:t>
            </w:r>
            <w:r w:rsidR="00E81797" w:rsidRPr="00C92306">
              <w:rPr>
                <w:sz w:val="18"/>
              </w:rPr>
              <w:t xml:space="preserve"> at </w:t>
            </w:r>
            <w:r w:rsidR="00094DFB" w:rsidRPr="00C92306">
              <w:rPr>
                <w:sz w:val="18"/>
              </w:rPr>
              <w:t>Bookmark Ck, near Renmark</w:t>
            </w:r>
            <w:r w:rsidR="003F60BE">
              <w:rPr>
                <w:sz w:val="18"/>
              </w:rPr>
              <w:t>.</w:t>
            </w:r>
          </w:p>
          <w:p w14:paraId="7F97E070" w14:textId="5B42ACA6" w:rsidR="00094DFB" w:rsidRPr="00C92306" w:rsidRDefault="002E10FD" w:rsidP="006F0854">
            <w:pPr>
              <w:pStyle w:val="ListParagraph"/>
              <w:numPr>
                <w:ilvl w:val="0"/>
                <w:numId w:val="49"/>
              </w:numPr>
              <w:shd w:val="clear" w:color="auto" w:fill="FFFFFF"/>
              <w:spacing w:before="100" w:beforeAutospacing="1" w:after="100" w:afterAutospacing="1" w:line="240" w:lineRule="auto"/>
              <w:ind w:left="244" w:hanging="218"/>
              <w:rPr>
                <w:sz w:val="18"/>
              </w:rPr>
            </w:pPr>
            <w:r w:rsidRPr="00C92306">
              <w:rPr>
                <w:sz w:val="18"/>
              </w:rPr>
              <w:t>a</w:t>
            </w:r>
            <w:r w:rsidR="00094DFB" w:rsidRPr="00C92306">
              <w:rPr>
                <w:sz w:val="18"/>
              </w:rPr>
              <w:t xml:space="preserve">n additional site is also proposed at </w:t>
            </w:r>
            <w:proofErr w:type="spellStart"/>
            <w:r w:rsidR="00094DFB" w:rsidRPr="00C92306">
              <w:rPr>
                <w:sz w:val="18"/>
              </w:rPr>
              <w:t>Banrock</w:t>
            </w:r>
            <w:proofErr w:type="spellEnd"/>
            <w:r w:rsidR="00094DFB" w:rsidRPr="00C92306">
              <w:rPr>
                <w:sz w:val="18"/>
              </w:rPr>
              <w:t xml:space="preserve"> Station, where 15-20 tree snag structures will be placed along the western bank of the River Murray for native fish habitat. </w:t>
            </w:r>
          </w:p>
          <w:p w14:paraId="3ACD0A48" w14:textId="365F65A5" w:rsidR="00094DFB" w:rsidRPr="006F0854" w:rsidRDefault="00094DFB" w:rsidP="007C6DCE">
            <w:pPr>
              <w:pStyle w:val="TableText"/>
            </w:pPr>
            <w:r w:rsidRPr="00C92306">
              <w:lastRenderedPageBreak/>
              <w:t>The overall program has been extended to June 2024 to allow additional time for community input into projects scope and design.</w:t>
            </w:r>
          </w:p>
        </w:tc>
      </w:tr>
      <w:tr w:rsidR="0086198C" w:rsidRPr="005F7497" w14:paraId="3E7CC970" w14:textId="77777777" w:rsidTr="00B97432">
        <w:trPr>
          <w:trHeight w:val="720"/>
        </w:trPr>
        <w:tc>
          <w:tcPr>
            <w:tcW w:w="1933" w:type="dxa"/>
            <w:vMerge/>
          </w:tcPr>
          <w:p w14:paraId="729164E3" w14:textId="77777777" w:rsidR="0086198C" w:rsidRDefault="0086198C" w:rsidP="000D54FB">
            <w:pPr>
              <w:pStyle w:val="TableText"/>
            </w:pPr>
          </w:p>
        </w:tc>
        <w:tc>
          <w:tcPr>
            <w:tcW w:w="3879" w:type="dxa"/>
          </w:tcPr>
          <w:p w14:paraId="4ED85FEF" w14:textId="77777777" w:rsidR="0086198C" w:rsidRDefault="0086198C" w:rsidP="000D54FB">
            <w:pPr>
              <w:pStyle w:val="TableText"/>
            </w:pPr>
            <w:r w:rsidRPr="003B51CE">
              <w:t xml:space="preserve">Recover the 450 GL of water for the environment in ways that support Basin communities. </w:t>
            </w:r>
          </w:p>
        </w:tc>
        <w:tc>
          <w:tcPr>
            <w:tcW w:w="1693" w:type="dxa"/>
          </w:tcPr>
          <w:p w14:paraId="5DE53D3F" w14:textId="77777777" w:rsidR="0086198C" w:rsidRPr="005F7497" w:rsidRDefault="0086198C" w:rsidP="000D54FB">
            <w:pPr>
              <w:pStyle w:val="TableText"/>
            </w:pPr>
            <w:r>
              <w:t>Q2 2022</w:t>
            </w:r>
          </w:p>
        </w:tc>
        <w:tc>
          <w:tcPr>
            <w:tcW w:w="1359" w:type="dxa"/>
          </w:tcPr>
          <w:p w14:paraId="3E6B8988" w14:textId="77777777" w:rsidR="0086198C" w:rsidRPr="00BC4B6F" w:rsidRDefault="00A166FF" w:rsidP="000D54FB">
            <w:pPr>
              <w:pStyle w:val="TableText"/>
            </w:pPr>
            <w:r>
              <w:t>ONGOING</w:t>
            </w:r>
          </w:p>
        </w:tc>
        <w:tc>
          <w:tcPr>
            <w:tcW w:w="5528" w:type="dxa"/>
          </w:tcPr>
          <w:p w14:paraId="3E87F29C" w14:textId="5F181376" w:rsidR="00663E38" w:rsidRDefault="00663E38" w:rsidP="000D54FB">
            <w:pPr>
              <w:pStyle w:val="TableText"/>
            </w:pPr>
            <w:r w:rsidRPr="00BC4B6F">
              <w:t xml:space="preserve">Basin states can </w:t>
            </w:r>
            <w:r>
              <w:t xml:space="preserve">continue to </w:t>
            </w:r>
            <w:r w:rsidRPr="00BC4B6F">
              <w:t>nominate infrastructure projects through the $1.33 billion Off-farm Efficiency Program</w:t>
            </w:r>
            <w:r w:rsidR="00E36221">
              <w:t>.</w:t>
            </w:r>
          </w:p>
          <w:p w14:paraId="00731A1A" w14:textId="77777777" w:rsidR="0086198C" w:rsidRDefault="00DB2BB0" w:rsidP="000D54FB">
            <w:pPr>
              <w:pStyle w:val="TableText"/>
            </w:pPr>
            <w:r>
              <w:t xml:space="preserve">The </w:t>
            </w:r>
            <w:r w:rsidRPr="00DB2BB0">
              <w:t>NSW Murrumbidgee Irrigation Automation</w:t>
            </w:r>
            <w:r w:rsidR="00C42DF0">
              <w:t xml:space="preserve"> Finalisation</w:t>
            </w:r>
            <w:r w:rsidRPr="00DB2BB0">
              <w:t xml:space="preserve"> Project </w:t>
            </w:r>
            <w:r>
              <w:t>will generate</w:t>
            </w:r>
            <w:r w:rsidRPr="00DB2BB0">
              <w:t xml:space="preserve"> 7.4 GL of water savings </w:t>
            </w:r>
            <w:r>
              <w:t xml:space="preserve">to share between the water users, </w:t>
            </w:r>
            <w:proofErr w:type="gramStart"/>
            <w:r>
              <w:t>communities</w:t>
            </w:r>
            <w:proofErr w:type="gramEnd"/>
            <w:r>
              <w:t xml:space="preserve"> and the environment. </w:t>
            </w:r>
            <w:r w:rsidR="00CF738C">
              <w:t xml:space="preserve"> The project</w:t>
            </w:r>
            <w:r w:rsidR="00663E38">
              <w:t xml:space="preserve"> </w:t>
            </w:r>
            <w:r>
              <w:t>enhance</w:t>
            </w:r>
            <w:r w:rsidR="00CF738C">
              <w:t>s</w:t>
            </w:r>
            <w:r>
              <w:t xml:space="preserve"> environmental outcomes</w:t>
            </w:r>
            <w:r w:rsidR="00CF738C">
              <w:t xml:space="preserve">, </w:t>
            </w:r>
            <w:r w:rsidR="009455CE">
              <w:t>by</w:t>
            </w:r>
            <w:r>
              <w:t xml:space="preserve"> </w:t>
            </w:r>
            <w:r w:rsidRPr="00DB2BB0">
              <w:t>upgrad</w:t>
            </w:r>
            <w:r>
              <w:t xml:space="preserve">ing </w:t>
            </w:r>
            <w:r w:rsidRPr="00DB2BB0">
              <w:t>1,500 monitoring sites, automat</w:t>
            </w:r>
            <w:r w:rsidR="009455CE">
              <w:t>ing</w:t>
            </w:r>
            <w:r w:rsidRPr="00DB2BB0">
              <w:t xml:space="preserve"> 360 regulators, refurbish</w:t>
            </w:r>
            <w:r w:rsidR="009455CE">
              <w:t>ing</w:t>
            </w:r>
            <w:r w:rsidRPr="00DB2BB0">
              <w:t xml:space="preserve"> 20 kilometres of open earth </w:t>
            </w:r>
            <w:proofErr w:type="gramStart"/>
            <w:r w:rsidRPr="00DB2BB0">
              <w:t>channels</w:t>
            </w:r>
            <w:proofErr w:type="gramEnd"/>
            <w:r w:rsidRPr="00DB2BB0">
              <w:t xml:space="preserve"> and construct</w:t>
            </w:r>
            <w:r w:rsidR="009455CE">
              <w:t>ing</w:t>
            </w:r>
            <w:r w:rsidRPr="00DB2BB0">
              <w:t xml:space="preserve"> a new 5,000 ML surge reservoir</w:t>
            </w:r>
            <w:r>
              <w:t xml:space="preserve">. </w:t>
            </w:r>
          </w:p>
          <w:p w14:paraId="5ABCF93D" w14:textId="77777777" w:rsidR="00AB5A41" w:rsidRDefault="00DB2BB0" w:rsidP="000D54FB">
            <w:pPr>
              <w:pStyle w:val="TableText"/>
            </w:pPr>
            <w:r>
              <w:t>This builds on</w:t>
            </w:r>
            <w:r w:rsidR="007C1F35" w:rsidRPr="003B51CE">
              <w:t xml:space="preserve"> the Goulburn Murray Water project</w:t>
            </w:r>
            <w:r w:rsidR="00663E38">
              <w:t xml:space="preserve"> </w:t>
            </w:r>
            <w:r w:rsidR="007C1F35" w:rsidRPr="003B51CE">
              <w:t>that will generate 1</w:t>
            </w:r>
            <w:r w:rsidR="00BB02AF">
              <w:t>8</w:t>
            </w:r>
            <w:r w:rsidR="00C42DF0">
              <w:t>.</w:t>
            </w:r>
            <w:r w:rsidR="00BB02AF">
              <w:t>17</w:t>
            </w:r>
            <w:r w:rsidR="007C1F35" w:rsidRPr="003B51CE">
              <w:t> GL of water for the environment.</w:t>
            </w:r>
            <w:r w:rsidRPr="00BC4B6F">
              <w:t xml:space="preserve"> </w:t>
            </w:r>
          </w:p>
          <w:p w14:paraId="1EB26FEE" w14:textId="77777777" w:rsidR="007C1F35" w:rsidRPr="005F7497" w:rsidRDefault="00DB2BB0" w:rsidP="000D54FB">
            <w:pPr>
              <w:pStyle w:val="TableText"/>
            </w:pPr>
            <w:r>
              <w:t xml:space="preserve">More applications have been received and are being assessed. </w:t>
            </w:r>
          </w:p>
        </w:tc>
      </w:tr>
      <w:tr w:rsidR="0086198C" w:rsidRPr="005F7497" w14:paraId="79F4C230" w14:textId="77777777" w:rsidTr="00B97432">
        <w:tc>
          <w:tcPr>
            <w:tcW w:w="1933" w:type="dxa"/>
            <w:vMerge w:val="restart"/>
          </w:tcPr>
          <w:p w14:paraId="5448AE92" w14:textId="77777777" w:rsidR="0086198C" w:rsidRPr="005F7497" w:rsidRDefault="0086198C" w:rsidP="000D54FB">
            <w:pPr>
              <w:pStyle w:val="TableText"/>
            </w:pPr>
            <w:r w:rsidRPr="003B51CE">
              <w:rPr>
                <w:lang w:val="en-US"/>
              </w:rPr>
              <w:t>Supporting First Nations Australians to play an active role in river health</w:t>
            </w:r>
          </w:p>
        </w:tc>
        <w:tc>
          <w:tcPr>
            <w:tcW w:w="3879" w:type="dxa"/>
          </w:tcPr>
          <w:p w14:paraId="035DEB90" w14:textId="77777777" w:rsidR="0086198C" w:rsidRPr="006A6DD9" w:rsidRDefault="0086198C" w:rsidP="000D54FB">
            <w:pPr>
              <w:pStyle w:val="TableText"/>
            </w:pPr>
            <w:r w:rsidRPr="006A6DD9">
              <w:t>Deliver $3.1 million for 4 new First Nations River Rangers teams, creating around 20 jobs.</w:t>
            </w:r>
          </w:p>
        </w:tc>
        <w:tc>
          <w:tcPr>
            <w:tcW w:w="1693" w:type="dxa"/>
          </w:tcPr>
          <w:p w14:paraId="4522A298" w14:textId="77777777" w:rsidR="0086198C" w:rsidRPr="006A6DD9" w:rsidRDefault="0086198C" w:rsidP="000D54FB">
            <w:pPr>
              <w:pStyle w:val="TableText"/>
            </w:pPr>
            <w:r w:rsidRPr="006A6DD9">
              <w:t>Q3 2021</w:t>
            </w:r>
          </w:p>
        </w:tc>
        <w:tc>
          <w:tcPr>
            <w:tcW w:w="1359" w:type="dxa"/>
          </w:tcPr>
          <w:p w14:paraId="5CC46C4C" w14:textId="77777777" w:rsidR="0086198C" w:rsidRPr="006A6DD9" w:rsidRDefault="00A166FF" w:rsidP="000D54FB">
            <w:pPr>
              <w:pStyle w:val="TableText"/>
            </w:pPr>
            <w:r w:rsidRPr="006A6DD9">
              <w:t>COMPLETE</w:t>
            </w:r>
          </w:p>
        </w:tc>
        <w:tc>
          <w:tcPr>
            <w:tcW w:w="5528" w:type="dxa"/>
          </w:tcPr>
          <w:p w14:paraId="767B7998" w14:textId="77777777" w:rsidR="0086198C" w:rsidRPr="00C92306" w:rsidRDefault="00377A9A" w:rsidP="00377A9A">
            <w:pPr>
              <w:pStyle w:val="TableText"/>
            </w:pPr>
            <w:r w:rsidRPr="00C92306">
              <w:t xml:space="preserve">The Murray-Darling Basin Indigenous Rivers Rangers Program has been extended until 2024-25 to deliver real jobs on the ground and support </w:t>
            </w:r>
            <w:r w:rsidR="00AA7179" w:rsidRPr="00C92306">
              <w:t>Indigenous</w:t>
            </w:r>
            <w:r w:rsidRPr="00C92306">
              <w:t xml:space="preserve"> people get more involved in river management and waterway health. The $12.2 million in extra funding provides greater opportunity for </w:t>
            </w:r>
            <w:r w:rsidR="00AA7179" w:rsidRPr="00C92306">
              <w:t>Indigenous</w:t>
            </w:r>
            <w:r w:rsidRPr="00C92306">
              <w:t xml:space="preserve"> people to continue to contribute to healthy waterways in the Basin and to plan and implement longer term plans to increase the impact on the ground. </w:t>
            </w:r>
          </w:p>
        </w:tc>
      </w:tr>
      <w:tr w:rsidR="0086198C" w:rsidRPr="005F7497" w14:paraId="6DCBD20D" w14:textId="77777777" w:rsidTr="00B97432">
        <w:tc>
          <w:tcPr>
            <w:tcW w:w="1933" w:type="dxa"/>
            <w:vMerge/>
          </w:tcPr>
          <w:p w14:paraId="3DCAA2F3" w14:textId="77777777" w:rsidR="0086198C" w:rsidRPr="005F7497" w:rsidRDefault="0086198C" w:rsidP="000D54FB">
            <w:pPr>
              <w:pStyle w:val="TableText"/>
            </w:pPr>
          </w:p>
        </w:tc>
        <w:tc>
          <w:tcPr>
            <w:tcW w:w="3879" w:type="dxa"/>
          </w:tcPr>
          <w:p w14:paraId="21DA1354" w14:textId="77777777" w:rsidR="0086198C" w:rsidRPr="005F7497" w:rsidRDefault="0086198C" w:rsidP="000D54FB">
            <w:pPr>
              <w:pStyle w:val="TableText"/>
            </w:pPr>
            <w:r w:rsidRPr="003B51CE">
              <w:t>Agree the framework for implementing the $40 million Aboriginal water entitlements program with Aboriginal communities.</w:t>
            </w:r>
          </w:p>
        </w:tc>
        <w:tc>
          <w:tcPr>
            <w:tcW w:w="1693" w:type="dxa"/>
          </w:tcPr>
          <w:p w14:paraId="46244931" w14:textId="77777777" w:rsidR="0086198C" w:rsidRPr="005F7497" w:rsidRDefault="0086198C" w:rsidP="000D54FB">
            <w:pPr>
              <w:pStyle w:val="TableText"/>
            </w:pPr>
            <w:r>
              <w:t xml:space="preserve">Q1 2021 </w:t>
            </w:r>
          </w:p>
        </w:tc>
        <w:tc>
          <w:tcPr>
            <w:tcW w:w="1359" w:type="dxa"/>
          </w:tcPr>
          <w:p w14:paraId="7918C82B" w14:textId="77777777" w:rsidR="0086198C" w:rsidRPr="00726506" w:rsidRDefault="00377A9A" w:rsidP="000D54FB">
            <w:pPr>
              <w:pStyle w:val="TableText"/>
            </w:pPr>
            <w:r>
              <w:t>ONGOING</w:t>
            </w:r>
          </w:p>
        </w:tc>
        <w:tc>
          <w:tcPr>
            <w:tcW w:w="5528" w:type="dxa"/>
          </w:tcPr>
          <w:p w14:paraId="46C424FD" w14:textId="77777777" w:rsidR="0086198C" w:rsidRPr="005F7497" w:rsidRDefault="004339CA" w:rsidP="0034262C">
            <w:pPr>
              <w:pStyle w:val="TableText"/>
            </w:pPr>
            <w:r>
              <w:t>The</w:t>
            </w:r>
            <w:r w:rsidR="00DB2BB0">
              <w:t xml:space="preserve"> National Indigenous Australians Agency (NIAA)</w:t>
            </w:r>
            <w:r>
              <w:t xml:space="preserve"> </w:t>
            </w:r>
            <w:r w:rsidR="0033003D">
              <w:t>is</w:t>
            </w:r>
            <w:r>
              <w:t xml:space="preserve"> </w:t>
            </w:r>
            <w:r w:rsidR="00DB2BB0">
              <w:t xml:space="preserve">working with Indigenous community stakeholders on the </w:t>
            </w:r>
            <w:r w:rsidR="00AA7179">
              <w:t>delivery arrangements</w:t>
            </w:r>
            <w:r w:rsidR="00DB2BB0">
              <w:t xml:space="preserve"> for the $40 million program that aims to deliver on-ground water-related outcomes that generate cultural and economic results that respond to the objectives of </w:t>
            </w:r>
            <w:r w:rsidR="00AA7179">
              <w:t xml:space="preserve">Indigenous </w:t>
            </w:r>
            <w:r w:rsidR="00DB2BB0">
              <w:t>communities within the Murray–Darling Basin.</w:t>
            </w:r>
          </w:p>
        </w:tc>
      </w:tr>
      <w:tr w:rsidR="0086198C" w:rsidRPr="005F7497" w14:paraId="1DDFBCFF" w14:textId="77777777" w:rsidTr="00B97432">
        <w:tc>
          <w:tcPr>
            <w:tcW w:w="1933" w:type="dxa"/>
            <w:vMerge/>
          </w:tcPr>
          <w:p w14:paraId="3F463C40" w14:textId="77777777" w:rsidR="0086198C" w:rsidRPr="005F7497" w:rsidRDefault="0086198C" w:rsidP="000D54FB">
            <w:pPr>
              <w:pStyle w:val="TableText"/>
            </w:pPr>
          </w:p>
        </w:tc>
        <w:tc>
          <w:tcPr>
            <w:tcW w:w="3879" w:type="dxa"/>
          </w:tcPr>
          <w:p w14:paraId="04824316" w14:textId="77777777" w:rsidR="0086198C" w:rsidRPr="005F7497" w:rsidRDefault="0086198C" w:rsidP="000D54FB">
            <w:pPr>
              <w:pStyle w:val="TableText"/>
            </w:pPr>
            <w:r w:rsidRPr="003B51CE">
              <w:t>Appointment of an Indigenous board member to the Murray–Darling Basin Authority.</w:t>
            </w:r>
          </w:p>
        </w:tc>
        <w:tc>
          <w:tcPr>
            <w:tcW w:w="1693" w:type="dxa"/>
          </w:tcPr>
          <w:p w14:paraId="145462AF" w14:textId="77777777" w:rsidR="0086198C" w:rsidRPr="005F7497" w:rsidRDefault="0086198C" w:rsidP="000D54FB">
            <w:pPr>
              <w:pStyle w:val="TableText"/>
            </w:pPr>
            <w:r>
              <w:t xml:space="preserve">Q4 2020 </w:t>
            </w:r>
          </w:p>
        </w:tc>
        <w:tc>
          <w:tcPr>
            <w:tcW w:w="1359" w:type="dxa"/>
          </w:tcPr>
          <w:p w14:paraId="045A9630" w14:textId="77777777" w:rsidR="0086198C" w:rsidRPr="003B51CE" w:rsidRDefault="00A166FF" w:rsidP="000D54FB">
            <w:pPr>
              <w:pStyle w:val="TableText"/>
            </w:pPr>
            <w:r>
              <w:t>COMPLETE</w:t>
            </w:r>
          </w:p>
        </w:tc>
        <w:tc>
          <w:tcPr>
            <w:tcW w:w="5528" w:type="dxa"/>
          </w:tcPr>
          <w:p w14:paraId="22407546" w14:textId="77777777" w:rsidR="0086198C" w:rsidRPr="005F7497" w:rsidRDefault="0086198C" w:rsidP="000D54FB">
            <w:pPr>
              <w:pStyle w:val="TableText"/>
            </w:pPr>
            <w:r w:rsidRPr="003B51CE">
              <w:t xml:space="preserve">Mr Rene Woods </w:t>
            </w:r>
            <w:r w:rsidR="007C1F35">
              <w:t xml:space="preserve">was appointed </w:t>
            </w:r>
            <w:r w:rsidR="007C1F35" w:rsidRPr="003B51CE">
              <w:t>as the first dedicated Indigenous member of the board of the Murray-Darling Basin Authority by Minister Keith Pitt on 18 December 2020.</w:t>
            </w:r>
          </w:p>
        </w:tc>
      </w:tr>
    </w:tbl>
    <w:p w14:paraId="2B624FD0" w14:textId="77777777" w:rsidR="00DD4719" w:rsidRPr="003B51CE" w:rsidRDefault="00EA4A22" w:rsidP="00286E91">
      <w:pPr>
        <w:pStyle w:val="Heading2"/>
        <w:numPr>
          <w:ilvl w:val="0"/>
          <w:numId w:val="0"/>
        </w:numPr>
        <w:ind w:left="720" w:hanging="720"/>
        <w:rPr>
          <w:b/>
        </w:rPr>
      </w:pPr>
      <w:r w:rsidRPr="003B51CE">
        <w:lastRenderedPageBreak/>
        <w:t xml:space="preserve">Build trust, </w:t>
      </w:r>
      <w:proofErr w:type="gramStart"/>
      <w:r w:rsidRPr="003B51CE">
        <w:t>transparency</w:t>
      </w:r>
      <w:proofErr w:type="gramEnd"/>
      <w:r w:rsidRPr="003B51CE">
        <w:t xml:space="preserve"> and accountability in government</w:t>
      </w:r>
    </w:p>
    <w:p w14:paraId="759CBBD8" w14:textId="77777777" w:rsidR="00410CD5" w:rsidRDefault="00785B5A" w:rsidP="00410CD5">
      <w:r>
        <w:t>Since t</w:t>
      </w:r>
      <w:r w:rsidR="00CB16BF" w:rsidRPr="001D74E4">
        <w:t xml:space="preserve">he </w:t>
      </w:r>
      <w:r w:rsidR="00410CD5">
        <w:t>Hon</w:t>
      </w:r>
      <w:r w:rsidR="004339CA">
        <w:t>.</w:t>
      </w:r>
      <w:r w:rsidR="00410CD5">
        <w:t xml:space="preserve"> Troy Grant was appointed as</w:t>
      </w:r>
      <w:r w:rsidR="00755FBB" w:rsidRPr="001D74E4">
        <w:t xml:space="preserve"> Australia’s first Inspector General for Water Compliance on 5 August 2021, </w:t>
      </w:r>
      <w:r w:rsidR="00410CD5">
        <w:t xml:space="preserve">a number of assessments and audits have commenced. Mr Grant, supported by the Office of Water Compliance, is reviewing the planning and use of water for the environment held by the Commonwealth Environmental Water Holder with a particular focus on assessing community confidence in the transparency of water use and that good outcomes are being achieved.  The Inspector General is also assessing </w:t>
      </w:r>
      <w:r w:rsidR="00FB0E2A">
        <w:t xml:space="preserve">the Basin states </w:t>
      </w:r>
      <w:r w:rsidR="00410CD5">
        <w:t>level of water compliance and performance of the</w:t>
      </w:r>
      <w:r w:rsidR="00FB0E2A">
        <w:t>ir</w:t>
      </w:r>
      <w:r w:rsidR="00410CD5">
        <w:t xml:space="preserve"> enforcement </w:t>
      </w:r>
      <w:r w:rsidR="00FB0E2A">
        <w:t>systems</w:t>
      </w:r>
      <w:r w:rsidR="00410CD5">
        <w:t>.</w:t>
      </w:r>
      <w:r w:rsidR="00FB0E2A">
        <w:t xml:space="preserve"> The final assessment underway is looking at the adequacy of the processes used to measure and account for water in the River Murray and the lower Darling, and how this informs decisions about river operations. These reviews will be published in the first half of 2022 – less than a year since the legislation to establish the role and the Office passed the Australian Parliament.  </w:t>
      </w:r>
      <w:r w:rsidR="00410CD5">
        <w:t>As well as these reviews the Inspector General and his office oversee and monitor compliance with the Basin Plan and the Water Act. This function is core to the continued maturation of water management and water markets in Australia – and a model for others to adopt internationally.</w:t>
      </w:r>
      <w:r w:rsidR="00FB0E2A">
        <w:t xml:space="preserve"> </w:t>
      </w:r>
      <w:r w:rsidR="00FB0E2A" w:rsidRPr="001D74E4">
        <w:t>It delivers on the Australian Government’s commitment to increase trust and transparency with Basin communities by providing them with assurance that water is well managed in the Murray–Darling Basin.</w:t>
      </w:r>
    </w:p>
    <w:p w14:paraId="18DF5325" w14:textId="77777777" w:rsidR="00AA045E" w:rsidRDefault="00C20710" w:rsidP="008329B2">
      <w:r>
        <w:t>A</w:t>
      </w:r>
      <w:r w:rsidR="008329B2">
        <w:t xml:space="preserve">dditional support </w:t>
      </w:r>
      <w:r>
        <w:t xml:space="preserve">has been provided </w:t>
      </w:r>
      <w:r w:rsidR="008329B2">
        <w:t>for Regional Engagement Officers (REO</w:t>
      </w:r>
      <w:r w:rsidR="005824D8">
        <w:t>s</w:t>
      </w:r>
      <w:r w:rsidR="008329B2">
        <w:t xml:space="preserve">) across the </w:t>
      </w:r>
      <w:r>
        <w:t xml:space="preserve">Murray–Darling </w:t>
      </w:r>
      <w:r w:rsidR="008329B2">
        <w:t xml:space="preserve">Basin </w:t>
      </w:r>
      <w:r>
        <w:t>to</w:t>
      </w:r>
      <w:r w:rsidR="008329B2">
        <w:t xml:space="preserve"> provide a stronger voice </w:t>
      </w:r>
      <w:r>
        <w:t>for</w:t>
      </w:r>
      <w:r w:rsidR="008329B2">
        <w:t xml:space="preserve"> Basin communities</w:t>
      </w:r>
      <w:r>
        <w:t xml:space="preserve"> with government</w:t>
      </w:r>
      <w:r w:rsidR="00D27CFD">
        <w:t xml:space="preserve"> including</w:t>
      </w:r>
      <w:r>
        <w:t xml:space="preserve"> a position in the Barwon-Darling. Regional Engagement Officers demonstrate</w:t>
      </w:r>
      <w:r w:rsidR="008329B2">
        <w:t xml:space="preserve"> excellent knowledge of their local community, have developed strong networks with government and non-government organisations and are equipped to provide on-ground local support</w:t>
      </w:r>
      <w:r w:rsidR="0033003D">
        <w:t xml:space="preserve"> to communities</w:t>
      </w:r>
      <w:r w:rsidR="008329B2">
        <w:t>.</w:t>
      </w:r>
      <w:r>
        <w:t xml:space="preserve"> </w:t>
      </w:r>
    </w:p>
    <w:p w14:paraId="4A8567B7" w14:textId="77777777" w:rsidR="00DD4719" w:rsidRPr="003B51CE" w:rsidRDefault="00EA4A22" w:rsidP="00DD4719">
      <w:pPr>
        <w:pStyle w:val="Heading3"/>
        <w:numPr>
          <w:ilvl w:val="0"/>
          <w:numId w:val="0"/>
        </w:numPr>
        <w:ind w:left="964" w:hanging="964"/>
        <w:rPr>
          <w:lang w:val="en-US"/>
        </w:rPr>
      </w:pPr>
      <w:r w:rsidRPr="003B51CE">
        <w:rPr>
          <w:lang w:val="en-US"/>
        </w:rPr>
        <w:t xml:space="preserve">Build trust, </w:t>
      </w:r>
      <w:proofErr w:type="gramStart"/>
      <w:r w:rsidRPr="003B51CE">
        <w:rPr>
          <w:lang w:val="en-US"/>
        </w:rPr>
        <w:t>transparency</w:t>
      </w:r>
      <w:proofErr w:type="gramEnd"/>
      <w:r w:rsidRPr="003B51CE">
        <w:rPr>
          <w:lang w:val="en-US"/>
        </w:rPr>
        <w:t xml:space="preserve"> and accountability in government</w:t>
      </w:r>
    </w:p>
    <w:tbl>
      <w:tblPr>
        <w:tblW w:w="4973"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215"/>
        <w:gridCol w:w="3450"/>
        <w:gridCol w:w="902"/>
        <w:gridCol w:w="1407"/>
        <w:gridCol w:w="6952"/>
      </w:tblGrid>
      <w:tr w:rsidR="00A166FF" w14:paraId="19FE402F" w14:textId="77777777" w:rsidTr="00A166FF">
        <w:trPr>
          <w:cantSplit/>
          <w:tblHeader/>
        </w:trPr>
        <w:tc>
          <w:tcPr>
            <w:tcW w:w="436" w:type="pct"/>
            <w:tcMar>
              <w:left w:w="108" w:type="dxa"/>
              <w:right w:w="108" w:type="dxa"/>
            </w:tcMar>
          </w:tcPr>
          <w:p w14:paraId="7AE8B6F0" w14:textId="77777777" w:rsidR="00A166FF" w:rsidRPr="003B51CE" w:rsidRDefault="00A166FF" w:rsidP="000D54FB">
            <w:pPr>
              <w:pStyle w:val="TableHeading"/>
            </w:pPr>
            <w:r w:rsidRPr="003B51CE">
              <w:t>What we are doing</w:t>
            </w:r>
          </w:p>
        </w:tc>
        <w:tc>
          <w:tcPr>
            <w:tcW w:w="1239" w:type="pct"/>
            <w:tcMar>
              <w:left w:w="108" w:type="dxa"/>
              <w:right w:w="108" w:type="dxa"/>
            </w:tcMar>
          </w:tcPr>
          <w:p w14:paraId="4CBEFEC3" w14:textId="77777777" w:rsidR="00A166FF" w:rsidRPr="003B51CE" w:rsidRDefault="00A166FF" w:rsidP="000D54FB">
            <w:pPr>
              <w:pStyle w:val="TableHeading"/>
            </w:pPr>
            <w:r w:rsidRPr="003B51CE">
              <w:t>How we will do it</w:t>
            </w:r>
          </w:p>
        </w:tc>
        <w:tc>
          <w:tcPr>
            <w:tcW w:w="324" w:type="pct"/>
            <w:tcMar>
              <w:left w:w="108" w:type="dxa"/>
              <w:right w:w="108" w:type="dxa"/>
            </w:tcMar>
          </w:tcPr>
          <w:p w14:paraId="56405621" w14:textId="77777777" w:rsidR="00A166FF" w:rsidRPr="003B51CE" w:rsidRDefault="00A166FF" w:rsidP="000D54FB">
            <w:pPr>
              <w:pStyle w:val="TableHeading"/>
            </w:pPr>
            <w:r w:rsidRPr="003B51CE">
              <w:t>By when</w:t>
            </w:r>
          </w:p>
        </w:tc>
        <w:tc>
          <w:tcPr>
            <w:tcW w:w="505" w:type="pct"/>
          </w:tcPr>
          <w:p w14:paraId="7D352147" w14:textId="77777777" w:rsidR="00A166FF" w:rsidRPr="003B51CE" w:rsidRDefault="00A166FF" w:rsidP="00B97432">
            <w:pPr>
              <w:pStyle w:val="TableHeading"/>
              <w:ind w:right="816"/>
            </w:pPr>
            <w:r>
              <w:t>Status</w:t>
            </w:r>
          </w:p>
        </w:tc>
        <w:tc>
          <w:tcPr>
            <w:tcW w:w="2496" w:type="pct"/>
          </w:tcPr>
          <w:p w14:paraId="7A4A9335" w14:textId="77777777" w:rsidR="00A166FF" w:rsidRPr="003B51CE" w:rsidRDefault="00A166FF" w:rsidP="000D54FB">
            <w:pPr>
              <w:pStyle w:val="TableHeading"/>
            </w:pPr>
            <w:r w:rsidRPr="003B51CE">
              <w:t>What have we done</w:t>
            </w:r>
          </w:p>
        </w:tc>
      </w:tr>
      <w:tr w:rsidR="00A166FF" w14:paraId="42D2B42D" w14:textId="77777777" w:rsidTr="00A166FF">
        <w:tc>
          <w:tcPr>
            <w:tcW w:w="436" w:type="pct"/>
            <w:vMerge w:val="restart"/>
            <w:tcMar>
              <w:left w:w="108" w:type="dxa"/>
              <w:right w:w="108" w:type="dxa"/>
            </w:tcMar>
          </w:tcPr>
          <w:p w14:paraId="49F0FC27" w14:textId="77777777" w:rsidR="00A166FF" w:rsidRPr="00E547C6" w:rsidRDefault="00A166FF" w:rsidP="000D54FB">
            <w:pPr>
              <w:pStyle w:val="TableText"/>
            </w:pPr>
            <w:r w:rsidRPr="00E547C6">
              <w:t>Providing stronger leadership</w:t>
            </w:r>
          </w:p>
        </w:tc>
        <w:tc>
          <w:tcPr>
            <w:tcW w:w="1239" w:type="pct"/>
            <w:tcMar>
              <w:left w:w="108" w:type="dxa"/>
              <w:right w:w="108" w:type="dxa"/>
            </w:tcMar>
          </w:tcPr>
          <w:p w14:paraId="3D063D09" w14:textId="77777777" w:rsidR="00A166FF" w:rsidRPr="00E547C6" w:rsidRDefault="00A166FF" w:rsidP="000D54FB">
            <w:pPr>
              <w:pStyle w:val="TableText"/>
            </w:pPr>
            <w:r w:rsidRPr="00E547C6">
              <w:t>Build a culture of genuine engagement and trust with communities and between governments.</w:t>
            </w:r>
          </w:p>
        </w:tc>
        <w:tc>
          <w:tcPr>
            <w:tcW w:w="324" w:type="pct"/>
            <w:tcMar>
              <w:left w:w="108" w:type="dxa"/>
              <w:right w:w="108" w:type="dxa"/>
            </w:tcMar>
          </w:tcPr>
          <w:p w14:paraId="33604615" w14:textId="77777777" w:rsidR="00A166FF" w:rsidRPr="00E547C6" w:rsidRDefault="00A166FF" w:rsidP="000D54FB">
            <w:pPr>
              <w:pStyle w:val="TableText"/>
            </w:pPr>
            <w:r w:rsidRPr="00E547C6">
              <w:t xml:space="preserve">Q4 2020 </w:t>
            </w:r>
          </w:p>
        </w:tc>
        <w:tc>
          <w:tcPr>
            <w:tcW w:w="505" w:type="pct"/>
          </w:tcPr>
          <w:p w14:paraId="0F6D55DE" w14:textId="77777777" w:rsidR="00A166FF" w:rsidRPr="00E547C6" w:rsidRDefault="00A166FF" w:rsidP="000D54FB">
            <w:pPr>
              <w:pStyle w:val="TableText"/>
            </w:pPr>
            <w:r w:rsidRPr="00E547C6">
              <w:t>ONGOING</w:t>
            </w:r>
          </w:p>
        </w:tc>
        <w:tc>
          <w:tcPr>
            <w:tcW w:w="2496" w:type="pct"/>
          </w:tcPr>
          <w:p w14:paraId="7083EF00" w14:textId="28B19280" w:rsidR="00C20710" w:rsidRPr="00C92306" w:rsidRDefault="00C20710" w:rsidP="000D54FB">
            <w:pPr>
              <w:pStyle w:val="TableText"/>
            </w:pPr>
            <w:r w:rsidRPr="00C92306">
              <w:t>The Regional Engagement Officer</w:t>
            </w:r>
            <w:r w:rsidR="0006157F" w:rsidRPr="00C92306">
              <w:t xml:space="preserve"> (REO)</w:t>
            </w:r>
            <w:r w:rsidRPr="00C92306">
              <w:t xml:space="preserve"> network has been expanded to provide a more holistic engagement opportunity for communities with the Australian Government on water management issues.</w:t>
            </w:r>
            <w:r w:rsidR="0006157F" w:rsidRPr="00C92306">
              <w:t xml:space="preserve"> REOs </w:t>
            </w:r>
            <w:r w:rsidR="007A5CF4" w:rsidRPr="00C92306">
              <w:t>help facilitate engagement on key agency projects, support Chair and Ministers visits</w:t>
            </w:r>
            <w:r w:rsidR="004479F0" w:rsidRPr="00C92306">
              <w:t>, connect people to Commonwealth programs</w:t>
            </w:r>
            <w:r w:rsidR="007A5CF4" w:rsidRPr="00C92306">
              <w:t xml:space="preserve"> and </w:t>
            </w:r>
            <w:r w:rsidR="00F75F99" w:rsidRPr="00C92306">
              <w:t xml:space="preserve">consistently provide </w:t>
            </w:r>
            <w:r w:rsidR="00B5429A" w:rsidRPr="00C92306">
              <w:t xml:space="preserve">advice on </w:t>
            </w:r>
            <w:r w:rsidR="00F75F99" w:rsidRPr="00C92306">
              <w:t>key community issues to agencies.</w:t>
            </w:r>
          </w:p>
          <w:p w14:paraId="1074CC89" w14:textId="77777777" w:rsidR="001C5710" w:rsidRPr="00E547C6" w:rsidRDefault="001C5710" w:rsidP="000D54FB">
            <w:pPr>
              <w:pStyle w:val="TableText"/>
            </w:pPr>
            <w:r w:rsidRPr="00C92306">
              <w:t>The Murray–Darling Basin Authority has established 6 Regional Community Forum groups</w:t>
            </w:r>
            <w:r w:rsidR="00813DCB" w:rsidRPr="00C92306">
              <w:t xml:space="preserve"> and around </w:t>
            </w:r>
            <w:r w:rsidRPr="00C92306">
              <w:t xml:space="preserve">100 </w:t>
            </w:r>
            <w:r w:rsidR="00813DCB" w:rsidRPr="00C92306">
              <w:t>Basin c</w:t>
            </w:r>
            <w:r w:rsidRPr="00C92306">
              <w:t>ommunity members with a range of backgrounds and interests</w:t>
            </w:r>
            <w:r w:rsidR="00813DCB" w:rsidRPr="00C92306">
              <w:t xml:space="preserve"> are participating</w:t>
            </w:r>
            <w:r w:rsidRPr="00C92306">
              <w:t xml:space="preserve">. These forums </w:t>
            </w:r>
            <w:r w:rsidR="00813DCB" w:rsidRPr="00C92306">
              <w:t>provide</w:t>
            </w:r>
            <w:r w:rsidRPr="00C92306">
              <w:t xml:space="preserve"> a platform for community members to inform the development of the MDBA science and monitoring program and hear from the MDBA and </w:t>
            </w:r>
            <w:r w:rsidR="00813DCB" w:rsidRPr="00C92306">
              <w:t xml:space="preserve">Australian Government </w:t>
            </w:r>
            <w:r w:rsidRPr="00C92306">
              <w:t xml:space="preserve">partners on a range of </w:t>
            </w:r>
            <w:r w:rsidR="00813DCB" w:rsidRPr="00C92306">
              <w:t>locally specific</w:t>
            </w:r>
            <w:r w:rsidRPr="00C92306">
              <w:t xml:space="preserve"> programs, </w:t>
            </w:r>
            <w:proofErr w:type="gramStart"/>
            <w:r w:rsidRPr="00C92306">
              <w:t>projects</w:t>
            </w:r>
            <w:proofErr w:type="gramEnd"/>
            <w:r w:rsidRPr="00C92306">
              <w:t xml:space="preserve"> and initiatives.</w:t>
            </w:r>
          </w:p>
          <w:p w14:paraId="6BD76F38" w14:textId="77777777" w:rsidR="00A10F5D" w:rsidRPr="00E547C6" w:rsidRDefault="00A166FF" w:rsidP="000D54FB">
            <w:pPr>
              <w:pStyle w:val="TableText"/>
            </w:pPr>
            <w:r w:rsidRPr="00E547C6">
              <w:lastRenderedPageBreak/>
              <w:t>The Basin Officials Committee</w:t>
            </w:r>
            <w:r w:rsidR="00966DB6" w:rsidRPr="00E547C6">
              <w:t xml:space="preserve"> will continue to take its meeting to regional centres in 2022</w:t>
            </w:r>
            <w:r w:rsidR="00AB5A56" w:rsidRPr="00E547C6">
              <w:t xml:space="preserve"> and will continue to publish meeting records publicly.</w:t>
            </w:r>
          </w:p>
        </w:tc>
      </w:tr>
      <w:tr w:rsidR="00A166FF" w14:paraId="52458AA9" w14:textId="77777777" w:rsidTr="00A166FF">
        <w:tc>
          <w:tcPr>
            <w:tcW w:w="436" w:type="pct"/>
            <w:vMerge/>
            <w:tcMar>
              <w:left w:w="108" w:type="dxa"/>
              <w:right w:w="108" w:type="dxa"/>
            </w:tcMar>
          </w:tcPr>
          <w:p w14:paraId="2856ED81" w14:textId="77777777" w:rsidR="00A166FF" w:rsidRPr="00E547C6" w:rsidRDefault="00A166FF" w:rsidP="000D54FB">
            <w:pPr>
              <w:pStyle w:val="TableText"/>
            </w:pPr>
          </w:p>
        </w:tc>
        <w:tc>
          <w:tcPr>
            <w:tcW w:w="1239" w:type="pct"/>
            <w:tcMar>
              <w:left w:w="108" w:type="dxa"/>
              <w:right w:w="108" w:type="dxa"/>
            </w:tcMar>
          </w:tcPr>
          <w:p w14:paraId="29E22875" w14:textId="77777777" w:rsidR="00A166FF" w:rsidRPr="00E547C6" w:rsidRDefault="00A166FF" w:rsidP="000D54FB">
            <w:pPr>
              <w:pStyle w:val="TableText"/>
            </w:pPr>
            <w:r w:rsidRPr="00E547C6">
              <w:t>Maximising the benefits of the Basin Plan for all communities.</w:t>
            </w:r>
          </w:p>
        </w:tc>
        <w:tc>
          <w:tcPr>
            <w:tcW w:w="324" w:type="pct"/>
            <w:tcMar>
              <w:left w:w="108" w:type="dxa"/>
              <w:right w:w="108" w:type="dxa"/>
            </w:tcMar>
          </w:tcPr>
          <w:p w14:paraId="6436EBFD" w14:textId="77777777" w:rsidR="00A166FF" w:rsidRPr="00E547C6" w:rsidRDefault="00A166FF" w:rsidP="000D54FB">
            <w:pPr>
              <w:pStyle w:val="TableText"/>
            </w:pPr>
          </w:p>
        </w:tc>
        <w:tc>
          <w:tcPr>
            <w:tcW w:w="505" w:type="pct"/>
          </w:tcPr>
          <w:p w14:paraId="2A0840CC" w14:textId="77777777" w:rsidR="00A166FF" w:rsidRPr="00E547C6" w:rsidRDefault="00A166FF" w:rsidP="000D54FB">
            <w:pPr>
              <w:pStyle w:val="TableText"/>
            </w:pPr>
            <w:r w:rsidRPr="00E547C6">
              <w:t xml:space="preserve">ONGOING </w:t>
            </w:r>
          </w:p>
        </w:tc>
        <w:tc>
          <w:tcPr>
            <w:tcW w:w="2496" w:type="pct"/>
          </w:tcPr>
          <w:p w14:paraId="19AA9D91" w14:textId="77777777" w:rsidR="00A166FF" w:rsidRDefault="00A166FF" w:rsidP="000D54FB">
            <w:pPr>
              <w:pStyle w:val="TableText"/>
            </w:pPr>
            <w:r w:rsidRPr="00E547C6">
              <w:t>The Murray–Darling Basin Authority</w:t>
            </w:r>
            <w:r w:rsidR="00527131" w:rsidRPr="00E547C6">
              <w:t xml:space="preserve"> is planning it</w:t>
            </w:r>
            <w:r w:rsidRPr="00E547C6">
              <w:t xml:space="preserve">s </w:t>
            </w:r>
            <w:r w:rsidR="00527131" w:rsidRPr="00E547C6">
              <w:t>next River Reflections</w:t>
            </w:r>
            <w:r w:rsidR="00580017" w:rsidRPr="00E547C6">
              <w:t xml:space="preserve"> annual water</w:t>
            </w:r>
            <w:r w:rsidR="00527131" w:rsidRPr="00E547C6">
              <w:t xml:space="preserve"> </w:t>
            </w:r>
            <w:r w:rsidRPr="00E547C6">
              <w:t>conference</w:t>
            </w:r>
            <w:r w:rsidR="005824D8">
              <w:t>,</w:t>
            </w:r>
            <w:r w:rsidR="00580017" w:rsidRPr="00E547C6">
              <w:t xml:space="preserve"> which will take place in Mildura from 1- 2 June 2022. This conference will be </w:t>
            </w:r>
            <w:r w:rsidRPr="00E547C6">
              <w:t xml:space="preserve">another opportunity </w:t>
            </w:r>
            <w:r w:rsidR="00527131" w:rsidRPr="00E547C6">
              <w:t>for</w:t>
            </w:r>
            <w:r w:rsidRPr="00E547C6">
              <w:t xml:space="preserve"> Basin communities </w:t>
            </w:r>
            <w:r w:rsidR="00580017" w:rsidRPr="00E547C6">
              <w:t xml:space="preserve">and industries </w:t>
            </w:r>
            <w:r w:rsidR="00527131" w:rsidRPr="00E547C6">
              <w:t xml:space="preserve">to </w:t>
            </w:r>
            <w:r w:rsidR="00580017" w:rsidRPr="00E547C6">
              <w:t>share innovations in water management, knowledge and lessons learned and celebrate achievements in water reform.</w:t>
            </w:r>
          </w:p>
          <w:p w14:paraId="416B73C8" w14:textId="77777777" w:rsidR="006A13A5" w:rsidRPr="00E547C6" w:rsidRDefault="006A13A5" w:rsidP="000D54FB">
            <w:pPr>
              <w:pStyle w:val="TableText"/>
            </w:pPr>
            <w:r>
              <w:t xml:space="preserve">The Murray–Darling Basin Economic Development Grants and the Healthy Rivers Grants are examples of programs designed to ensure Basin Plan benefits extend to all communities. </w:t>
            </w:r>
          </w:p>
        </w:tc>
      </w:tr>
      <w:tr w:rsidR="00A166FF" w14:paraId="02449712" w14:textId="77777777" w:rsidTr="00A166FF">
        <w:tc>
          <w:tcPr>
            <w:tcW w:w="436" w:type="pct"/>
            <w:vMerge/>
            <w:tcMar>
              <w:left w:w="108" w:type="dxa"/>
              <w:right w:w="108" w:type="dxa"/>
            </w:tcMar>
          </w:tcPr>
          <w:p w14:paraId="50E5486A" w14:textId="77777777" w:rsidR="00A166FF" w:rsidRPr="003B51CE" w:rsidRDefault="00A166FF" w:rsidP="000D54FB">
            <w:pPr>
              <w:pStyle w:val="TableText"/>
            </w:pPr>
          </w:p>
        </w:tc>
        <w:tc>
          <w:tcPr>
            <w:tcW w:w="1239" w:type="pct"/>
            <w:tcMar>
              <w:left w:w="108" w:type="dxa"/>
              <w:right w:w="108" w:type="dxa"/>
            </w:tcMar>
          </w:tcPr>
          <w:p w14:paraId="0717EE3E" w14:textId="77777777" w:rsidR="00A166FF" w:rsidRPr="003B51CE" w:rsidRDefault="00A166FF" w:rsidP="000D54FB">
            <w:pPr>
              <w:pStyle w:val="TableText"/>
            </w:pPr>
            <w:r w:rsidRPr="003B51CE">
              <w:t>Lead the Murray-Darling Basin Ministerial Council in empowering communities to determine their own future and to keep governments accountable.</w:t>
            </w:r>
          </w:p>
        </w:tc>
        <w:tc>
          <w:tcPr>
            <w:tcW w:w="324" w:type="pct"/>
            <w:tcMar>
              <w:left w:w="108" w:type="dxa"/>
              <w:right w:w="108" w:type="dxa"/>
            </w:tcMar>
          </w:tcPr>
          <w:p w14:paraId="3C1B6AEF" w14:textId="77777777" w:rsidR="00A166FF" w:rsidRPr="003B51CE" w:rsidRDefault="00A166FF" w:rsidP="000D54FB">
            <w:pPr>
              <w:pStyle w:val="TableText"/>
            </w:pPr>
          </w:p>
        </w:tc>
        <w:tc>
          <w:tcPr>
            <w:tcW w:w="505" w:type="pct"/>
          </w:tcPr>
          <w:p w14:paraId="02E22553" w14:textId="77777777" w:rsidR="00A166FF" w:rsidRDefault="00A166FF" w:rsidP="000D54FB">
            <w:pPr>
              <w:pStyle w:val="TableText"/>
            </w:pPr>
            <w:r>
              <w:t>ONGOING</w:t>
            </w:r>
          </w:p>
        </w:tc>
        <w:tc>
          <w:tcPr>
            <w:tcW w:w="2496" w:type="pct"/>
          </w:tcPr>
          <w:p w14:paraId="38BE941B" w14:textId="77777777" w:rsidR="00A166FF" w:rsidRDefault="00E4421F" w:rsidP="000D54FB">
            <w:pPr>
              <w:pStyle w:val="TableText"/>
            </w:pPr>
            <w:r>
              <w:t>The</w:t>
            </w:r>
            <w:r w:rsidR="00663E38">
              <w:t xml:space="preserve"> </w:t>
            </w:r>
            <w:r w:rsidR="00A166FF">
              <w:t xml:space="preserve">Ministerial Council </w:t>
            </w:r>
            <w:r w:rsidR="006A13A5">
              <w:t>meet</w:t>
            </w:r>
            <w:r w:rsidR="00AB2D3B">
              <w:t>s</w:t>
            </w:r>
            <w:r w:rsidR="006A13A5">
              <w:t xml:space="preserve"> as needed</w:t>
            </w:r>
            <w:r w:rsidR="0028442B">
              <w:t xml:space="preserve"> and</w:t>
            </w:r>
            <w:r w:rsidR="006A13A5">
              <w:t xml:space="preserve"> </w:t>
            </w:r>
            <w:r w:rsidR="004A113D">
              <w:t>progress</w:t>
            </w:r>
            <w:r w:rsidR="0028442B">
              <w:t xml:space="preserve">es matters </w:t>
            </w:r>
            <w:r w:rsidR="00240A5A">
              <w:t>out of session and through the Basin Official Committee.</w:t>
            </w:r>
            <w:r w:rsidR="0028442B">
              <w:t xml:space="preserve"> </w:t>
            </w:r>
          </w:p>
        </w:tc>
      </w:tr>
      <w:tr w:rsidR="00A166FF" w14:paraId="24A8BDAE" w14:textId="77777777" w:rsidTr="00A166FF">
        <w:tc>
          <w:tcPr>
            <w:tcW w:w="436" w:type="pct"/>
            <w:vMerge/>
            <w:tcMar>
              <w:left w:w="108" w:type="dxa"/>
              <w:right w:w="108" w:type="dxa"/>
            </w:tcMar>
          </w:tcPr>
          <w:p w14:paraId="1C644E0E" w14:textId="77777777" w:rsidR="00A166FF" w:rsidRPr="003B51CE" w:rsidRDefault="00A166FF" w:rsidP="000D54FB">
            <w:pPr>
              <w:pStyle w:val="TableText"/>
            </w:pPr>
          </w:p>
        </w:tc>
        <w:tc>
          <w:tcPr>
            <w:tcW w:w="1239" w:type="pct"/>
            <w:tcMar>
              <w:left w:w="108" w:type="dxa"/>
              <w:right w:w="108" w:type="dxa"/>
            </w:tcMar>
          </w:tcPr>
          <w:p w14:paraId="4F1331A0" w14:textId="77777777" w:rsidR="00A166FF" w:rsidRPr="003B51CE" w:rsidRDefault="00A166FF" w:rsidP="000D54FB">
            <w:pPr>
              <w:pStyle w:val="TableText"/>
            </w:pPr>
            <w:r w:rsidRPr="003B51CE">
              <w:t>Report 3 times a year on progress against the Package.</w:t>
            </w:r>
          </w:p>
        </w:tc>
        <w:tc>
          <w:tcPr>
            <w:tcW w:w="324" w:type="pct"/>
            <w:tcMar>
              <w:left w:w="108" w:type="dxa"/>
              <w:right w:w="108" w:type="dxa"/>
            </w:tcMar>
          </w:tcPr>
          <w:p w14:paraId="2E639CFF" w14:textId="77777777" w:rsidR="00A166FF" w:rsidRPr="003B51CE" w:rsidRDefault="00A166FF" w:rsidP="000D54FB">
            <w:pPr>
              <w:pStyle w:val="TableText"/>
            </w:pPr>
          </w:p>
        </w:tc>
        <w:tc>
          <w:tcPr>
            <w:tcW w:w="505" w:type="pct"/>
          </w:tcPr>
          <w:p w14:paraId="3E8A9C42" w14:textId="77777777" w:rsidR="00A166FF" w:rsidDel="00700BCA" w:rsidRDefault="00A166FF" w:rsidP="000D54FB">
            <w:pPr>
              <w:pStyle w:val="TableText"/>
            </w:pPr>
            <w:r>
              <w:t>ONGOING</w:t>
            </w:r>
          </w:p>
        </w:tc>
        <w:tc>
          <w:tcPr>
            <w:tcW w:w="2496" w:type="pct"/>
          </w:tcPr>
          <w:p w14:paraId="66995D9A" w14:textId="77777777" w:rsidR="00A166FF" w:rsidRDefault="00A166FF" w:rsidP="000D54FB">
            <w:pPr>
              <w:pStyle w:val="TableText"/>
            </w:pPr>
            <w:r>
              <w:t xml:space="preserve">This is the </w:t>
            </w:r>
            <w:r w:rsidR="0034262C">
              <w:t xml:space="preserve">third </w:t>
            </w:r>
            <w:r>
              <w:t>report</w:t>
            </w:r>
            <w:r w:rsidRPr="003B51CE">
              <w:t>.</w:t>
            </w:r>
          </w:p>
        </w:tc>
      </w:tr>
      <w:tr w:rsidR="00A166FF" w14:paraId="35FE904A" w14:textId="77777777" w:rsidTr="00A166FF">
        <w:tc>
          <w:tcPr>
            <w:tcW w:w="436" w:type="pct"/>
            <w:vMerge/>
            <w:tcMar>
              <w:left w:w="108" w:type="dxa"/>
              <w:right w:w="108" w:type="dxa"/>
            </w:tcMar>
          </w:tcPr>
          <w:p w14:paraId="788182CA" w14:textId="77777777" w:rsidR="00A166FF" w:rsidRPr="003B51CE" w:rsidRDefault="00A166FF" w:rsidP="000D54FB">
            <w:pPr>
              <w:pStyle w:val="TableText"/>
            </w:pPr>
          </w:p>
        </w:tc>
        <w:tc>
          <w:tcPr>
            <w:tcW w:w="1239" w:type="pct"/>
            <w:tcMar>
              <w:left w:w="108" w:type="dxa"/>
              <w:right w:w="108" w:type="dxa"/>
            </w:tcMar>
          </w:tcPr>
          <w:p w14:paraId="1B8383A2" w14:textId="77777777" w:rsidR="00A166FF" w:rsidRPr="003B51CE" w:rsidRDefault="00A166FF" w:rsidP="000D54FB">
            <w:pPr>
              <w:pStyle w:val="TableText"/>
            </w:pPr>
            <w:r w:rsidRPr="003B51CE">
              <w:t>Use the outcomes of the Sefton report to inform future work and decisions on implementing the Basin Plan.</w:t>
            </w:r>
          </w:p>
        </w:tc>
        <w:tc>
          <w:tcPr>
            <w:tcW w:w="324" w:type="pct"/>
            <w:tcMar>
              <w:left w:w="108" w:type="dxa"/>
              <w:right w:w="108" w:type="dxa"/>
            </w:tcMar>
          </w:tcPr>
          <w:p w14:paraId="1F5DA842" w14:textId="77777777" w:rsidR="00A166FF" w:rsidRPr="003B51CE" w:rsidRDefault="00A166FF" w:rsidP="000D54FB">
            <w:pPr>
              <w:pStyle w:val="TableText"/>
            </w:pPr>
          </w:p>
        </w:tc>
        <w:tc>
          <w:tcPr>
            <w:tcW w:w="505" w:type="pct"/>
          </w:tcPr>
          <w:p w14:paraId="670CAD9D" w14:textId="77777777" w:rsidR="00A166FF" w:rsidRDefault="00A04F0C" w:rsidP="000D54FB">
            <w:pPr>
              <w:pStyle w:val="TableText"/>
            </w:pPr>
            <w:r>
              <w:t>COMPLETE</w:t>
            </w:r>
          </w:p>
        </w:tc>
        <w:tc>
          <w:tcPr>
            <w:tcW w:w="2496" w:type="pct"/>
          </w:tcPr>
          <w:p w14:paraId="6C6D3E5E" w14:textId="77777777" w:rsidR="00A166FF" w:rsidRDefault="00A166FF" w:rsidP="000D54FB">
            <w:pPr>
              <w:pStyle w:val="TableText"/>
            </w:pPr>
            <w:r>
              <w:t>The</w:t>
            </w:r>
            <w:r w:rsidR="000535C8">
              <w:t xml:space="preserve"> Sefton report continues to inform </w:t>
            </w:r>
            <w:r>
              <w:t>policy and program</w:t>
            </w:r>
            <w:r w:rsidR="00297B36">
              <w:t xml:space="preserve"> design and implementation</w:t>
            </w:r>
            <w:r>
              <w:t>.</w:t>
            </w:r>
          </w:p>
        </w:tc>
      </w:tr>
      <w:tr w:rsidR="00A166FF" w14:paraId="2AAC166A" w14:textId="77777777" w:rsidTr="00E3247D">
        <w:trPr>
          <w:trHeight w:val="766"/>
        </w:trPr>
        <w:tc>
          <w:tcPr>
            <w:tcW w:w="436" w:type="pct"/>
            <w:vMerge/>
            <w:tcMar>
              <w:left w:w="108" w:type="dxa"/>
              <w:right w:w="108" w:type="dxa"/>
            </w:tcMar>
          </w:tcPr>
          <w:p w14:paraId="01F22F58" w14:textId="77777777" w:rsidR="00A166FF" w:rsidRPr="003B51CE" w:rsidRDefault="00A166FF" w:rsidP="000D54FB">
            <w:pPr>
              <w:pStyle w:val="TableText"/>
            </w:pPr>
          </w:p>
        </w:tc>
        <w:tc>
          <w:tcPr>
            <w:tcW w:w="1239" w:type="pct"/>
            <w:tcMar>
              <w:left w:w="108" w:type="dxa"/>
              <w:right w:w="108" w:type="dxa"/>
            </w:tcMar>
          </w:tcPr>
          <w:p w14:paraId="430EE8E2" w14:textId="77777777" w:rsidR="00A166FF" w:rsidRPr="00E547C6" w:rsidRDefault="00A166FF" w:rsidP="000D54FB">
            <w:pPr>
              <w:pStyle w:val="TableText"/>
            </w:pPr>
            <w:r w:rsidRPr="00E547C6">
              <w:t>Appointed Air Chief Marshal Sir Angus Houston AK, AFC (</w:t>
            </w:r>
            <w:proofErr w:type="spellStart"/>
            <w:r w:rsidRPr="00E547C6">
              <w:t>Ret’d</w:t>
            </w:r>
            <w:proofErr w:type="spellEnd"/>
            <w:r w:rsidRPr="00E547C6">
              <w:t>) to provide strong and strategic leadership as Chair of the Murray–Darling Basin Authority.</w:t>
            </w:r>
          </w:p>
        </w:tc>
        <w:tc>
          <w:tcPr>
            <w:tcW w:w="324" w:type="pct"/>
            <w:tcMar>
              <w:left w:w="108" w:type="dxa"/>
              <w:right w:w="108" w:type="dxa"/>
            </w:tcMar>
          </w:tcPr>
          <w:p w14:paraId="2E08FC7F" w14:textId="77777777" w:rsidR="00A166FF" w:rsidRPr="00E547C6" w:rsidRDefault="00A166FF" w:rsidP="000D54FB">
            <w:pPr>
              <w:pStyle w:val="TableText"/>
            </w:pPr>
          </w:p>
        </w:tc>
        <w:tc>
          <w:tcPr>
            <w:tcW w:w="505" w:type="pct"/>
          </w:tcPr>
          <w:p w14:paraId="29CB6F2D" w14:textId="77777777" w:rsidR="00A166FF" w:rsidRPr="00E547C6" w:rsidRDefault="00A166FF" w:rsidP="000D54FB">
            <w:pPr>
              <w:pStyle w:val="TableText"/>
            </w:pPr>
            <w:r w:rsidRPr="00E547C6">
              <w:t>COMPLETE</w:t>
            </w:r>
          </w:p>
        </w:tc>
        <w:tc>
          <w:tcPr>
            <w:tcW w:w="2496" w:type="pct"/>
          </w:tcPr>
          <w:p w14:paraId="7C74DF6B" w14:textId="77777777" w:rsidR="00A166FF" w:rsidRPr="00E547C6" w:rsidRDefault="004E2D1E" w:rsidP="000D54FB">
            <w:pPr>
              <w:pStyle w:val="TableText"/>
            </w:pPr>
            <w:r w:rsidRPr="00E547C6">
              <w:t xml:space="preserve">While COVID restrictions impacted the number of face-to-face meetings in 2021 </w:t>
            </w:r>
            <w:r w:rsidR="00A166FF" w:rsidRPr="00E547C6">
              <w:t>Sir Angus Houston continue</w:t>
            </w:r>
            <w:r w:rsidRPr="00E547C6">
              <w:t>d</w:t>
            </w:r>
            <w:r w:rsidR="00A166FF" w:rsidRPr="00E547C6">
              <w:t xml:space="preserve"> to meet with a cross section of stakeholders virtually and in person.</w:t>
            </w:r>
            <w:r w:rsidR="00A161E8" w:rsidRPr="00E547C6">
              <w:t xml:space="preserve"> </w:t>
            </w:r>
          </w:p>
        </w:tc>
      </w:tr>
      <w:tr w:rsidR="00A166FF" w14:paraId="5B2CF165" w14:textId="77777777" w:rsidTr="00C92306">
        <w:trPr>
          <w:trHeight w:val="905"/>
        </w:trPr>
        <w:tc>
          <w:tcPr>
            <w:tcW w:w="436" w:type="pct"/>
            <w:vMerge w:val="restart"/>
            <w:tcMar>
              <w:left w:w="108" w:type="dxa"/>
              <w:right w:w="108" w:type="dxa"/>
            </w:tcMar>
          </w:tcPr>
          <w:p w14:paraId="26E4B4CE" w14:textId="77777777" w:rsidR="00A166FF" w:rsidRPr="003B51CE" w:rsidRDefault="00A166FF" w:rsidP="000D54FB">
            <w:pPr>
              <w:pStyle w:val="TableText"/>
            </w:pPr>
            <w:bookmarkStart w:id="1" w:name="_Hlk95394620"/>
            <w:bookmarkStart w:id="2" w:name="_Hlk66803836"/>
            <w:r w:rsidRPr="003B51CE">
              <w:t>Ensuring stronger compliance</w:t>
            </w:r>
          </w:p>
        </w:tc>
        <w:tc>
          <w:tcPr>
            <w:tcW w:w="1239" w:type="pct"/>
            <w:tcMar>
              <w:left w:w="108" w:type="dxa"/>
              <w:right w:w="108" w:type="dxa"/>
            </w:tcMar>
          </w:tcPr>
          <w:p w14:paraId="2EF90393" w14:textId="77777777" w:rsidR="00A166FF" w:rsidRPr="003B51CE" w:rsidRDefault="00A166FF" w:rsidP="000D54FB">
            <w:pPr>
              <w:pStyle w:val="TableText"/>
            </w:pPr>
            <w:r w:rsidRPr="003B51CE">
              <w:t>Establish a statutory and independent Inspector-General of Water Compliance. This will bring together the water compliance role of the Murray–Darling Basin Authority with the assurance role of the Interim Inspector-General of Murray–Darling Basin Water Resources.</w:t>
            </w:r>
          </w:p>
        </w:tc>
        <w:tc>
          <w:tcPr>
            <w:tcW w:w="324" w:type="pct"/>
            <w:tcMar>
              <w:left w:w="108" w:type="dxa"/>
              <w:right w:w="108" w:type="dxa"/>
            </w:tcMar>
          </w:tcPr>
          <w:p w14:paraId="220AF5D9" w14:textId="77777777" w:rsidR="00A166FF" w:rsidRPr="003B51CE" w:rsidRDefault="00A166FF" w:rsidP="000D54FB">
            <w:pPr>
              <w:pStyle w:val="TableText"/>
            </w:pPr>
            <w:r w:rsidRPr="003B51CE">
              <w:t>Q3 2021</w:t>
            </w:r>
            <w:r>
              <w:t xml:space="preserve"> </w:t>
            </w:r>
          </w:p>
        </w:tc>
        <w:tc>
          <w:tcPr>
            <w:tcW w:w="505" w:type="pct"/>
          </w:tcPr>
          <w:p w14:paraId="19863856" w14:textId="77777777" w:rsidR="00A166FF" w:rsidRPr="001D74E4" w:rsidRDefault="00A166FF" w:rsidP="000D54FB">
            <w:pPr>
              <w:pStyle w:val="TableText"/>
            </w:pPr>
            <w:r>
              <w:t>COMPLETE</w:t>
            </w:r>
          </w:p>
        </w:tc>
        <w:tc>
          <w:tcPr>
            <w:tcW w:w="2496" w:type="pct"/>
            <w:shd w:val="clear" w:color="auto" w:fill="auto"/>
          </w:tcPr>
          <w:p w14:paraId="3BCEC736" w14:textId="77777777" w:rsidR="0098028C" w:rsidRPr="00C92306" w:rsidRDefault="0098028C" w:rsidP="0098028C">
            <w:pPr>
              <w:pStyle w:val="TableText"/>
            </w:pPr>
            <w:r w:rsidRPr="00C92306">
              <w:t xml:space="preserve">The statutory Office of the Inspector General of Water Compliance was established on 5 August with offices located at 5 regional locations across the Murray-Darling Basin: Loxton (SA), Mildura (VIC), Albury (NSW </w:t>
            </w:r>
            <w:proofErr w:type="spellStart"/>
            <w:r w:rsidRPr="00C92306">
              <w:t>Sth</w:t>
            </w:r>
            <w:proofErr w:type="spellEnd"/>
            <w:r w:rsidRPr="00C92306">
              <w:t>), Dubbo (NSW Nth) and Goondiwindi (QLD).</w:t>
            </w:r>
          </w:p>
          <w:p w14:paraId="77CEFF81" w14:textId="06BD266E" w:rsidR="00A166FF" w:rsidRPr="003B51CE" w:rsidRDefault="0098028C" w:rsidP="0098028C">
            <w:pPr>
              <w:pStyle w:val="TableText"/>
            </w:pPr>
            <w:r w:rsidRPr="00C92306">
              <w:t>There are currently 7 investigations underway and 5 audits relating to compliance matters. The Inspector-General of Water Compliance, Mr Troy Grant, has continued meeting with stakeholders across the Basin, speaking with more than 200 people since his appointment to the interim role.</w:t>
            </w:r>
          </w:p>
        </w:tc>
      </w:tr>
      <w:bookmarkEnd w:id="1"/>
      <w:tr w:rsidR="00A166FF" w14:paraId="1DFC2DD0" w14:textId="77777777" w:rsidTr="00A166FF">
        <w:trPr>
          <w:trHeight w:val="905"/>
        </w:trPr>
        <w:tc>
          <w:tcPr>
            <w:tcW w:w="436" w:type="pct"/>
            <w:vMerge/>
            <w:tcMar>
              <w:left w:w="108" w:type="dxa"/>
              <w:right w:w="108" w:type="dxa"/>
            </w:tcMar>
          </w:tcPr>
          <w:p w14:paraId="6635A181" w14:textId="77777777" w:rsidR="00A166FF" w:rsidRPr="003B51CE" w:rsidRDefault="00A166FF" w:rsidP="000D54FB">
            <w:pPr>
              <w:pStyle w:val="TableText"/>
            </w:pPr>
          </w:p>
        </w:tc>
        <w:tc>
          <w:tcPr>
            <w:tcW w:w="1239" w:type="pct"/>
            <w:tcMar>
              <w:left w:w="108" w:type="dxa"/>
              <w:right w:w="108" w:type="dxa"/>
            </w:tcMar>
          </w:tcPr>
          <w:p w14:paraId="3281CEB2" w14:textId="77777777" w:rsidR="00A166FF" w:rsidRPr="003B51CE" w:rsidRDefault="00A166FF" w:rsidP="000D54FB">
            <w:pPr>
              <w:pStyle w:val="TableText"/>
            </w:pPr>
            <w:r w:rsidRPr="003B51CE">
              <w:t>Deliver $38.7 million to improve Commonwealth water compliance functions</w:t>
            </w:r>
            <w:r w:rsidRPr="00B1168C">
              <w:t>. This builds on the Commonwealth’s existing commitment of $60 million for improvements in water metering and remote sensing.</w:t>
            </w:r>
          </w:p>
        </w:tc>
        <w:tc>
          <w:tcPr>
            <w:tcW w:w="324" w:type="pct"/>
            <w:tcMar>
              <w:left w:w="108" w:type="dxa"/>
              <w:right w:w="108" w:type="dxa"/>
            </w:tcMar>
          </w:tcPr>
          <w:p w14:paraId="38E34DAB" w14:textId="77777777" w:rsidR="00A166FF" w:rsidRPr="003B51CE" w:rsidRDefault="00A166FF" w:rsidP="000D54FB">
            <w:pPr>
              <w:pStyle w:val="TableText"/>
            </w:pPr>
            <w:r w:rsidRPr="003B51CE">
              <w:t>Q3 2021</w:t>
            </w:r>
            <w:r>
              <w:t xml:space="preserve"> </w:t>
            </w:r>
          </w:p>
        </w:tc>
        <w:tc>
          <w:tcPr>
            <w:tcW w:w="505" w:type="pct"/>
          </w:tcPr>
          <w:p w14:paraId="03276C25" w14:textId="77777777" w:rsidR="00A166FF" w:rsidRPr="001D74E4" w:rsidRDefault="00A166FF" w:rsidP="000D54FB">
            <w:pPr>
              <w:pStyle w:val="TableText"/>
            </w:pPr>
            <w:r>
              <w:t>COMPLETE</w:t>
            </w:r>
          </w:p>
        </w:tc>
        <w:tc>
          <w:tcPr>
            <w:tcW w:w="2496" w:type="pct"/>
          </w:tcPr>
          <w:p w14:paraId="1A6C84CF" w14:textId="77777777" w:rsidR="00217A58" w:rsidRPr="00217A58" w:rsidRDefault="00217A58" w:rsidP="00217A58">
            <w:pPr>
              <w:pStyle w:val="TableText"/>
            </w:pPr>
            <w:r w:rsidRPr="00217A58">
              <w:t>The Office of the Inspector General for Water Compliance reviews and audits water resource management compliance</w:t>
            </w:r>
            <w:r w:rsidR="002B21C7">
              <w:t>. Current reviews</w:t>
            </w:r>
            <w:r w:rsidRPr="00217A58">
              <w:t xml:space="preserve"> includ</w:t>
            </w:r>
            <w:r w:rsidR="002B21C7">
              <w:t>e</w:t>
            </w:r>
            <w:r w:rsidRPr="00217A58">
              <w:t>:</w:t>
            </w:r>
          </w:p>
          <w:p w14:paraId="502FC9F9" w14:textId="77777777" w:rsidR="00217A58" w:rsidRPr="00217A58" w:rsidRDefault="00217A58" w:rsidP="00217A58">
            <w:pPr>
              <w:pStyle w:val="TableText"/>
              <w:numPr>
                <w:ilvl w:val="0"/>
                <w:numId w:val="43"/>
              </w:numPr>
            </w:pPr>
            <w:r w:rsidRPr="00217A58">
              <w:t xml:space="preserve">the use of water for the environment held by the Commonwealth Environmental Water Holder, including the transparency around how the water is </w:t>
            </w:r>
            <w:proofErr w:type="gramStart"/>
            <w:r w:rsidRPr="00217A58">
              <w:t>used</w:t>
            </w:r>
            <w:proofErr w:type="gramEnd"/>
            <w:r w:rsidRPr="00217A58">
              <w:t xml:space="preserve"> and the outcomes achieved</w:t>
            </w:r>
          </w:p>
          <w:p w14:paraId="54643EF5" w14:textId="77777777" w:rsidR="00217A58" w:rsidRPr="00217A58" w:rsidRDefault="00217A58" w:rsidP="00217A58">
            <w:pPr>
              <w:pStyle w:val="TableText"/>
              <w:numPr>
                <w:ilvl w:val="0"/>
                <w:numId w:val="43"/>
              </w:numPr>
            </w:pPr>
            <w:r w:rsidRPr="00217A58">
              <w:lastRenderedPageBreak/>
              <w:t>Basin states approach to water compliance and performance of their enforcement systems</w:t>
            </w:r>
          </w:p>
          <w:p w14:paraId="24D00D41" w14:textId="77777777" w:rsidR="00217A58" w:rsidRPr="00217A58" w:rsidRDefault="00217A58" w:rsidP="00217A58">
            <w:pPr>
              <w:pStyle w:val="TableText"/>
              <w:numPr>
                <w:ilvl w:val="0"/>
                <w:numId w:val="43"/>
              </w:numPr>
            </w:pPr>
            <w:r w:rsidRPr="00217A58">
              <w:t>the adequacy of the processes used to measure and account for water in the River Murray and the lower Darling, and how this informs decisions about river operations.</w:t>
            </w:r>
          </w:p>
          <w:p w14:paraId="5C993EB1" w14:textId="77777777" w:rsidR="00A166FF" w:rsidRDefault="00217A58" w:rsidP="00217A58">
            <w:pPr>
              <w:pStyle w:val="TableText"/>
            </w:pPr>
            <w:r w:rsidRPr="00217A58">
              <w:t xml:space="preserve">These will be published on the Office’s </w:t>
            </w:r>
            <w:hyperlink r:id="rId19" w:history="1">
              <w:r w:rsidRPr="00217A58">
                <w:rPr>
                  <w:rStyle w:val="Hyperlink"/>
                </w:rPr>
                <w:t>website</w:t>
              </w:r>
            </w:hyperlink>
            <w:r w:rsidRPr="00217A58">
              <w:t>.</w:t>
            </w:r>
          </w:p>
          <w:p w14:paraId="7E070276" w14:textId="1AD8DEDE" w:rsidR="0097691B" w:rsidRPr="00B1168C" w:rsidRDefault="0097691B" w:rsidP="00217A58">
            <w:pPr>
              <w:pStyle w:val="TableText"/>
            </w:pPr>
            <w:r w:rsidRPr="00B1168C">
              <w:t>The existing $60</w:t>
            </w:r>
            <w:r w:rsidR="00B1168C" w:rsidRPr="00B1168C">
              <w:t xml:space="preserve"> </w:t>
            </w:r>
            <w:r w:rsidRPr="00B1168C">
              <w:t>m</w:t>
            </w:r>
            <w:r w:rsidR="00B1168C" w:rsidRPr="00B1168C">
              <w:t>illion</w:t>
            </w:r>
            <w:r w:rsidRPr="00B1168C">
              <w:t xml:space="preserve"> Commonwealth commitment </w:t>
            </w:r>
            <w:r w:rsidR="00B1168C" w:rsidRPr="00B1168C">
              <w:t xml:space="preserve">centres on </w:t>
            </w:r>
            <w:r w:rsidRPr="00B1168C">
              <w:t>the northern Basin</w:t>
            </w:r>
            <w:r w:rsidR="00B1168C" w:rsidRPr="00B1168C">
              <w:t xml:space="preserve"> with a $25 million metering program that is improving water information for users, providing metering and telemetry subsidies, and, in NSW</w:t>
            </w:r>
            <w:r w:rsidR="00E36221">
              <w:t>,</w:t>
            </w:r>
            <w:r w:rsidR="00B1168C" w:rsidRPr="00B1168C">
              <w:t xml:space="preserve"> delivering Aboriginal metering traineeships. The $35 million hydrometrics and remote sensing program is improving public water information and delivering enhanced cross border measurement and compliance capabilities. </w:t>
            </w:r>
          </w:p>
          <w:p w14:paraId="6DF653DD" w14:textId="77777777" w:rsidR="00393EDA" w:rsidRDefault="00393EDA" w:rsidP="00B1168C">
            <w:pPr>
              <w:pStyle w:val="TableText"/>
              <w:ind w:left="720"/>
            </w:pPr>
          </w:p>
        </w:tc>
      </w:tr>
      <w:bookmarkEnd w:id="2"/>
      <w:tr w:rsidR="00A166FF" w14:paraId="5627F96C" w14:textId="77777777" w:rsidTr="00A166FF">
        <w:tc>
          <w:tcPr>
            <w:tcW w:w="436" w:type="pct"/>
            <w:tcMar>
              <w:left w:w="108" w:type="dxa"/>
              <w:right w:w="108" w:type="dxa"/>
            </w:tcMar>
          </w:tcPr>
          <w:p w14:paraId="6E764705" w14:textId="77777777" w:rsidR="00A166FF" w:rsidRPr="00E547C6" w:rsidRDefault="00A166FF" w:rsidP="000D54FB">
            <w:pPr>
              <w:pStyle w:val="TableText"/>
            </w:pPr>
            <w:r w:rsidRPr="00E547C6">
              <w:lastRenderedPageBreak/>
              <w:t>Providing better information</w:t>
            </w:r>
          </w:p>
        </w:tc>
        <w:tc>
          <w:tcPr>
            <w:tcW w:w="1239" w:type="pct"/>
            <w:tcMar>
              <w:left w:w="108" w:type="dxa"/>
              <w:right w:w="108" w:type="dxa"/>
            </w:tcMar>
          </w:tcPr>
          <w:p w14:paraId="4A8F8F70" w14:textId="77777777" w:rsidR="00A166FF" w:rsidRPr="00E547C6" w:rsidRDefault="00A166FF" w:rsidP="000D54FB">
            <w:pPr>
              <w:pStyle w:val="TableText"/>
            </w:pPr>
            <w:r w:rsidRPr="00E547C6">
              <w:t>Bring together water information from across governments in a more accessible format for water users and communities.</w:t>
            </w:r>
          </w:p>
          <w:p w14:paraId="007EA903" w14:textId="77777777" w:rsidR="00A166FF" w:rsidRPr="00E547C6" w:rsidRDefault="00A166FF">
            <w:pPr>
              <w:pStyle w:val="TableText"/>
            </w:pPr>
            <w:r w:rsidRPr="00E547C6">
              <w:t xml:space="preserve">The detailed platform will provide a one-stop shop for water storage, in-stream </w:t>
            </w:r>
            <w:proofErr w:type="gramStart"/>
            <w:r w:rsidRPr="00E547C6">
              <w:t>flows</w:t>
            </w:r>
            <w:proofErr w:type="gramEnd"/>
            <w:r w:rsidRPr="00E547C6">
              <w:t xml:space="preserve"> and trade information.</w:t>
            </w:r>
            <w:r w:rsidR="008C46E8" w:rsidRPr="00E547C6">
              <w:t xml:space="preserve"> </w:t>
            </w:r>
            <w:r w:rsidRPr="00E547C6">
              <w:t>This builds on the existing investment of $4.9 million to the Bureau of Meteorology to improve real-time reporting on water flows.</w:t>
            </w:r>
          </w:p>
        </w:tc>
        <w:tc>
          <w:tcPr>
            <w:tcW w:w="324" w:type="pct"/>
            <w:tcMar>
              <w:left w:w="108" w:type="dxa"/>
              <w:right w:w="108" w:type="dxa"/>
            </w:tcMar>
          </w:tcPr>
          <w:p w14:paraId="16268C18" w14:textId="77777777" w:rsidR="00A166FF" w:rsidRPr="00E547C6" w:rsidRDefault="00A166FF" w:rsidP="000D54FB">
            <w:pPr>
              <w:pStyle w:val="TableText"/>
            </w:pPr>
            <w:r w:rsidRPr="00E547C6">
              <w:t xml:space="preserve">Q3 2021 </w:t>
            </w:r>
          </w:p>
        </w:tc>
        <w:tc>
          <w:tcPr>
            <w:tcW w:w="505" w:type="pct"/>
          </w:tcPr>
          <w:p w14:paraId="5FD92A71" w14:textId="77777777" w:rsidR="00A166FF" w:rsidRPr="00E547C6" w:rsidRDefault="00A166FF" w:rsidP="000D54FB">
            <w:pPr>
              <w:pStyle w:val="TableText"/>
            </w:pPr>
            <w:r w:rsidRPr="00E547C6">
              <w:t>COMPLETE</w:t>
            </w:r>
            <w:r w:rsidR="003A79FE" w:rsidRPr="00E547C6">
              <w:br/>
            </w:r>
          </w:p>
          <w:p w14:paraId="4F49AAF6" w14:textId="2602888D" w:rsidR="00112692" w:rsidRDefault="00112692" w:rsidP="000D54FB">
            <w:pPr>
              <w:pStyle w:val="TableText"/>
            </w:pPr>
          </w:p>
          <w:p w14:paraId="4A3D4790" w14:textId="77777777" w:rsidR="00E36221" w:rsidRPr="00E547C6" w:rsidRDefault="00E36221" w:rsidP="000D54FB">
            <w:pPr>
              <w:pStyle w:val="TableText"/>
            </w:pPr>
          </w:p>
          <w:p w14:paraId="583088F1" w14:textId="77777777" w:rsidR="00112692" w:rsidRPr="00E547C6" w:rsidRDefault="00112692" w:rsidP="000D54FB">
            <w:pPr>
              <w:pStyle w:val="TableText"/>
            </w:pPr>
          </w:p>
          <w:p w14:paraId="59025CC4" w14:textId="77777777" w:rsidR="00112692" w:rsidRPr="00E547C6" w:rsidRDefault="00112692" w:rsidP="000D54FB">
            <w:pPr>
              <w:pStyle w:val="TableText"/>
            </w:pPr>
            <w:r w:rsidRPr="00E547C6">
              <w:t>ONGOING</w:t>
            </w:r>
          </w:p>
        </w:tc>
        <w:tc>
          <w:tcPr>
            <w:tcW w:w="2496" w:type="pct"/>
          </w:tcPr>
          <w:p w14:paraId="4AADB587" w14:textId="77777777" w:rsidR="00112692" w:rsidRPr="00E547C6" w:rsidRDefault="00112692" w:rsidP="00112692">
            <w:pPr>
              <w:pStyle w:val="TableText"/>
            </w:pPr>
            <w:r w:rsidRPr="00E547C6">
              <w:t xml:space="preserve">The first version of the </w:t>
            </w:r>
            <w:hyperlink r:id="rId20" w:history="1">
              <w:r w:rsidRPr="00E547C6">
                <w:rPr>
                  <w:rStyle w:val="Hyperlink"/>
                </w:rPr>
                <w:t>Murray–Darling Basin Water Information Portal</w:t>
              </w:r>
            </w:hyperlink>
            <w:r w:rsidRPr="00E547C6">
              <w:t xml:space="preserve"> was released by the Bureau of Meteorology on 30 June 2021. Updates are planned over the next 3 years to further improve the information for users. The portal brings together the work with New South Wales and Queensland, to improve northern Basin water information through the Enhanced Water Monitoring and Information Program.</w:t>
            </w:r>
          </w:p>
          <w:p w14:paraId="0519CC38" w14:textId="34A48156" w:rsidR="007869E9" w:rsidRPr="00E547C6" w:rsidRDefault="00112692" w:rsidP="007869E9">
            <w:pPr>
              <w:pStyle w:val="TableText"/>
            </w:pPr>
            <w:r w:rsidRPr="00E547C6">
              <w:t xml:space="preserve">In addition, the </w:t>
            </w:r>
            <w:r w:rsidR="007869E9" w:rsidRPr="00E547C6">
              <w:t>Australian Government is investing $6</w:t>
            </w:r>
            <w:r w:rsidR="00580017" w:rsidRPr="00E547C6">
              <w:t>6</w:t>
            </w:r>
            <w:r w:rsidR="007869E9" w:rsidRPr="00E547C6">
              <w:t xml:space="preserve"> million to upgrade </w:t>
            </w:r>
            <w:r w:rsidR="00560FB1" w:rsidRPr="00E547C6">
              <w:t xml:space="preserve">and integrate </w:t>
            </w:r>
            <w:r w:rsidR="007869E9" w:rsidRPr="00E547C6">
              <w:t xml:space="preserve">the Murray–Darling Basin’s 24 river models to help water managers make timelier, more </w:t>
            </w:r>
            <w:r w:rsidR="00E36221" w:rsidRPr="00E547C6">
              <w:t>reliable,</w:t>
            </w:r>
            <w:r w:rsidR="007869E9" w:rsidRPr="00E547C6">
              <w:t xml:space="preserve"> and transparent water management decisions. Part of the investment will include developing a public-facing portal, giving water users access to future-scenario information.</w:t>
            </w:r>
          </w:p>
          <w:p w14:paraId="49BC4175" w14:textId="77777777" w:rsidR="00ED2E17" w:rsidRPr="00E547C6" w:rsidRDefault="00ED2E17">
            <w:pPr>
              <w:pStyle w:val="TableText"/>
            </w:pPr>
          </w:p>
        </w:tc>
      </w:tr>
      <w:tr w:rsidR="00A166FF" w14:paraId="62832BA3" w14:textId="77777777" w:rsidTr="00A166FF">
        <w:trPr>
          <w:trHeight w:val="847"/>
        </w:trPr>
        <w:tc>
          <w:tcPr>
            <w:tcW w:w="436" w:type="pct"/>
            <w:vMerge w:val="restart"/>
            <w:tcMar>
              <w:left w:w="108" w:type="dxa"/>
              <w:right w:w="108" w:type="dxa"/>
            </w:tcMar>
          </w:tcPr>
          <w:p w14:paraId="56988EDB" w14:textId="77777777" w:rsidR="00A166FF" w:rsidRPr="00E547C6" w:rsidRDefault="00A166FF" w:rsidP="000D54FB">
            <w:pPr>
              <w:pStyle w:val="TableText"/>
              <w:rPr>
                <w:lang w:val="en-US"/>
              </w:rPr>
            </w:pPr>
            <w:r w:rsidRPr="00E547C6">
              <w:t>Better monitoring and reporting of social, economic and environment conditions</w:t>
            </w:r>
          </w:p>
        </w:tc>
        <w:tc>
          <w:tcPr>
            <w:tcW w:w="1239" w:type="pct"/>
            <w:tcMar>
              <w:left w:w="108" w:type="dxa"/>
              <w:right w:w="108" w:type="dxa"/>
            </w:tcMar>
          </w:tcPr>
          <w:p w14:paraId="35AD539B" w14:textId="77777777" w:rsidR="00A166FF" w:rsidRPr="00E547C6" w:rsidRDefault="00A166FF" w:rsidP="003647E2">
            <w:pPr>
              <w:pStyle w:val="TableText"/>
            </w:pPr>
            <w:r w:rsidRPr="00E547C6">
              <w:t xml:space="preserve">Deliver $7.5 million to monitor social, </w:t>
            </w:r>
            <w:proofErr w:type="gramStart"/>
            <w:r w:rsidRPr="00E547C6">
              <w:t>economic</w:t>
            </w:r>
            <w:proofErr w:type="gramEnd"/>
            <w:r w:rsidRPr="00E547C6">
              <w:t xml:space="preserve"> and environmental conditions in the Basin.</w:t>
            </w:r>
          </w:p>
        </w:tc>
        <w:tc>
          <w:tcPr>
            <w:tcW w:w="324" w:type="pct"/>
            <w:tcMar>
              <w:left w:w="108" w:type="dxa"/>
              <w:right w:w="108" w:type="dxa"/>
            </w:tcMar>
          </w:tcPr>
          <w:p w14:paraId="556D384D" w14:textId="77777777" w:rsidR="00A166FF" w:rsidRPr="00E547C6" w:rsidRDefault="00A166FF" w:rsidP="000D54FB">
            <w:pPr>
              <w:pStyle w:val="TableText"/>
            </w:pPr>
            <w:r w:rsidRPr="00E547C6">
              <w:t xml:space="preserve">Q3 2021 </w:t>
            </w:r>
          </w:p>
        </w:tc>
        <w:tc>
          <w:tcPr>
            <w:tcW w:w="505" w:type="pct"/>
          </w:tcPr>
          <w:p w14:paraId="5A15B764" w14:textId="77777777" w:rsidR="00A166FF" w:rsidRPr="00E547C6" w:rsidRDefault="00A166FF" w:rsidP="000D54FB">
            <w:pPr>
              <w:pStyle w:val="TableText"/>
            </w:pPr>
            <w:r w:rsidRPr="00E547C6">
              <w:t>ONGOING</w:t>
            </w:r>
          </w:p>
        </w:tc>
        <w:tc>
          <w:tcPr>
            <w:tcW w:w="2496" w:type="pct"/>
          </w:tcPr>
          <w:p w14:paraId="178EB579" w14:textId="77777777" w:rsidR="00A166FF" w:rsidRDefault="00A166FF" w:rsidP="000D54FB">
            <w:pPr>
              <w:pStyle w:val="TableText"/>
            </w:pPr>
            <w:r w:rsidRPr="00C92306">
              <w:t xml:space="preserve">The Murray–Darling Basin Authority </w:t>
            </w:r>
            <w:r w:rsidR="00CB3479" w:rsidRPr="00C92306">
              <w:t>has</w:t>
            </w:r>
            <w:r w:rsidR="00174D80" w:rsidRPr="00C92306">
              <w:t xml:space="preserve"> </w:t>
            </w:r>
            <w:r w:rsidR="00CB3479" w:rsidRPr="00C92306">
              <w:t>co-</w:t>
            </w:r>
            <w:r w:rsidR="00174D80" w:rsidRPr="00C92306">
              <w:t>desig</w:t>
            </w:r>
            <w:r w:rsidR="00CB3479" w:rsidRPr="00C92306">
              <w:t>ned</w:t>
            </w:r>
            <w:r w:rsidR="00174D80" w:rsidRPr="00C92306">
              <w:t xml:space="preserve"> the work program in partnership </w:t>
            </w:r>
            <w:r w:rsidR="00244C31" w:rsidRPr="00C92306">
              <w:t xml:space="preserve">with Basin communities through </w:t>
            </w:r>
            <w:r w:rsidR="00813DCB" w:rsidRPr="00C92306">
              <w:t>Regional Community Forums</w:t>
            </w:r>
            <w:r w:rsidR="00244C31" w:rsidRPr="00C92306">
              <w:t xml:space="preserve">. </w:t>
            </w:r>
            <w:r w:rsidR="001805BE" w:rsidRPr="00C92306">
              <w:t>Th</w:t>
            </w:r>
            <w:r w:rsidR="00534898" w:rsidRPr="00C92306">
              <w:t xml:space="preserve">ree rounds of </w:t>
            </w:r>
            <w:r w:rsidR="001805BE" w:rsidRPr="00C92306">
              <w:t>forums</w:t>
            </w:r>
            <w:r w:rsidR="00A23E71" w:rsidRPr="00C92306">
              <w:t xml:space="preserve"> were</w:t>
            </w:r>
            <w:r w:rsidR="00534898" w:rsidRPr="00C92306">
              <w:t xml:space="preserve"> </w:t>
            </w:r>
            <w:r w:rsidR="00A23E71" w:rsidRPr="00C92306">
              <w:t>held throughout 2021</w:t>
            </w:r>
            <w:r w:rsidR="00174D80" w:rsidRPr="00C92306">
              <w:t xml:space="preserve">around 5 themes: economic, social, cultural, </w:t>
            </w:r>
            <w:proofErr w:type="gramStart"/>
            <w:r w:rsidR="00174D80" w:rsidRPr="00C92306">
              <w:t>environmental</w:t>
            </w:r>
            <w:proofErr w:type="gramEnd"/>
            <w:r w:rsidR="00174D80" w:rsidRPr="00C92306">
              <w:t xml:space="preserve"> and hydrological. </w:t>
            </w:r>
            <w:r w:rsidR="005824D8" w:rsidRPr="00C92306">
              <w:t xml:space="preserve">Sixteen </w:t>
            </w:r>
            <w:r w:rsidR="00174D80" w:rsidRPr="00C92306">
              <w:t xml:space="preserve">projects </w:t>
            </w:r>
            <w:r w:rsidR="003F5F8A" w:rsidRPr="00C92306">
              <w:t>are being developed for approval</w:t>
            </w:r>
            <w:r w:rsidR="004620AF" w:rsidRPr="00C92306">
              <w:t xml:space="preserve">, with the final work program </w:t>
            </w:r>
            <w:r w:rsidR="0074508B" w:rsidRPr="00C92306">
              <w:t xml:space="preserve">expected </w:t>
            </w:r>
            <w:r w:rsidR="004620AF" w:rsidRPr="00C92306">
              <w:t>to be released in mid-2022</w:t>
            </w:r>
            <w:r w:rsidR="00174D80" w:rsidRPr="00C92306">
              <w:t xml:space="preserve">. </w:t>
            </w:r>
            <w:r w:rsidR="0017459D" w:rsidRPr="00C92306">
              <w:t>This collaborative approach has enable</w:t>
            </w:r>
            <w:r w:rsidR="00A23E71" w:rsidRPr="00C92306">
              <w:t>d</w:t>
            </w:r>
            <w:r w:rsidR="0017459D" w:rsidRPr="00C92306">
              <w:t xml:space="preserve"> community needs and feedback to be </w:t>
            </w:r>
            <w:r w:rsidR="00A23E71" w:rsidRPr="00C92306">
              <w:t>built</w:t>
            </w:r>
            <w:r w:rsidR="00582B1F" w:rsidRPr="00C92306">
              <w:t xml:space="preserve"> directly</w:t>
            </w:r>
            <w:r w:rsidR="00A23E71" w:rsidRPr="00C92306">
              <w:t xml:space="preserve"> into the monitoring program. </w:t>
            </w:r>
          </w:p>
          <w:p w14:paraId="0E2953DE" w14:textId="6FEAA37C" w:rsidR="00497348" w:rsidRPr="00C92306" w:rsidRDefault="00497348" w:rsidP="000D54FB">
            <w:pPr>
              <w:pStyle w:val="TableText"/>
            </w:pPr>
          </w:p>
        </w:tc>
      </w:tr>
      <w:tr w:rsidR="00A166FF" w14:paraId="30F2854D" w14:textId="77777777" w:rsidTr="00585AE2">
        <w:trPr>
          <w:trHeight w:val="552"/>
        </w:trPr>
        <w:tc>
          <w:tcPr>
            <w:tcW w:w="436" w:type="pct"/>
            <w:vMerge/>
            <w:tcMar>
              <w:left w:w="108" w:type="dxa"/>
              <w:right w:w="108" w:type="dxa"/>
            </w:tcMar>
          </w:tcPr>
          <w:p w14:paraId="5D2DEAB3" w14:textId="77777777" w:rsidR="00A166FF" w:rsidRPr="00E547C6" w:rsidRDefault="00A166FF" w:rsidP="000D54FB">
            <w:pPr>
              <w:pStyle w:val="TableText"/>
            </w:pPr>
          </w:p>
        </w:tc>
        <w:tc>
          <w:tcPr>
            <w:tcW w:w="1239" w:type="pct"/>
            <w:tcMar>
              <w:left w:w="108" w:type="dxa"/>
              <w:right w:w="108" w:type="dxa"/>
            </w:tcMar>
          </w:tcPr>
          <w:p w14:paraId="4591B0BD" w14:textId="77777777" w:rsidR="00A166FF" w:rsidRPr="00E547C6" w:rsidRDefault="00A166FF" w:rsidP="000D54FB">
            <w:pPr>
              <w:pStyle w:val="TableText"/>
            </w:pPr>
            <w:r w:rsidRPr="00E547C6">
              <w:t>This action builds on a $20 million investment in Basin-specific research so river management can be based on the best available science.</w:t>
            </w:r>
          </w:p>
        </w:tc>
        <w:tc>
          <w:tcPr>
            <w:tcW w:w="324" w:type="pct"/>
            <w:tcMar>
              <w:left w:w="108" w:type="dxa"/>
              <w:right w:w="108" w:type="dxa"/>
            </w:tcMar>
          </w:tcPr>
          <w:p w14:paraId="01362917" w14:textId="77777777" w:rsidR="00A166FF" w:rsidRPr="00E547C6" w:rsidRDefault="00A166FF" w:rsidP="000D54FB">
            <w:pPr>
              <w:pStyle w:val="TableText"/>
            </w:pPr>
            <w:r w:rsidRPr="00E547C6">
              <w:t xml:space="preserve">Q3 2021 </w:t>
            </w:r>
          </w:p>
        </w:tc>
        <w:tc>
          <w:tcPr>
            <w:tcW w:w="505" w:type="pct"/>
          </w:tcPr>
          <w:p w14:paraId="15D31673" w14:textId="77777777" w:rsidR="00A166FF" w:rsidRPr="00E547C6" w:rsidRDefault="00A166FF" w:rsidP="000D54FB">
            <w:pPr>
              <w:pStyle w:val="TableText"/>
            </w:pPr>
            <w:r w:rsidRPr="00E547C6">
              <w:t>ONGOING</w:t>
            </w:r>
          </w:p>
        </w:tc>
        <w:tc>
          <w:tcPr>
            <w:tcW w:w="2496" w:type="pct"/>
          </w:tcPr>
          <w:p w14:paraId="5880CCDF" w14:textId="3BD62E2B" w:rsidR="00AC2244" w:rsidRPr="00C92306" w:rsidRDefault="00AC2244" w:rsidP="002E10FD">
            <w:pPr>
              <w:pStyle w:val="TableText"/>
            </w:pPr>
            <w:r w:rsidRPr="00C92306">
              <w:t>T</w:t>
            </w:r>
            <w:r w:rsidR="00A161E8" w:rsidRPr="00C92306">
              <w:t xml:space="preserve">he $20 million </w:t>
            </w:r>
            <w:hyperlink r:id="rId21" w:history="1">
              <w:r w:rsidR="00A161E8" w:rsidRPr="00C92306">
                <w:rPr>
                  <w:rStyle w:val="Hyperlink"/>
                </w:rPr>
                <w:t>Murray</w:t>
              </w:r>
              <w:r w:rsidR="008C46E8" w:rsidRPr="00C92306">
                <w:rPr>
                  <w:rStyle w:val="Hyperlink"/>
                </w:rPr>
                <w:t>–</w:t>
              </w:r>
              <w:r w:rsidR="00A161E8" w:rsidRPr="00C92306">
                <w:rPr>
                  <w:rStyle w:val="Hyperlink"/>
                </w:rPr>
                <w:t>Darling Water and Environment Research Program</w:t>
              </w:r>
            </w:hyperlink>
            <w:r w:rsidR="00A161E8" w:rsidRPr="00C92306">
              <w:t xml:space="preserve"> </w:t>
            </w:r>
            <w:r w:rsidRPr="00C92306">
              <w:t xml:space="preserve">is </w:t>
            </w:r>
            <w:r w:rsidR="00EA2A9C" w:rsidRPr="00C92306">
              <w:t xml:space="preserve">a four-year research program (2021–25) </w:t>
            </w:r>
            <w:r w:rsidRPr="00C92306">
              <w:t xml:space="preserve"> to improve scientific knowledge</w:t>
            </w:r>
            <w:r w:rsidR="00EA2A9C" w:rsidRPr="00C92306">
              <w:t xml:space="preserve"> for</w:t>
            </w:r>
            <w:r w:rsidR="00A166FF" w:rsidRPr="00C92306">
              <w:t xml:space="preserve"> water and environment management decisions and improve outcomes for the Basin and communities</w:t>
            </w:r>
            <w:r w:rsidR="00EA2A9C" w:rsidRPr="00C92306">
              <w:t>.</w:t>
            </w:r>
          </w:p>
          <w:p w14:paraId="19292A26" w14:textId="77777777" w:rsidR="00E678F0" w:rsidRPr="00C92306" w:rsidRDefault="00E678F0" w:rsidP="00E678F0">
            <w:pPr>
              <w:pStyle w:val="TableText"/>
            </w:pPr>
            <w:r w:rsidRPr="00C92306">
              <w:t xml:space="preserve">The MD-WERP Research Consortium was established during 2020–21, consisting of the lead agencies (CSIRO and La Trobe University) with supporting agencies (Deakin University, </w:t>
            </w:r>
            <w:proofErr w:type="spellStart"/>
            <w:r w:rsidRPr="00C92306">
              <w:t>Ewater</w:t>
            </w:r>
            <w:proofErr w:type="spellEnd"/>
            <w:r w:rsidRPr="00C92306">
              <w:t>, Alluvium, Griffith University, Northern Basin Aboriginal Nations, Murray Lower Darling Indigenous Nations and IDEEA Group).</w:t>
            </w:r>
          </w:p>
          <w:p w14:paraId="5B42B7D7" w14:textId="77777777" w:rsidR="00E678F0" w:rsidRPr="00C92306" w:rsidRDefault="00E678F0" w:rsidP="00E678F0">
            <w:pPr>
              <w:pStyle w:val="TableText"/>
            </w:pPr>
            <w:r w:rsidRPr="00C92306">
              <w:lastRenderedPageBreak/>
              <w:t>During the first half of 2021, the Consortium and Commonwealth partners co-designed research plans to set the research direction and investments for the next 4 years. MD-WERP incorporates both a long-term (i.e. 4-year) research program and shorter-term tactical projects based on immediate need.</w:t>
            </w:r>
          </w:p>
          <w:p w14:paraId="29938A40" w14:textId="77777777" w:rsidR="00E678F0" w:rsidRPr="00C92306" w:rsidRDefault="00E678F0" w:rsidP="00E678F0">
            <w:pPr>
              <w:pStyle w:val="ListParagraph"/>
              <w:numPr>
                <w:ilvl w:val="0"/>
                <w:numId w:val="50"/>
              </w:numPr>
              <w:rPr>
                <w:sz w:val="18"/>
              </w:rPr>
            </w:pPr>
            <w:r w:rsidRPr="00C92306">
              <w:rPr>
                <w:sz w:val="18"/>
              </w:rPr>
              <w:t>Long-term — the applied research program commenced in 2021. Findings from this research that will help inform ongoing Basin Plan implementation will be delivered from mid-2022 onwards.</w:t>
            </w:r>
          </w:p>
          <w:p w14:paraId="2496316A" w14:textId="7375F478" w:rsidR="00AC2244" w:rsidRPr="00C92306" w:rsidRDefault="00E678F0" w:rsidP="00D9621E">
            <w:pPr>
              <w:pStyle w:val="ListParagraph"/>
              <w:numPr>
                <w:ilvl w:val="0"/>
                <w:numId w:val="50"/>
              </w:numPr>
            </w:pPr>
            <w:r w:rsidRPr="00C92306">
              <w:rPr>
                <w:sz w:val="18"/>
              </w:rPr>
              <w:t>Short-term tactical — two projects are underway: one using drone technology to study waterbirds and another looking at northern Basin inflows. A further 3 tactical research projects will begin soon examining waterbirds foraging habitat, riverbank stability along the River Murray, and blue green algae</w:t>
            </w:r>
            <w:r w:rsidR="002642B1" w:rsidRPr="00C92306">
              <w:rPr>
                <w:sz w:val="18"/>
              </w:rPr>
              <w:t xml:space="preserve">. </w:t>
            </w:r>
          </w:p>
        </w:tc>
      </w:tr>
    </w:tbl>
    <w:p w14:paraId="62F0B3FC" w14:textId="77777777" w:rsidR="00AA7366" w:rsidRPr="003B51CE" w:rsidRDefault="00EA4A22" w:rsidP="00EE1710">
      <w:pPr>
        <w:pStyle w:val="Heading2"/>
        <w:numPr>
          <w:ilvl w:val="0"/>
          <w:numId w:val="0"/>
        </w:numPr>
        <w:ind w:left="720" w:hanging="720"/>
      </w:pPr>
      <w:r w:rsidRPr="003B51CE">
        <w:lastRenderedPageBreak/>
        <w:t>Improving implementation of the Basin Plan</w:t>
      </w:r>
    </w:p>
    <w:p w14:paraId="4735C2A8" w14:textId="77777777" w:rsidR="00741C16" w:rsidRPr="00CF4C5A" w:rsidRDefault="00D94E71" w:rsidP="005824D8">
      <w:r>
        <w:rPr>
          <w:rFonts w:cstheme="minorHAnsi"/>
        </w:rPr>
        <w:t>Applications for the new $150 million</w:t>
      </w:r>
      <w:r w:rsidR="00741C16" w:rsidRPr="00741C16">
        <w:rPr>
          <w:rFonts w:cstheme="minorHAnsi"/>
        </w:rPr>
        <w:t xml:space="preserve"> Off-farm Efficiency Grants Program</w:t>
      </w:r>
      <w:r>
        <w:rPr>
          <w:rFonts w:cstheme="minorHAnsi"/>
        </w:rPr>
        <w:t xml:space="preserve"> are currently open, making funding available over 3 years for smaller scale projects that can </w:t>
      </w:r>
      <w:r w:rsidR="00741C16" w:rsidRPr="00741C16">
        <w:rPr>
          <w:rFonts w:cstheme="minorHAnsi"/>
        </w:rPr>
        <w:t>generate water savings for the environment while also making more usable water available to farmers.</w:t>
      </w:r>
      <w:r>
        <w:rPr>
          <w:rFonts w:cstheme="minorHAnsi"/>
        </w:rPr>
        <w:t xml:space="preserve"> This complements the $1.33 billion that is available for state-led projects that improve irrigation network efficiency while also recovering water</w:t>
      </w:r>
      <w:r w:rsidR="00082214">
        <w:rPr>
          <w:rFonts w:cstheme="minorHAnsi"/>
        </w:rPr>
        <w:t xml:space="preserve"> for the environment</w:t>
      </w:r>
      <w:r>
        <w:rPr>
          <w:rFonts w:cstheme="minorHAnsi"/>
        </w:rPr>
        <w:t xml:space="preserve">, that would otherwise be lost. </w:t>
      </w:r>
      <w:r w:rsidR="00600BA9">
        <w:rPr>
          <w:rFonts w:cstheme="minorHAnsi"/>
        </w:rPr>
        <w:t>The program invests in the future of regional communities by installing modern infrastructure that generate construction jobs and underpins economic activity and productivity in the long-term.</w:t>
      </w:r>
      <w:r w:rsidR="00663E38">
        <w:t xml:space="preserve"> </w:t>
      </w:r>
      <w:r w:rsidR="005E12AB" w:rsidRPr="00CF4C5A">
        <w:t>The Australian Government has ruled out further water buybacks.</w:t>
      </w:r>
      <w:r w:rsidR="005E12AB" w:rsidRPr="000A5E1D">
        <w:t xml:space="preserve"> Since the new Off-farm Efficiency Program was announced water recovery towards the 450 GL has increased from 2 GL in March 2021 to 18.59 GL</w:t>
      </w:r>
      <w:r w:rsidR="005E12AB" w:rsidRPr="00CF4C5A">
        <w:t xml:space="preserve"> under contract. The new program provides the best opportunity to recover as much of the 450 GL as possible.</w:t>
      </w:r>
    </w:p>
    <w:p w14:paraId="74798763" w14:textId="77777777" w:rsidR="00193ED1" w:rsidRDefault="00193ED1" w:rsidP="006A13A5">
      <w:pPr>
        <w:spacing w:after="120"/>
        <w:rPr>
          <w:rFonts w:cstheme="minorHAnsi"/>
        </w:rPr>
      </w:pPr>
      <w:r>
        <w:rPr>
          <w:rFonts w:cstheme="minorHAnsi"/>
        </w:rPr>
        <w:t xml:space="preserve">The Australian Government continues to support New South Wales, Victoria and South Australia deliver the supply and constraints measures which collectively enable 605 GL of water to remain in productive use. As </w:t>
      </w:r>
      <w:proofErr w:type="gramStart"/>
      <w:r>
        <w:rPr>
          <w:rFonts w:cstheme="minorHAnsi"/>
        </w:rPr>
        <w:t>at</w:t>
      </w:r>
      <w:proofErr w:type="gramEnd"/>
      <w:r>
        <w:rPr>
          <w:rFonts w:cstheme="minorHAnsi"/>
        </w:rPr>
        <w:t xml:space="preserve"> 31 December 2021, the Australian Government had made available $582</w:t>
      </w:r>
      <w:r w:rsidR="005824D8">
        <w:rPr>
          <w:rFonts w:cstheme="minorHAnsi"/>
        </w:rPr>
        <w:t> </w:t>
      </w:r>
      <w:r>
        <w:rPr>
          <w:rFonts w:cstheme="minorHAnsi"/>
        </w:rPr>
        <w:t xml:space="preserve">million to New South Wales, Victoria and South Australia to deliver the measures. In 2021, a status assessment of the measures found that over 80% of projects could be delivered by the Basin Plan timeframe of 30 June 2024 delivering 74% of the offset. </w:t>
      </w:r>
      <w:r w:rsidR="006A6DD9" w:rsidRPr="006A6DD9">
        <w:rPr>
          <w:rFonts w:cstheme="minorHAnsi"/>
        </w:rPr>
        <w:t xml:space="preserve">Basin Water Ministers are working together to manage project delivery risks and are making progress. This includes rescoping the Menindee Lakes and the Yanco Creek Offtake projects, acceleration of 5 projects in NSW and further investment to improve flows in Victoria to restore 9 key floodplains.  </w:t>
      </w:r>
    </w:p>
    <w:p w14:paraId="754BD16E" w14:textId="77777777" w:rsidR="00AA7366" w:rsidRPr="003B51CE" w:rsidRDefault="00EA4A22" w:rsidP="00AA7366">
      <w:pPr>
        <w:pStyle w:val="Heading3"/>
        <w:numPr>
          <w:ilvl w:val="0"/>
          <w:numId w:val="0"/>
        </w:numPr>
        <w:ind w:left="964" w:hanging="964"/>
        <w:rPr>
          <w:lang w:val="en-US"/>
        </w:rPr>
      </w:pPr>
      <w:bookmarkStart w:id="3" w:name="_Toc49258982"/>
      <w:r w:rsidRPr="003B51CE">
        <w:rPr>
          <w:lang w:val="en-US"/>
        </w:rPr>
        <w:t>Improving implementation of the Basin Plan</w:t>
      </w:r>
      <w:bookmarkEnd w:id="3"/>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482"/>
        <w:gridCol w:w="3164"/>
        <w:gridCol w:w="1481"/>
        <w:gridCol w:w="1297"/>
        <w:gridCol w:w="6578"/>
      </w:tblGrid>
      <w:tr w:rsidR="00A166FF" w14:paraId="61D3BF7C" w14:textId="77777777" w:rsidTr="00B97432">
        <w:trPr>
          <w:cantSplit/>
          <w:tblHeader/>
        </w:trPr>
        <w:tc>
          <w:tcPr>
            <w:tcW w:w="529" w:type="pct"/>
            <w:tcMar>
              <w:left w:w="108" w:type="dxa"/>
              <w:right w:w="108" w:type="dxa"/>
            </w:tcMar>
          </w:tcPr>
          <w:p w14:paraId="78AE5B86" w14:textId="77777777" w:rsidR="00A166FF" w:rsidRPr="003B51CE" w:rsidRDefault="00A166FF" w:rsidP="000D54FB">
            <w:pPr>
              <w:pStyle w:val="TableHeading"/>
            </w:pPr>
            <w:r w:rsidRPr="003B51CE">
              <w:t>What we are doing</w:t>
            </w:r>
          </w:p>
        </w:tc>
        <w:tc>
          <w:tcPr>
            <w:tcW w:w="1130" w:type="pct"/>
            <w:tcMar>
              <w:left w:w="108" w:type="dxa"/>
              <w:right w:w="108" w:type="dxa"/>
            </w:tcMar>
          </w:tcPr>
          <w:p w14:paraId="53FA198A" w14:textId="77777777" w:rsidR="00A166FF" w:rsidRPr="003B51CE" w:rsidRDefault="00A166FF" w:rsidP="000D54FB">
            <w:pPr>
              <w:pStyle w:val="TableHeading"/>
            </w:pPr>
            <w:r w:rsidRPr="003B51CE">
              <w:t>How we will do it</w:t>
            </w:r>
          </w:p>
        </w:tc>
        <w:tc>
          <w:tcPr>
            <w:tcW w:w="529" w:type="pct"/>
            <w:tcMar>
              <w:left w:w="108" w:type="dxa"/>
              <w:right w:w="108" w:type="dxa"/>
            </w:tcMar>
          </w:tcPr>
          <w:p w14:paraId="3CB2B8B2" w14:textId="77777777" w:rsidR="00A166FF" w:rsidRPr="003B51CE" w:rsidRDefault="00A166FF" w:rsidP="000D54FB">
            <w:pPr>
              <w:pStyle w:val="TableHeading"/>
            </w:pPr>
            <w:r w:rsidRPr="003B51CE">
              <w:t>By when</w:t>
            </w:r>
          </w:p>
        </w:tc>
        <w:tc>
          <w:tcPr>
            <w:tcW w:w="463" w:type="pct"/>
          </w:tcPr>
          <w:p w14:paraId="2F645E48" w14:textId="77777777" w:rsidR="00A166FF" w:rsidRPr="003B51CE" w:rsidRDefault="00A166FF" w:rsidP="000D54FB">
            <w:pPr>
              <w:pStyle w:val="TableHeading"/>
            </w:pPr>
            <w:r>
              <w:t>Status</w:t>
            </w:r>
          </w:p>
        </w:tc>
        <w:tc>
          <w:tcPr>
            <w:tcW w:w="2349" w:type="pct"/>
          </w:tcPr>
          <w:p w14:paraId="3881ACED" w14:textId="77777777" w:rsidR="00A166FF" w:rsidRPr="003B51CE" w:rsidRDefault="00A166FF" w:rsidP="000D54FB">
            <w:pPr>
              <w:pStyle w:val="TableHeading"/>
            </w:pPr>
            <w:r w:rsidRPr="003B51CE">
              <w:t>What have we done</w:t>
            </w:r>
          </w:p>
        </w:tc>
      </w:tr>
      <w:tr w:rsidR="00A166FF" w:rsidRPr="00C92306" w14:paraId="708075BA" w14:textId="77777777" w:rsidTr="00B97432">
        <w:tc>
          <w:tcPr>
            <w:tcW w:w="529" w:type="pct"/>
            <w:tcMar>
              <w:left w:w="108" w:type="dxa"/>
              <w:right w:w="108" w:type="dxa"/>
            </w:tcMar>
          </w:tcPr>
          <w:p w14:paraId="1365EB84" w14:textId="77777777" w:rsidR="00A166FF" w:rsidRPr="003B51CE" w:rsidRDefault="00A166FF" w:rsidP="000D54FB">
            <w:pPr>
              <w:pStyle w:val="TableText"/>
            </w:pPr>
            <w:r w:rsidRPr="003B51CE">
              <w:rPr>
                <w:lang w:val="en-US"/>
              </w:rPr>
              <w:t>Designing and delivering water programs in partnership with communities</w:t>
            </w:r>
          </w:p>
        </w:tc>
        <w:tc>
          <w:tcPr>
            <w:tcW w:w="1130" w:type="pct"/>
            <w:tcMar>
              <w:left w:w="108" w:type="dxa"/>
              <w:right w:w="108" w:type="dxa"/>
            </w:tcMar>
          </w:tcPr>
          <w:p w14:paraId="4808D6E8" w14:textId="77777777" w:rsidR="00A166FF" w:rsidRPr="003B51CE" w:rsidRDefault="00A166FF" w:rsidP="000D54FB">
            <w:pPr>
              <w:pStyle w:val="TableText"/>
            </w:pPr>
            <w:r w:rsidRPr="003B51CE">
              <w:t xml:space="preserve">More effectively seek community input and demonstrate how that feedback has been used in the design, </w:t>
            </w:r>
            <w:proofErr w:type="gramStart"/>
            <w:r w:rsidRPr="003B51CE">
              <w:t>delivery</w:t>
            </w:r>
            <w:proofErr w:type="gramEnd"/>
            <w:r w:rsidRPr="003B51CE">
              <w:t xml:space="preserve"> and evaluation of programs.</w:t>
            </w:r>
          </w:p>
        </w:tc>
        <w:tc>
          <w:tcPr>
            <w:tcW w:w="529" w:type="pct"/>
            <w:tcMar>
              <w:left w:w="108" w:type="dxa"/>
              <w:right w:w="108" w:type="dxa"/>
            </w:tcMar>
          </w:tcPr>
          <w:p w14:paraId="162965B7" w14:textId="77777777" w:rsidR="00A166FF" w:rsidRPr="003B51CE" w:rsidRDefault="00A166FF" w:rsidP="000D54FB">
            <w:pPr>
              <w:pStyle w:val="TableText"/>
            </w:pPr>
            <w:r w:rsidRPr="003B51CE">
              <w:t xml:space="preserve">Q4 2020 </w:t>
            </w:r>
          </w:p>
        </w:tc>
        <w:tc>
          <w:tcPr>
            <w:tcW w:w="463" w:type="pct"/>
          </w:tcPr>
          <w:p w14:paraId="4D2FD261" w14:textId="77777777" w:rsidR="00A166FF" w:rsidRPr="00700BCA" w:rsidRDefault="00C84715" w:rsidP="000D54FB">
            <w:pPr>
              <w:pStyle w:val="TableText"/>
            </w:pPr>
            <w:r>
              <w:t>COMPLETE</w:t>
            </w:r>
          </w:p>
        </w:tc>
        <w:tc>
          <w:tcPr>
            <w:tcW w:w="2349" w:type="pct"/>
          </w:tcPr>
          <w:p w14:paraId="3EA6B638" w14:textId="2EDFDD4B" w:rsidR="00852367" w:rsidRPr="00C92306" w:rsidRDefault="00852367" w:rsidP="000D54FB">
            <w:pPr>
              <w:pStyle w:val="TableText"/>
            </w:pPr>
            <w:r w:rsidRPr="00C92306">
              <w:t xml:space="preserve">The </w:t>
            </w:r>
            <w:r w:rsidR="00305937" w:rsidRPr="00C92306">
              <w:t>department has expanded the Regional Engagement Officer network to establish stronger lines of communication between community and government on Murray–Darling Basin water matters.</w:t>
            </w:r>
            <w:r w:rsidR="001729D3" w:rsidRPr="00C92306">
              <w:t xml:space="preserve"> For example, the Regional Engagement Officers promoted the guideline consultations undertaken for Healthy Rivers and the Economic Development Program to make sure they were workable for communities.</w:t>
            </w:r>
          </w:p>
          <w:p w14:paraId="1CA95A2A" w14:textId="77777777" w:rsidR="00A166FF" w:rsidRPr="00C92306" w:rsidRDefault="00082214" w:rsidP="000D54FB">
            <w:pPr>
              <w:pStyle w:val="TableText"/>
            </w:pPr>
            <w:r w:rsidRPr="00C92306">
              <w:t>The Off-farm Efficiency Program grant component has made $150 million available to irrigation infrastructure organisations to improve infrastructure and return water to the environment. The department continues to work with irrigation infrastructure organisations to identify off-farm water efficiency projects with strong community support. The Basin Community Committee provided advice from a community perspective.</w:t>
            </w:r>
          </w:p>
          <w:p w14:paraId="27F4AC3D" w14:textId="77777777" w:rsidR="00852367" w:rsidRPr="00C92306" w:rsidRDefault="00A161E8" w:rsidP="000D54FB">
            <w:pPr>
              <w:pStyle w:val="TableText"/>
            </w:pPr>
            <w:r w:rsidRPr="00C92306">
              <w:t xml:space="preserve">The </w:t>
            </w:r>
            <w:r w:rsidR="00305937" w:rsidRPr="00C92306">
              <w:t>d</w:t>
            </w:r>
            <w:r w:rsidRPr="00C92306">
              <w:t xml:space="preserve">epartment also sought community views </w:t>
            </w:r>
            <w:r w:rsidR="005824D8" w:rsidRPr="00C92306">
              <w:t xml:space="preserve">on </w:t>
            </w:r>
            <w:r w:rsidRPr="00C92306">
              <w:t>the intended outcomes and eligibility requirements of the Healthy Rivers Grants and the Economic Development Program’s third round. The feedback received was considered and publicly reported on to show how it was used to inform the design and delivery of the programs.</w:t>
            </w:r>
            <w:r w:rsidR="008A03ED" w:rsidRPr="00C92306">
              <w:t xml:space="preserve"> </w:t>
            </w:r>
            <w:r w:rsidR="008A03ED" w:rsidRPr="00C92306">
              <w:lastRenderedPageBreak/>
              <w:t xml:space="preserve">Webinar sessions and other guidance material was developed to assist with applying for both grant programs. </w:t>
            </w:r>
          </w:p>
        </w:tc>
      </w:tr>
      <w:tr w:rsidR="00A166FF" w14:paraId="43116949" w14:textId="77777777" w:rsidTr="00B97432">
        <w:tc>
          <w:tcPr>
            <w:tcW w:w="529" w:type="pct"/>
            <w:tcMar>
              <w:left w:w="108" w:type="dxa"/>
              <w:right w:w="108" w:type="dxa"/>
            </w:tcMar>
          </w:tcPr>
          <w:p w14:paraId="0B314B0C" w14:textId="77777777" w:rsidR="00A166FF" w:rsidRPr="003B51CE" w:rsidRDefault="00A166FF" w:rsidP="000D54FB">
            <w:pPr>
              <w:pStyle w:val="TableText"/>
            </w:pPr>
            <w:r w:rsidRPr="003B51CE">
              <w:lastRenderedPageBreak/>
              <w:t>Investing in off-farm water efficiency projects to increase water recovery</w:t>
            </w:r>
          </w:p>
        </w:tc>
        <w:tc>
          <w:tcPr>
            <w:tcW w:w="1130" w:type="pct"/>
            <w:tcMar>
              <w:left w:w="108" w:type="dxa"/>
              <w:right w:w="108" w:type="dxa"/>
            </w:tcMar>
          </w:tcPr>
          <w:p w14:paraId="7D18C32D" w14:textId="77777777" w:rsidR="00A166FF" w:rsidRPr="003B51CE" w:rsidRDefault="00A166FF" w:rsidP="000D54FB">
            <w:pPr>
              <w:pStyle w:val="TableText"/>
            </w:pPr>
            <w:r w:rsidRPr="003B51CE">
              <w:t>Shift the focus away from on-farm water efficiencies and buybacks.</w:t>
            </w:r>
          </w:p>
          <w:p w14:paraId="3A04A1EA" w14:textId="77777777" w:rsidR="00A166FF" w:rsidRPr="003B51CE" w:rsidRDefault="00A166FF" w:rsidP="000D54FB">
            <w:pPr>
              <w:pStyle w:val="TableText"/>
            </w:pPr>
            <w:r w:rsidRPr="003B51CE">
              <w:t>Work with the states and irrigation networks to identify projects to generate water savings through off-farm infrastructure.</w:t>
            </w:r>
          </w:p>
        </w:tc>
        <w:tc>
          <w:tcPr>
            <w:tcW w:w="529" w:type="pct"/>
            <w:tcMar>
              <w:left w:w="108" w:type="dxa"/>
              <w:right w:w="108" w:type="dxa"/>
            </w:tcMar>
          </w:tcPr>
          <w:p w14:paraId="5EC45E8E" w14:textId="77777777" w:rsidR="00A166FF" w:rsidRPr="003B51CE" w:rsidRDefault="00A166FF" w:rsidP="000D54FB">
            <w:pPr>
              <w:pStyle w:val="TableText"/>
            </w:pPr>
            <w:r w:rsidRPr="003B51CE">
              <w:t>Q4 2020</w:t>
            </w:r>
            <w:r>
              <w:t xml:space="preserve"> </w:t>
            </w:r>
          </w:p>
        </w:tc>
        <w:tc>
          <w:tcPr>
            <w:tcW w:w="463" w:type="pct"/>
          </w:tcPr>
          <w:p w14:paraId="2E6C518B" w14:textId="77777777" w:rsidR="00A166FF" w:rsidRPr="00700BCA" w:rsidRDefault="00F97BB6" w:rsidP="000D54FB">
            <w:pPr>
              <w:pStyle w:val="TableText"/>
            </w:pPr>
            <w:r>
              <w:t>COMPLETE</w:t>
            </w:r>
          </w:p>
        </w:tc>
        <w:tc>
          <w:tcPr>
            <w:tcW w:w="2349" w:type="pct"/>
          </w:tcPr>
          <w:p w14:paraId="0C8100D0" w14:textId="170734DF" w:rsidR="003100D9" w:rsidRDefault="003100D9" w:rsidP="00741C16">
            <w:pPr>
              <w:pStyle w:val="TableText"/>
            </w:pPr>
            <w:r>
              <w:t xml:space="preserve">The Off-farm Efficiency Program is broken </w:t>
            </w:r>
            <w:r w:rsidR="00497348">
              <w:t>has</w:t>
            </w:r>
            <w:r>
              <w:t xml:space="preserve"> two main components: state-led projects and a $150 million grants program.</w:t>
            </w:r>
          </w:p>
          <w:p w14:paraId="4C08F1B2" w14:textId="77777777" w:rsidR="00A161E8" w:rsidRDefault="00741C16" w:rsidP="000D54FB">
            <w:pPr>
              <w:pStyle w:val="TableText"/>
            </w:pPr>
            <w:r w:rsidRPr="00700BCA">
              <w:t xml:space="preserve">Through the State Led Off-farm stream </w:t>
            </w:r>
            <w:r>
              <w:t xml:space="preserve">of the </w:t>
            </w:r>
            <w:r w:rsidRPr="00700BCA">
              <w:t>Off-farm Efficiency Program</w:t>
            </w:r>
            <w:r w:rsidR="003100D9">
              <w:t>,</w:t>
            </w:r>
            <w:r w:rsidRPr="00700BCA">
              <w:t xml:space="preserve"> there is $1.33 billion available to fund projects that generate water savings off-farm</w:t>
            </w:r>
            <w:r>
              <w:t xml:space="preserve">. </w:t>
            </w:r>
            <w:r w:rsidRPr="00741C16">
              <w:t xml:space="preserve">The NSW Murrumbidgee Irrigation Automation </w:t>
            </w:r>
            <w:r w:rsidR="00BB02AF">
              <w:t xml:space="preserve">Finalisation </w:t>
            </w:r>
            <w:r w:rsidRPr="00741C16">
              <w:t xml:space="preserve">Project </w:t>
            </w:r>
            <w:r>
              <w:t xml:space="preserve">has been approved and </w:t>
            </w:r>
            <w:r w:rsidRPr="00741C16">
              <w:t>will generate 7.4 GL</w:t>
            </w:r>
            <w:r>
              <w:t xml:space="preserve"> of water savings to be shared between water users, </w:t>
            </w:r>
            <w:proofErr w:type="gramStart"/>
            <w:r>
              <w:t>communities</w:t>
            </w:r>
            <w:proofErr w:type="gramEnd"/>
            <w:r>
              <w:t xml:space="preserve"> and the environment. This builds on the </w:t>
            </w:r>
            <w:r w:rsidR="00A161E8" w:rsidRPr="003B51CE">
              <w:t xml:space="preserve">Goulburn Murray Water Efficiency Project </w:t>
            </w:r>
            <w:r>
              <w:t>that is</w:t>
            </w:r>
            <w:r w:rsidR="00A161E8" w:rsidRPr="003B51CE">
              <w:t xml:space="preserve"> modernis</w:t>
            </w:r>
            <w:r>
              <w:t>ing</w:t>
            </w:r>
            <w:r w:rsidR="00A161E8" w:rsidRPr="003B51CE">
              <w:t xml:space="preserve"> and upgrad</w:t>
            </w:r>
            <w:r>
              <w:t>ing</w:t>
            </w:r>
            <w:r w:rsidR="00A161E8" w:rsidRPr="003B51CE">
              <w:t xml:space="preserve"> ageing off-farm water infrastructure in the Goulburn-Murray Irrigation District generating 1</w:t>
            </w:r>
            <w:r w:rsidR="00BB02AF">
              <w:t>8.17</w:t>
            </w:r>
            <w:r w:rsidR="00A161E8" w:rsidRPr="003B51CE">
              <w:t> GL of water for the environment</w:t>
            </w:r>
            <w:r>
              <w:t xml:space="preserve"> and hundreds of jobs.</w:t>
            </w:r>
          </w:p>
          <w:p w14:paraId="0E2D141B" w14:textId="77777777" w:rsidR="003100D9" w:rsidRDefault="003100D9" w:rsidP="003100D9">
            <w:pPr>
              <w:pStyle w:val="TableText"/>
            </w:pPr>
            <w:r>
              <w:t xml:space="preserve">On 24 November 2021 the Off-farm Efficiency Grants Program opened, making $150 million available to help make irrigation networks as efficient as possible, and to deliver commitments under the Basin Plan to enhance environmental outcomes. </w:t>
            </w:r>
          </w:p>
          <w:p w14:paraId="72690C7F" w14:textId="77777777" w:rsidR="007C1F35" w:rsidRPr="003B51CE" w:rsidRDefault="00BB02AF" w:rsidP="000361C2">
            <w:pPr>
              <w:pStyle w:val="TableText"/>
            </w:pPr>
            <w:r>
              <w:t xml:space="preserve">The </w:t>
            </w:r>
            <w:r w:rsidR="003100D9">
              <w:t xml:space="preserve">old </w:t>
            </w:r>
            <w:r>
              <w:t>Water Efficiency Program closed to new applications in March 2021. The assessment of all project proposals lodged before the program ceased were completed. A total of 28 projects valued at $9.8 million (GST exclusive) are now contracted to generate 758 ML of water savings for the environment.</w:t>
            </w:r>
          </w:p>
        </w:tc>
      </w:tr>
      <w:tr w:rsidR="00A166FF" w14:paraId="0B80E88A" w14:textId="77777777" w:rsidTr="00B97432">
        <w:trPr>
          <w:trHeight w:val="1433"/>
        </w:trPr>
        <w:tc>
          <w:tcPr>
            <w:tcW w:w="529" w:type="pct"/>
            <w:vMerge w:val="restart"/>
            <w:tcMar>
              <w:left w:w="108" w:type="dxa"/>
              <w:right w:w="108" w:type="dxa"/>
            </w:tcMar>
          </w:tcPr>
          <w:p w14:paraId="0E00E6D2" w14:textId="77777777" w:rsidR="00A166FF" w:rsidRPr="003B51CE" w:rsidRDefault="00A166FF" w:rsidP="000D54FB">
            <w:pPr>
              <w:pStyle w:val="TableText"/>
              <w:rPr>
                <w:lang w:val="en-US"/>
              </w:rPr>
            </w:pPr>
            <w:r w:rsidRPr="003B51CE">
              <w:rPr>
                <w:lang w:val="en-US"/>
              </w:rPr>
              <w:t>Strengthening working relationships between the Australian Government, states</w:t>
            </w:r>
            <w:r w:rsidR="008C46E8">
              <w:rPr>
                <w:lang w:val="en-US"/>
              </w:rPr>
              <w:t>,</w:t>
            </w:r>
            <w:r w:rsidRPr="003B51CE">
              <w:rPr>
                <w:lang w:val="en-US"/>
              </w:rPr>
              <w:t xml:space="preserve"> and local government to improve delivery of the Basin Plan</w:t>
            </w:r>
          </w:p>
        </w:tc>
        <w:tc>
          <w:tcPr>
            <w:tcW w:w="1130" w:type="pct"/>
            <w:tcMar>
              <w:left w:w="108" w:type="dxa"/>
              <w:right w:w="108" w:type="dxa"/>
            </w:tcMar>
          </w:tcPr>
          <w:p w14:paraId="53A3BCD6" w14:textId="77777777" w:rsidR="00A166FF" w:rsidRPr="003B51CE" w:rsidRDefault="00A166FF" w:rsidP="000D54FB">
            <w:pPr>
              <w:pStyle w:val="TableText"/>
            </w:pPr>
            <w:r w:rsidRPr="003B51CE">
              <w:t>Work with Basin states to accelerate planning and delivery of supply and constraints projects that are at risk of not being delivered by 2024. We will partner with the National Water Grid Authority on these projects.</w:t>
            </w:r>
          </w:p>
        </w:tc>
        <w:tc>
          <w:tcPr>
            <w:tcW w:w="529" w:type="pct"/>
            <w:tcMar>
              <w:left w:w="108" w:type="dxa"/>
              <w:right w:w="108" w:type="dxa"/>
            </w:tcMar>
          </w:tcPr>
          <w:p w14:paraId="4B904092" w14:textId="77777777" w:rsidR="00A166FF" w:rsidRPr="003B51CE" w:rsidRDefault="00A166FF" w:rsidP="000D54FB">
            <w:pPr>
              <w:pStyle w:val="TableText"/>
            </w:pPr>
            <w:r w:rsidRPr="003B51CE">
              <w:t>Q4 2020</w:t>
            </w:r>
            <w:r>
              <w:t xml:space="preserve"> </w:t>
            </w:r>
          </w:p>
        </w:tc>
        <w:tc>
          <w:tcPr>
            <w:tcW w:w="463" w:type="pct"/>
          </w:tcPr>
          <w:p w14:paraId="780A1147" w14:textId="77777777" w:rsidR="00A166FF" w:rsidRDefault="00F97BB6" w:rsidP="000D54FB">
            <w:pPr>
              <w:pStyle w:val="TableText"/>
            </w:pPr>
            <w:r>
              <w:t>ONGOING</w:t>
            </w:r>
          </w:p>
        </w:tc>
        <w:tc>
          <w:tcPr>
            <w:tcW w:w="2349" w:type="pct"/>
          </w:tcPr>
          <w:p w14:paraId="3545D4BE" w14:textId="77777777" w:rsidR="00193ED1" w:rsidRDefault="00193ED1" w:rsidP="00193ED1">
            <w:pPr>
              <w:pStyle w:val="TableText"/>
            </w:pPr>
            <w:r>
              <w:t>The Australian Government continues to work with N</w:t>
            </w:r>
            <w:r w:rsidR="00A04F0C">
              <w:t xml:space="preserve">ew </w:t>
            </w:r>
            <w:r>
              <w:t>S</w:t>
            </w:r>
            <w:r w:rsidR="00A04F0C">
              <w:t xml:space="preserve">outh </w:t>
            </w:r>
            <w:r>
              <w:t>W</w:t>
            </w:r>
            <w:r w:rsidR="00A04F0C">
              <w:t>ales</w:t>
            </w:r>
            <w:r>
              <w:t xml:space="preserve">, </w:t>
            </w:r>
            <w:proofErr w:type="gramStart"/>
            <w:r>
              <w:t>Victoria</w:t>
            </w:r>
            <w:proofErr w:type="gramEnd"/>
            <w:r>
              <w:t xml:space="preserve"> and South Australia to progress the supply and constraints projects, including those at risk of not being delivered by 2024. </w:t>
            </w:r>
          </w:p>
          <w:p w14:paraId="52FF51EB" w14:textId="77777777" w:rsidR="00193ED1" w:rsidRDefault="00193ED1" w:rsidP="00193ED1">
            <w:pPr>
              <w:pStyle w:val="TableText"/>
            </w:pPr>
            <w:r>
              <w:t xml:space="preserve">In </w:t>
            </w:r>
            <w:r w:rsidRPr="008C5B3A">
              <w:t>September 2021, the Australian Government agreed funding of $331 million to enable N</w:t>
            </w:r>
            <w:r w:rsidR="00A04F0C">
              <w:t xml:space="preserve">ew </w:t>
            </w:r>
            <w:r w:rsidRPr="008C5B3A">
              <w:t>S</w:t>
            </w:r>
            <w:r w:rsidR="00A04F0C">
              <w:t xml:space="preserve">outh </w:t>
            </w:r>
            <w:r w:rsidRPr="008C5B3A">
              <w:t>W</w:t>
            </w:r>
            <w:r w:rsidR="00A04F0C">
              <w:t>ales</w:t>
            </w:r>
            <w:r w:rsidRPr="008C5B3A">
              <w:t xml:space="preserve"> to accelerate delivery of </w:t>
            </w:r>
            <w:r w:rsidR="00A04F0C">
              <w:t>5 of</w:t>
            </w:r>
            <w:r w:rsidRPr="008C5B3A">
              <w:t xml:space="preserve"> its supply and constraints measures. This investment is expected to contribute 45 GL of the </w:t>
            </w:r>
            <w:r w:rsidR="00A04F0C">
              <w:t>Sustainable Diversion Limit</w:t>
            </w:r>
            <w:r w:rsidRPr="008C5B3A">
              <w:t xml:space="preserve"> offset and could create up to 450 direct jobs in Murray and Murrumbidgee communities.</w:t>
            </w:r>
          </w:p>
          <w:p w14:paraId="27F6767F" w14:textId="77777777" w:rsidR="006A6DD9" w:rsidRDefault="00FC7C88" w:rsidP="00A04F0C">
            <w:pPr>
              <w:pStyle w:val="TableText"/>
            </w:pPr>
            <w:r>
              <w:t>The</w:t>
            </w:r>
            <w:r w:rsidR="006A6DD9" w:rsidRPr="006A6DD9">
              <w:t xml:space="preserve"> NSW Government is proposing a range of initiatives to</w:t>
            </w:r>
            <w:r>
              <w:t xml:space="preserve"> progress constraints projects</w:t>
            </w:r>
            <w:r w:rsidRPr="006A6DD9">
              <w:t xml:space="preserve"> </w:t>
            </w:r>
            <w:r>
              <w:t xml:space="preserve">and </w:t>
            </w:r>
            <w:r w:rsidR="006A6DD9" w:rsidRPr="006A6DD9">
              <w:t>deliver acceptable communit</w:t>
            </w:r>
            <w:r>
              <w:t>y outcomes</w:t>
            </w:r>
            <w:r w:rsidR="006A6DD9" w:rsidRPr="006A6DD9">
              <w:t xml:space="preserve"> on the Murrumbidgee and the Murray</w:t>
            </w:r>
            <w:r>
              <w:t xml:space="preserve">. </w:t>
            </w:r>
            <w:r w:rsidR="006A6DD9" w:rsidRPr="006A6DD9">
              <w:t xml:space="preserve">Similarly, the South Australian and Victorian governments are also progressing constraints projects in their states.   </w:t>
            </w:r>
          </w:p>
          <w:p w14:paraId="352C9C9C" w14:textId="77777777" w:rsidR="00A166FF" w:rsidRDefault="00193ED1" w:rsidP="00A04F0C">
            <w:pPr>
              <w:pStyle w:val="TableText"/>
            </w:pPr>
            <w:r>
              <w:t xml:space="preserve">In 2021, the Government also agreed additional funding for Victoria making </w:t>
            </w:r>
            <w:r>
              <w:rPr>
                <w:rFonts w:cstheme="minorHAnsi"/>
              </w:rPr>
              <w:t>m</w:t>
            </w:r>
            <w:r w:rsidRPr="005E12AB">
              <w:rPr>
                <w:rFonts w:cstheme="minorHAnsi"/>
              </w:rPr>
              <w:t xml:space="preserve">ore than $99 million </w:t>
            </w:r>
            <w:r>
              <w:t xml:space="preserve">available </w:t>
            </w:r>
            <w:r w:rsidRPr="005E12AB">
              <w:rPr>
                <w:rFonts w:cstheme="minorHAnsi"/>
              </w:rPr>
              <w:t>to improve flows in the Goulburn and Murray Rivers and help restore 9 key floodplains</w:t>
            </w:r>
            <w:r>
              <w:rPr>
                <w:rFonts w:cstheme="minorHAnsi"/>
              </w:rPr>
              <w:t xml:space="preserve"> along the Victorian Murray.</w:t>
            </w:r>
            <w:r w:rsidR="007E75F9">
              <w:t>  </w:t>
            </w:r>
          </w:p>
        </w:tc>
      </w:tr>
      <w:tr w:rsidR="00A166FF" w14:paraId="39CF9FF2" w14:textId="77777777" w:rsidTr="00B97432">
        <w:trPr>
          <w:trHeight w:val="1432"/>
        </w:trPr>
        <w:tc>
          <w:tcPr>
            <w:tcW w:w="529" w:type="pct"/>
            <w:vMerge/>
            <w:tcMar>
              <w:left w:w="108" w:type="dxa"/>
              <w:right w:w="108" w:type="dxa"/>
            </w:tcMar>
          </w:tcPr>
          <w:p w14:paraId="6B659DC4" w14:textId="77777777" w:rsidR="00A166FF" w:rsidRPr="003B51CE" w:rsidRDefault="00A166FF" w:rsidP="000D54FB">
            <w:pPr>
              <w:pStyle w:val="TableText"/>
              <w:rPr>
                <w:lang w:val="en-US"/>
              </w:rPr>
            </w:pPr>
          </w:p>
        </w:tc>
        <w:tc>
          <w:tcPr>
            <w:tcW w:w="1130" w:type="pct"/>
            <w:tcMar>
              <w:left w:w="108" w:type="dxa"/>
              <w:right w:w="108" w:type="dxa"/>
            </w:tcMar>
          </w:tcPr>
          <w:p w14:paraId="34626BC7" w14:textId="77777777" w:rsidR="00A166FF" w:rsidRPr="003B51CE" w:rsidRDefault="00A166FF" w:rsidP="000D54FB">
            <w:pPr>
              <w:pStyle w:val="TableText"/>
            </w:pPr>
            <w:r w:rsidRPr="003B51CE">
              <w:t>This action builds on the government’s existing commitment of $1.5 billion for these projects.</w:t>
            </w:r>
          </w:p>
        </w:tc>
        <w:tc>
          <w:tcPr>
            <w:tcW w:w="529" w:type="pct"/>
            <w:tcMar>
              <w:left w:w="108" w:type="dxa"/>
              <w:right w:w="108" w:type="dxa"/>
            </w:tcMar>
          </w:tcPr>
          <w:p w14:paraId="3ECD89A2" w14:textId="77777777" w:rsidR="00A166FF" w:rsidRPr="003B51CE" w:rsidRDefault="00A166FF" w:rsidP="000D54FB">
            <w:pPr>
              <w:pStyle w:val="TableText"/>
            </w:pPr>
            <w:r w:rsidRPr="003B51CE">
              <w:t>Q4 2020</w:t>
            </w:r>
            <w:r>
              <w:t xml:space="preserve"> </w:t>
            </w:r>
          </w:p>
        </w:tc>
        <w:tc>
          <w:tcPr>
            <w:tcW w:w="463" w:type="pct"/>
          </w:tcPr>
          <w:p w14:paraId="6E25EB9C" w14:textId="77777777" w:rsidR="00A166FF" w:rsidRDefault="00F97BB6" w:rsidP="000D54FB">
            <w:pPr>
              <w:pStyle w:val="TableText"/>
              <w:spacing w:before="0" w:after="0"/>
            </w:pPr>
            <w:r>
              <w:t>ONGOING</w:t>
            </w:r>
          </w:p>
        </w:tc>
        <w:tc>
          <w:tcPr>
            <w:tcW w:w="2349" w:type="pct"/>
          </w:tcPr>
          <w:p w14:paraId="3FCC9EC2" w14:textId="77777777" w:rsidR="00193ED1" w:rsidRDefault="00193ED1" w:rsidP="00193ED1">
            <w:pPr>
              <w:pStyle w:val="TableText"/>
            </w:pPr>
            <w:r>
              <w:t>Through the Murray-Darling Ministerial Council the Australian Government has supported the N</w:t>
            </w:r>
            <w:r w:rsidR="00A04F0C">
              <w:t xml:space="preserve">ew </w:t>
            </w:r>
            <w:r>
              <w:t>S</w:t>
            </w:r>
            <w:r w:rsidR="00A04F0C">
              <w:t xml:space="preserve">outh </w:t>
            </w:r>
            <w:r>
              <w:t>W</w:t>
            </w:r>
            <w:r w:rsidR="00A04F0C">
              <w:t>ales</w:t>
            </w:r>
            <w:r>
              <w:t xml:space="preserve"> Government’s proposal to rescope the Murrumbidgee </w:t>
            </w:r>
            <w:r w:rsidR="00A04F0C">
              <w:t xml:space="preserve">/ </w:t>
            </w:r>
            <w:r>
              <w:t>Yanco Creek project and the Menindee Lakes project.</w:t>
            </w:r>
            <w:r w:rsidDel="00676FC5">
              <w:t xml:space="preserve"> </w:t>
            </w:r>
            <w:r>
              <w:t>  </w:t>
            </w:r>
          </w:p>
          <w:p w14:paraId="27F33F49" w14:textId="2341D807" w:rsidR="00A166FF" w:rsidRPr="00FE6822" w:rsidRDefault="00193ED1" w:rsidP="00A04F0C">
            <w:pPr>
              <w:pStyle w:val="TableText"/>
            </w:pPr>
            <w:r>
              <w:t>Quarterly dashboard reports showing progress with implementing the supply and constraints projects are being published on the MDBA website</w:t>
            </w:r>
            <w:r w:rsidR="00CB7963">
              <w:t>.</w:t>
            </w:r>
          </w:p>
        </w:tc>
      </w:tr>
      <w:tr w:rsidR="00A166FF" w14:paraId="65D7FAFC" w14:textId="77777777" w:rsidTr="00B97432">
        <w:trPr>
          <w:trHeight w:val="1432"/>
        </w:trPr>
        <w:tc>
          <w:tcPr>
            <w:tcW w:w="529" w:type="pct"/>
            <w:vMerge/>
            <w:tcMar>
              <w:left w:w="108" w:type="dxa"/>
              <w:right w:w="108" w:type="dxa"/>
            </w:tcMar>
          </w:tcPr>
          <w:p w14:paraId="6D37EB3E" w14:textId="77777777" w:rsidR="00A166FF" w:rsidRPr="003B51CE" w:rsidRDefault="00A166FF" w:rsidP="000D54FB">
            <w:pPr>
              <w:pStyle w:val="TableText"/>
              <w:rPr>
                <w:lang w:val="en-US"/>
              </w:rPr>
            </w:pPr>
          </w:p>
        </w:tc>
        <w:tc>
          <w:tcPr>
            <w:tcW w:w="1130" w:type="pct"/>
            <w:tcMar>
              <w:left w:w="108" w:type="dxa"/>
              <w:right w:w="108" w:type="dxa"/>
            </w:tcMar>
          </w:tcPr>
          <w:p w14:paraId="15488BAF" w14:textId="77777777" w:rsidR="00A166FF" w:rsidRPr="003B51CE" w:rsidRDefault="00A166FF" w:rsidP="000D54FB">
            <w:pPr>
              <w:pStyle w:val="TableText"/>
            </w:pPr>
            <w:r w:rsidRPr="003B51CE">
              <w:t>Develop a new National Partnership agreement between the Australian and Basin state governments to provide funding for new and ongoing activities required to implement the Basin Plan.</w:t>
            </w:r>
          </w:p>
        </w:tc>
        <w:tc>
          <w:tcPr>
            <w:tcW w:w="529" w:type="pct"/>
            <w:tcMar>
              <w:left w:w="108" w:type="dxa"/>
              <w:right w:w="108" w:type="dxa"/>
            </w:tcMar>
          </w:tcPr>
          <w:p w14:paraId="1B236A41" w14:textId="77777777" w:rsidR="00A166FF" w:rsidRPr="003B51CE" w:rsidRDefault="00A166FF" w:rsidP="000D54FB">
            <w:pPr>
              <w:pStyle w:val="TableText"/>
            </w:pPr>
            <w:r w:rsidRPr="003B51CE">
              <w:t>Q4 2020</w:t>
            </w:r>
            <w:r>
              <w:t xml:space="preserve"> </w:t>
            </w:r>
          </w:p>
        </w:tc>
        <w:tc>
          <w:tcPr>
            <w:tcW w:w="463" w:type="pct"/>
          </w:tcPr>
          <w:p w14:paraId="38B00380" w14:textId="77777777" w:rsidR="00A166FF" w:rsidDel="00700BCA" w:rsidRDefault="00A04F0C" w:rsidP="000D54FB">
            <w:pPr>
              <w:pStyle w:val="TableText"/>
            </w:pPr>
            <w:r>
              <w:t>ONGOING</w:t>
            </w:r>
          </w:p>
        </w:tc>
        <w:tc>
          <w:tcPr>
            <w:tcW w:w="2349" w:type="pct"/>
          </w:tcPr>
          <w:p w14:paraId="53830EB4" w14:textId="77777777" w:rsidR="00A166FF" w:rsidRDefault="00A04F0C" w:rsidP="000D54FB">
            <w:pPr>
              <w:pStyle w:val="TableText"/>
            </w:pPr>
            <w:r>
              <w:t>The Australian Government is negotiating with the Basin states and the ACT a new $60 million federation funding agreement until 2024 to support implementation of the Basin Plan and water reform.</w:t>
            </w:r>
          </w:p>
        </w:tc>
      </w:tr>
    </w:tbl>
    <w:p w14:paraId="29C48F75" w14:textId="403E431C" w:rsidR="00C43C4F" w:rsidRDefault="00C43C4F" w:rsidP="00C43C4F"/>
    <w:p w14:paraId="2FA16DA7" w14:textId="5EF86965" w:rsidR="00FF7BC3" w:rsidRPr="00FF7BC3" w:rsidRDefault="00FF7BC3" w:rsidP="00FF7BC3"/>
    <w:p w14:paraId="7AF03DB3" w14:textId="6D7BFF73" w:rsidR="00FF7BC3" w:rsidRDefault="00FF7BC3" w:rsidP="00FF7BC3"/>
    <w:p w14:paraId="4903CFB2" w14:textId="3243AF50" w:rsidR="00FF7BC3" w:rsidRPr="00FF7BC3" w:rsidRDefault="00FF7BC3" w:rsidP="00FF7BC3">
      <w:pPr>
        <w:tabs>
          <w:tab w:val="left" w:pos="7459"/>
        </w:tabs>
      </w:pPr>
      <w:r>
        <w:tab/>
      </w:r>
    </w:p>
    <w:sectPr w:rsidR="00FF7BC3" w:rsidRPr="00FF7BC3" w:rsidSect="00DD4719">
      <w:pgSz w:w="16838" w:h="11906" w:orient="landscape"/>
      <w:pgMar w:top="993" w:right="1418" w:bottom="1135"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1E985" w14:textId="77777777" w:rsidR="00DC7FE0" w:rsidRDefault="00DC7FE0">
      <w:pPr>
        <w:spacing w:after="0" w:line="240" w:lineRule="auto"/>
      </w:pPr>
      <w:r>
        <w:separator/>
      </w:r>
    </w:p>
  </w:endnote>
  <w:endnote w:type="continuationSeparator" w:id="0">
    <w:p w14:paraId="698FA65B" w14:textId="77777777" w:rsidR="00DC7FE0" w:rsidRDefault="00DC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loPro-Light">
    <w:altName w:val="Calibri"/>
    <w:charset w:val="00"/>
    <w:family w:val="swiss"/>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A854" w14:textId="77777777" w:rsidR="004352A5" w:rsidRDefault="00435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7690" w14:textId="77777777" w:rsidR="00C02519" w:rsidRDefault="00EA4A22">
    <w:pPr>
      <w:pStyle w:val="Footer"/>
    </w:pPr>
    <w:r>
      <w:t xml:space="preserve">Department of Agriculture, </w:t>
    </w:r>
    <w:proofErr w:type="gramStart"/>
    <w:r>
      <w:t>Water</w:t>
    </w:r>
    <w:proofErr w:type="gramEnd"/>
    <w:r>
      <w:t xml:space="preserve"> and the Environment</w:t>
    </w:r>
  </w:p>
  <w:p w14:paraId="67014063" w14:textId="77777777" w:rsidR="00C02519" w:rsidRDefault="00EA4A22">
    <w:pPr>
      <w:pStyle w:val="Footer"/>
    </w:pPr>
    <w:r>
      <w:fldChar w:fldCharType="begin"/>
    </w:r>
    <w:r>
      <w:instrText xml:space="preserve"> PAGE   \* MERGEFORMAT </w:instrText>
    </w:r>
    <w:r>
      <w:fldChar w:fldCharType="separate"/>
    </w:r>
    <w:r w:rsidR="007804AE">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169A" w14:textId="77777777" w:rsidR="004352A5" w:rsidRDefault="00435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EB86" w14:textId="77777777" w:rsidR="00DC7FE0" w:rsidRDefault="00DC7FE0">
      <w:pPr>
        <w:spacing w:after="0" w:line="240" w:lineRule="auto"/>
      </w:pPr>
      <w:r>
        <w:separator/>
      </w:r>
    </w:p>
  </w:footnote>
  <w:footnote w:type="continuationSeparator" w:id="0">
    <w:p w14:paraId="038FB4BE" w14:textId="77777777" w:rsidR="00DC7FE0" w:rsidRDefault="00DC7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6745" w14:textId="77777777" w:rsidR="004352A5" w:rsidRDefault="00435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E64" w14:textId="1A395F9A" w:rsidR="00C02519" w:rsidRDefault="00EA4A22">
    <w:pPr>
      <w:pStyle w:val="Header"/>
    </w:pPr>
    <w:r>
      <w:t xml:space="preserve">Murray–Darling Communities Investment Package: </w:t>
    </w:r>
    <w:r w:rsidR="00F32013">
      <w:t xml:space="preserve">third </w:t>
    </w:r>
    <w:r>
      <w:t xml:space="preserve">report into implementation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31AA" w14:textId="77777777" w:rsidR="00C02519" w:rsidRDefault="00EA4A22">
    <w:pPr>
      <w:pStyle w:val="Header"/>
      <w:jc w:val="left"/>
    </w:pPr>
    <w:r>
      <w:rPr>
        <w:noProof/>
        <w:lang w:eastAsia="en-AU"/>
      </w:rPr>
      <w:drawing>
        <wp:inline distT="0" distB="0" distL="0" distR="0" wp14:anchorId="04948CF0" wp14:editId="51EF8DC8">
          <wp:extent cx="2123264" cy="6372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22A3AA4"/>
    <w:multiLevelType w:val="hybridMultilevel"/>
    <w:tmpl w:val="DA546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4768D0"/>
    <w:multiLevelType w:val="hybridMultilevel"/>
    <w:tmpl w:val="FFC8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1923184"/>
    <w:multiLevelType w:val="multilevel"/>
    <w:tmpl w:val="AE6A91E6"/>
    <w:lvl w:ilvl="0">
      <w:start w:val="1"/>
      <w:numFmt w:val="decimal"/>
      <w:lvlText w:val="%1."/>
      <w:lvlJc w:val="left"/>
      <w:pPr>
        <w:tabs>
          <w:tab w:val="num" w:pos="567"/>
        </w:tabs>
        <w:ind w:left="567" w:hanging="567"/>
      </w:pPr>
      <w:rPr>
        <w:rFonts w:cs="Times New Roman" w:hint="default"/>
        <w:b w:val="0"/>
        <w:sz w:val="23"/>
        <w:szCs w:val="23"/>
      </w:rPr>
    </w:lvl>
    <w:lvl w:ilvl="1">
      <w:start w:val="1"/>
      <w:numFmt w:val="bullet"/>
      <w:lvlText w:val=""/>
      <w:lvlJc w:val="left"/>
      <w:pPr>
        <w:tabs>
          <w:tab w:val="num" w:pos="924"/>
        </w:tabs>
        <w:ind w:left="924" w:hanging="357"/>
      </w:pPr>
      <w:rPr>
        <w:rFonts w:ascii="Symbol" w:hAnsi="Symbol"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2056DAA"/>
    <w:multiLevelType w:val="hybridMultilevel"/>
    <w:tmpl w:val="C5CCCECC"/>
    <w:lvl w:ilvl="0" w:tplc="4E06A2E4">
      <w:start w:val="1"/>
      <w:numFmt w:val="bullet"/>
      <w:pStyle w:val="TableBullet2"/>
      <w:lvlText w:val=""/>
      <w:lvlJc w:val="left"/>
      <w:pPr>
        <w:ind w:left="1004" w:hanging="360"/>
      </w:pPr>
      <w:rPr>
        <w:rFonts w:ascii="Symbol" w:hAnsi="Symbol" w:hint="default"/>
      </w:rPr>
    </w:lvl>
    <w:lvl w:ilvl="1" w:tplc="A66297A4" w:tentative="1">
      <w:start w:val="1"/>
      <w:numFmt w:val="bullet"/>
      <w:lvlText w:val="o"/>
      <w:lvlJc w:val="left"/>
      <w:pPr>
        <w:ind w:left="1724" w:hanging="360"/>
      </w:pPr>
      <w:rPr>
        <w:rFonts w:ascii="Courier New" w:hAnsi="Courier New" w:cs="Courier New" w:hint="default"/>
      </w:rPr>
    </w:lvl>
    <w:lvl w:ilvl="2" w:tplc="E9BA112A" w:tentative="1">
      <w:start w:val="1"/>
      <w:numFmt w:val="bullet"/>
      <w:lvlText w:val=""/>
      <w:lvlJc w:val="left"/>
      <w:pPr>
        <w:ind w:left="2444" w:hanging="360"/>
      </w:pPr>
      <w:rPr>
        <w:rFonts w:ascii="Wingdings" w:hAnsi="Wingdings" w:hint="default"/>
      </w:rPr>
    </w:lvl>
    <w:lvl w:ilvl="3" w:tplc="F6E41DDA" w:tentative="1">
      <w:start w:val="1"/>
      <w:numFmt w:val="bullet"/>
      <w:lvlText w:val=""/>
      <w:lvlJc w:val="left"/>
      <w:pPr>
        <w:ind w:left="3164" w:hanging="360"/>
      </w:pPr>
      <w:rPr>
        <w:rFonts w:ascii="Symbol" w:hAnsi="Symbol" w:hint="default"/>
      </w:rPr>
    </w:lvl>
    <w:lvl w:ilvl="4" w:tplc="9754D814" w:tentative="1">
      <w:start w:val="1"/>
      <w:numFmt w:val="bullet"/>
      <w:lvlText w:val="o"/>
      <w:lvlJc w:val="left"/>
      <w:pPr>
        <w:ind w:left="3884" w:hanging="360"/>
      </w:pPr>
      <w:rPr>
        <w:rFonts w:ascii="Courier New" w:hAnsi="Courier New" w:cs="Courier New" w:hint="default"/>
      </w:rPr>
    </w:lvl>
    <w:lvl w:ilvl="5" w:tplc="F14EDBCE" w:tentative="1">
      <w:start w:val="1"/>
      <w:numFmt w:val="bullet"/>
      <w:lvlText w:val=""/>
      <w:lvlJc w:val="left"/>
      <w:pPr>
        <w:ind w:left="4604" w:hanging="360"/>
      </w:pPr>
      <w:rPr>
        <w:rFonts w:ascii="Wingdings" w:hAnsi="Wingdings" w:hint="default"/>
      </w:rPr>
    </w:lvl>
    <w:lvl w:ilvl="6" w:tplc="2AF668FA" w:tentative="1">
      <w:start w:val="1"/>
      <w:numFmt w:val="bullet"/>
      <w:lvlText w:val=""/>
      <w:lvlJc w:val="left"/>
      <w:pPr>
        <w:ind w:left="5324" w:hanging="360"/>
      </w:pPr>
      <w:rPr>
        <w:rFonts w:ascii="Symbol" w:hAnsi="Symbol" w:hint="default"/>
      </w:rPr>
    </w:lvl>
    <w:lvl w:ilvl="7" w:tplc="9EE668AC" w:tentative="1">
      <w:start w:val="1"/>
      <w:numFmt w:val="bullet"/>
      <w:lvlText w:val="o"/>
      <w:lvlJc w:val="left"/>
      <w:pPr>
        <w:ind w:left="6044" w:hanging="360"/>
      </w:pPr>
      <w:rPr>
        <w:rFonts w:ascii="Courier New" w:hAnsi="Courier New" w:cs="Courier New" w:hint="default"/>
      </w:rPr>
    </w:lvl>
    <w:lvl w:ilvl="8" w:tplc="0226EA8A" w:tentative="1">
      <w:start w:val="1"/>
      <w:numFmt w:val="bullet"/>
      <w:lvlText w:val=""/>
      <w:lvlJc w:val="left"/>
      <w:pPr>
        <w:ind w:left="6764" w:hanging="360"/>
      </w:pPr>
      <w:rPr>
        <w:rFonts w:ascii="Wingdings" w:hAnsi="Wingdings" w:hint="default"/>
      </w:rPr>
    </w:lvl>
  </w:abstractNum>
  <w:abstractNum w:abstractNumId="12" w15:restartNumberingAfterBreak="0">
    <w:nsid w:val="184A7B9E"/>
    <w:multiLevelType w:val="hybridMultilevel"/>
    <w:tmpl w:val="430A2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6B606F"/>
    <w:multiLevelType w:val="hybridMultilevel"/>
    <w:tmpl w:val="E0560262"/>
    <w:lvl w:ilvl="0" w:tplc="7FFC6200">
      <w:start w:val="1"/>
      <w:numFmt w:val="bullet"/>
      <w:pStyle w:val="TableBullet1"/>
      <w:lvlText w:val=""/>
      <w:lvlJc w:val="left"/>
      <w:pPr>
        <w:ind w:left="720" w:hanging="360"/>
      </w:pPr>
      <w:rPr>
        <w:rFonts w:ascii="Symbol" w:hAnsi="Symbol" w:hint="default"/>
      </w:rPr>
    </w:lvl>
    <w:lvl w:ilvl="1" w:tplc="0D641E56" w:tentative="1">
      <w:start w:val="1"/>
      <w:numFmt w:val="bullet"/>
      <w:lvlText w:val="o"/>
      <w:lvlJc w:val="left"/>
      <w:pPr>
        <w:ind w:left="1440" w:hanging="360"/>
      </w:pPr>
      <w:rPr>
        <w:rFonts w:ascii="Courier New" w:hAnsi="Courier New" w:cs="Courier New" w:hint="default"/>
      </w:rPr>
    </w:lvl>
    <w:lvl w:ilvl="2" w:tplc="152A41EC" w:tentative="1">
      <w:start w:val="1"/>
      <w:numFmt w:val="bullet"/>
      <w:lvlText w:val=""/>
      <w:lvlJc w:val="left"/>
      <w:pPr>
        <w:ind w:left="2160" w:hanging="360"/>
      </w:pPr>
      <w:rPr>
        <w:rFonts w:ascii="Wingdings" w:hAnsi="Wingdings" w:hint="default"/>
      </w:rPr>
    </w:lvl>
    <w:lvl w:ilvl="3" w:tplc="8CBA49DC" w:tentative="1">
      <w:start w:val="1"/>
      <w:numFmt w:val="bullet"/>
      <w:lvlText w:val=""/>
      <w:lvlJc w:val="left"/>
      <w:pPr>
        <w:ind w:left="2880" w:hanging="360"/>
      </w:pPr>
      <w:rPr>
        <w:rFonts w:ascii="Symbol" w:hAnsi="Symbol" w:hint="default"/>
      </w:rPr>
    </w:lvl>
    <w:lvl w:ilvl="4" w:tplc="10C6F2C0" w:tentative="1">
      <w:start w:val="1"/>
      <w:numFmt w:val="bullet"/>
      <w:lvlText w:val="o"/>
      <w:lvlJc w:val="left"/>
      <w:pPr>
        <w:ind w:left="3600" w:hanging="360"/>
      </w:pPr>
      <w:rPr>
        <w:rFonts w:ascii="Courier New" w:hAnsi="Courier New" w:cs="Courier New" w:hint="default"/>
      </w:rPr>
    </w:lvl>
    <w:lvl w:ilvl="5" w:tplc="69460958" w:tentative="1">
      <w:start w:val="1"/>
      <w:numFmt w:val="bullet"/>
      <w:lvlText w:val=""/>
      <w:lvlJc w:val="left"/>
      <w:pPr>
        <w:ind w:left="4320" w:hanging="360"/>
      </w:pPr>
      <w:rPr>
        <w:rFonts w:ascii="Wingdings" w:hAnsi="Wingdings" w:hint="default"/>
      </w:rPr>
    </w:lvl>
    <w:lvl w:ilvl="6" w:tplc="B094B178" w:tentative="1">
      <w:start w:val="1"/>
      <w:numFmt w:val="bullet"/>
      <w:lvlText w:val=""/>
      <w:lvlJc w:val="left"/>
      <w:pPr>
        <w:ind w:left="5040" w:hanging="360"/>
      </w:pPr>
      <w:rPr>
        <w:rFonts w:ascii="Symbol" w:hAnsi="Symbol" w:hint="default"/>
      </w:rPr>
    </w:lvl>
    <w:lvl w:ilvl="7" w:tplc="CFAA3A6E" w:tentative="1">
      <w:start w:val="1"/>
      <w:numFmt w:val="bullet"/>
      <w:lvlText w:val="o"/>
      <w:lvlJc w:val="left"/>
      <w:pPr>
        <w:ind w:left="5760" w:hanging="360"/>
      </w:pPr>
      <w:rPr>
        <w:rFonts w:ascii="Courier New" w:hAnsi="Courier New" w:cs="Courier New" w:hint="default"/>
      </w:rPr>
    </w:lvl>
    <w:lvl w:ilvl="8" w:tplc="EE70D2FE" w:tentative="1">
      <w:start w:val="1"/>
      <w:numFmt w:val="bullet"/>
      <w:lvlText w:val=""/>
      <w:lvlJc w:val="left"/>
      <w:pPr>
        <w:ind w:left="6480" w:hanging="360"/>
      </w:pPr>
      <w:rPr>
        <w:rFonts w:ascii="Wingdings" w:hAnsi="Wingdings" w:hint="default"/>
      </w:rPr>
    </w:lvl>
  </w:abstractNum>
  <w:abstractNum w:abstractNumId="14" w15:restartNumberingAfterBreak="0">
    <w:nsid w:val="1A59102F"/>
    <w:multiLevelType w:val="hybridMultilevel"/>
    <w:tmpl w:val="0442B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D33715"/>
    <w:multiLevelType w:val="hybridMultilevel"/>
    <w:tmpl w:val="9DE83D2C"/>
    <w:lvl w:ilvl="0" w:tplc="AE2ECFE8">
      <w:start w:val="1"/>
      <w:numFmt w:val="bullet"/>
      <w:lvlText w:val=""/>
      <w:lvlJc w:val="left"/>
      <w:pPr>
        <w:ind w:left="360" w:hanging="360"/>
      </w:pPr>
      <w:rPr>
        <w:rFonts w:ascii="Symbol" w:hAnsi="Symbol" w:hint="default"/>
      </w:rPr>
    </w:lvl>
    <w:lvl w:ilvl="1" w:tplc="9E84C9C6" w:tentative="1">
      <w:start w:val="1"/>
      <w:numFmt w:val="bullet"/>
      <w:lvlText w:val="o"/>
      <w:lvlJc w:val="left"/>
      <w:pPr>
        <w:ind w:left="1080" w:hanging="360"/>
      </w:pPr>
      <w:rPr>
        <w:rFonts w:ascii="Courier New" w:hAnsi="Courier New" w:cs="Courier New" w:hint="default"/>
      </w:rPr>
    </w:lvl>
    <w:lvl w:ilvl="2" w:tplc="5ED0D140" w:tentative="1">
      <w:start w:val="1"/>
      <w:numFmt w:val="bullet"/>
      <w:lvlText w:val=""/>
      <w:lvlJc w:val="left"/>
      <w:pPr>
        <w:ind w:left="1800" w:hanging="360"/>
      </w:pPr>
      <w:rPr>
        <w:rFonts w:ascii="Wingdings" w:hAnsi="Wingdings" w:hint="default"/>
      </w:rPr>
    </w:lvl>
    <w:lvl w:ilvl="3" w:tplc="10725710" w:tentative="1">
      <w:start w:val="1"/>
      <w:numFmt w:val="bullet"/>
      <w:lvlText w:val=""/>
      <w:lvlJc w:val="left"/>
      <w:pPr>
        <w:ind w:left="2520" w:hanging="360"/>
      </w:pPr>
      <w:rPr>
        <w:rFonts w:ascii="Symbol" w:hAnsi="Symbol" w:hint="default"/>
      </w:rPr>
    </w:lvl>
    <w:lvl w:ilvl="4" w:tplc="6B120CEE" w:tentative="1">
      <w:start w:val="1"/>
      <w:numFmt w:val="bullet"/>
      <w:lvlText w:val="o"/>
      <w:lvlJc w:val="left"/>
      <w:pPr>
        <w:ind w:left="3240" w:hanging="360"/>
      </w:pPr>
      <w:rPr>
        <w:rFonts w:ascii="Courier New" w:hAnsi="Courier New" w:cs="Courier New" w:hint="default"/>
      </w:rPr>
    </w:lvl>
    <w:lvl w:ilvl="5" w:tplc="843EB980" w:tentative="1">
      <w:start w:val="1"/>
      <w:numFmt w:val="bullet"/>
      <w:lvlText w:val=""/>
      <w:lvlJc w:val="left"/>
      <w:pPr>
        <w:ind w:left="3960" w:hanging="360"/>
      </w:pPr>
      <w:rPr>
        <w:rFonts w:ascii="Wingdings" w:hAnsi="Wingdings" w:hint="default"/>
      </w:rPr>
    </w:lvl>
    <w:lvl w:ilvl="6" w:tplc="076AB826" w:tentative="1">
      <w:start w:val="1"/>
      <w:numFmt w:val="bullet"/>
      <w:lvlText w:val=""/>
      <w:lvlJc w:val="left"/>
      <w:pPr>
        <w:ind w:left="4680" w:hanging="360"/>
      </w:pPr>
      <w:rPr>
        <w:rFonts w:ascii="Symbol" w:hAnsi="Symbol" w:hint="default"/>
      </w:rPr>
    </w:lvl>
    <w:lvl w:ilvl="7" w:tplc="41384F64" w:tentative="1">
      <w:start w:val="1"/>
      <w:numFmt w:val="bullet"/>
      <w:lvlText w:val="o"/>
      <w:lvlJc w:val="left"/>
      <w:pPr>
        <w:ind w:left="5400" w:hanging="360"/>
      </w:pPr>
      <w:rPr>
        <w:rFonts w:ascii="Courier New" w:hAnsi="Courier New" w:cs="Courier New" w:hint="default"/>
      </w:rPr>
    </w:lvl>
    <w:lvl w:ilvl="8" w:tplc="473677A8" w:tentative="1">
      <w:start w:val="1"/>
      <w:numFmt w:val="bullet"/>
      <w:lvlText w:val=""/>
      <w:lvlJc w:val="left"/>
      <w:pPr>
        <w:ind w:left="6120" w:hanging="360"/>
      </w:pPr>
      <w:rPr>
        <w:rFonts w:ascii="Wingdings" w:hAnsi="Wingdings" w:hint="default"/>
      </w:rPr>
    </w:lvl>
  </w:abstractNum>
  <w:abstractNum w:abstractNumId="16" w15:restartNumberingAfterBreak="0">
    <w:nsid w:val="1CD71580"/>
    <w:multiLevelType w:val="hybridMultilevel"/>
    <w:tmpl w:val="16AAE240"/>
    <w:lvl w:ilvl="0" w:tplc="DC38D0F0">
      <w:start w:val="1"/>
      <w:numFmt w:val="bullet"/>
      <w:lvlText w:val=""/>
      <w:lvlJc w:val="left"/>
      <w:pPr>
        <w:ind w:left="360" w:hanging="360"/>
      </w:pPr>
      <w:rPr>
        <w:rFonts w:ascii="Symbol" w:hAnsi="Symbol" w:hint="default"/>
        <w:color w:val="FF7900"/>
      </w:rPr>
    </w:lvl>
    <w:lvl w:ilvl="1" w:tplc="12E66388">
      <w:start w:val="1"/>
      <w:numFmt w:val="bullet"/>
      <w:lvlText w:val="o"/>
      <w:lvlJc w:val="left"/>
      <w:pPr>
        <w:ind w:left="1440" w:hanging="360"/>
      </w:pPr>
      <w:rPr>
        <w:rFonts w:ascii="Courier New" w:hAnsi="Courier New" w:cs="Courier New" w:hint="default"/>
      </w:rPr>
    </w:lvl>
    <w:lvl w:ilvl="2" w:tplc="D5048D88" w:tentative="1">
      <w:start w:val="1"/>
      <w:numFmt w:val="bullet"/>
      <w:lvlText w:val=""/>
      <w:lvlJc w:val="left"/>
      <w:pPr>
        <w:ind w:left="2160" w:hanging="360"/>
      </w:pPr>
      <w:rPr>
        <w:rFonts w:ascii="Wingdings" w:hAnsi="Wingdings" w:hint="default"/>
      </w:rPr>
    </w:lvl>
    <w:lvl w:ilvl="3" w:tplc="1698024C" w:tentative="1">
      <w:start w:val="1"/>
      <w:numFmt w:val="bullet"/>
      <w:lvlText w:val=""/>
      <w:lvlJc w:val="left"/>
      <w:pPr>
        <w:ind w:left="2880" w:hanging="360"/>
      </w:pPr>
      <w:rPr>
        <w:rFonts w:ascii="Symbol" w:hAnsi="Symbol" w:hint="default"/>
      </w:rPr>
    </w:lvl>
    <w:lvl w:ilvl="4" w:tplc="913AD0C8" w:tentative="1">
      <w:start w:val="1"/>
      <w:numFmt w:val="bullet"/>
      <w:lvlText w:val="o"/>
      <w:lvlJc w:val="left"/>
      <w:pPr>
        <w:ind w:left="3600" w:hanging="360"/>
      </w:pPr>
      <w:rPr>
        <w:rFonts w:ascii="Courier New" w:hAnsi="Courier New" w:cs="Courier New" w:hint="default"/>
      </w:rPr>
    </w:lvl>
    <w:lvl w:ilvl="5" w:tplc="45F2D56A" w:tentative="1">
      <w:start w:val="1"/>
      <w:numFmt w:val="bullet"/>
      <w:lvlText w:val=""/>
      <w:lvlJc w:val="left"/>
      <w:pPr>
        <w:ind w:left="4320" w:hanging="360"/>
      </w:pPr>
      <w:rPr>
        <w:rFonts w:ascii="Wingdings" w:hAnsi="Wingdings" w:hint="default"/>
      </w:rPr>
    </w:lvl>
    <w:lvl w:ilvl="6" w:tplc="C1D0D1E8" w:tentative="1">
      <w:start w:val="1"/>
      <w:numFmt w:val="bullet"/>
      <w:lvlText w:val=""/>
      <w:lvlJc w:val="left"/>
      <w:pPr>
        <w:ind w:left="5040" w:hanging="360"/>
      </w:pPr>
      <w:rPr>
        <w:rFonts w:ascii="Symbol" w:hAnsi="Symbol" w:hint="default"/>
      </w:rPr>
    </w:lvl>
    <w:lvl w:ilvl="7" w:tplc="57E203BE" w:tentative="1">
      <w:start w:val="1"/>
      <w:numFmt w:val="bullet"/>
      <w:lvlText w:val="o"/>
      <w:lvlJc w:val="left"/>
      <w:pPr>
        <w:ind w:left="5760" w:hanging="360"/>
      </w:pPr>
      <w:rPr>
        <w:rFonts w:ascii="Courier New" w:hAnsi="Courier New" w:cs="Courier New" w:hint="default"/>
      </w:rPr>
    </w:lvl>
    <w:lvl w:ilvl="8" w:tplc="ECC00476" w:tentative="1">
      <w:start w:val="1"/>
      <w:numFmt w:val="bullet"/>
      <w:lvlText w:val=""/>
      <w:lvlJc w:val="left"/>
      <w:pPr>
        <w:ind w:left="6480" w:hanging="360"/>
      </w:pPr>
      <w:rPr>
        <w:rFonts w:ascii="Wingdings" w:hAnsi="Wingdings" w:hint="default"/>
      </w:rPr>
    </w:lvl>
  </w:abstractNum>
  <w:abstractNum w:abstractNumId="17" w15:restartNumberingAfterBreak="0">
    <w:nsid w:val="1EB42155"/>
    <w:multiLevelType w:val="hybridMultilevel"/>
    <w:tmpl w:val="C9A42606"/>
    <w:lvl w:ilvl="0" w:tplc="91ACF9AC">
      <w:numFmt w:val="bullet"/>
      <w:lvlText w:val="•"/>
      <w:lvlJc w:val="left"/>
      <w:pPr>
        <w:ind w:left="1080" w:hanging="720"/>
      </w:pPr>
      <w:rPr>
        <w:rFonts w:ascii="Cambria" w:eastAsiaTheme="minorHAnsi" w:hAnsi="Cambria" w:cstheme="minorBidi" w:hint="default"/>
      </w:rPr>
    </w:lvl>
    <w:lvl w:ilvl="1" w:tplc="0270FFD8" w:tentative="1">
      <w:start w:val="1"/>
      <w:numFmt w:val="bullet"/>
      <w:lvlText w:val="o"/>
      <w:lvlJc w:val="left"/>
      <w:pPr>
        <w:ind w:left="1440" w:hanging="360"/>
      </w:pPr>
      <w:rPr>
        <w:rFonts w:ascii="Courier New" w:hAnsi="Courier New" w:cs="Courier New" w:hint="default"/>
      </w:rPr>
    </w:lvl>
    <w:lvl w:ilvl="2" w:tplc="BAC485FA" w:tentative="1">
      <w:start w:val="1"/>
      <w:numFmt w:val="bullet"/>
      <w:lvlText w:val=""/>
      <w:lvlJc w:val="left"/>
      <w:pPr>
        <w:ind w:left="2160" w:hanging="360"/>
      </w:pPr>
      <w:rPr>
        <w:rFonts w:ascii="Wingdings" w:hAnsi="Wingdings" w:hint="default"/>
      </w:rPr>
    </w:lvl>
    <w:lvl w:ilvl="3" w:tplc="4BB281D0" w:tentative="1">
      <w:start w:val="1"/>
      <w:numFmt w:val="bullet"/>
      <w:lvlText w:val=""/>
      <w:lvlJc w:val="left"/>
      <w:pPr>
        <w:ind w:left="2880" w:hanging="360"/>
      </w:pPr>
      <w:rPr>
        <w:rFonts w:ascii="Symbol" w:hAnsi="Symbol" w:hint="default"/>
      </w:rPr>
    </w:lvl>
    <w:lvl w:ilvl="4" w:tplc="7B90A7F0" w:tentative="1">
      <w:start w:val="1"/>
      <w:numFmt w:val="bullet"/>
      <w:lvlText w:val="o"/>
      <w:lvlJc w:val="left"/>
      <w:pPr>
        <w:ind w:left="3600" w:hanging="360"/>
      </w:pPr>
      <w:rPr>
        <w:rFonts w:ascii="Courier New" w:hAnsi="Courier New" w:cs="Courier New" w:hint="default"/>
      </w:rPr>
    </w:lvl>
    <w:lvl w:ilvl="5" w:tplc="1642380C" w:tentative="1">
      <w:start w:val="1"/>
      <w:numFmt w:val="bullet"/>
      <w:lvlText w:val=""/>
      <w:lvlJc w:val="left"/>
      <w:pPr>
        <w:ind w:left="4320" w:hanging="360"/>
      </w:pPr>
      <w:rPr>
        <w:rFonts w:ascii="Wingdings" w:hAnsi="Wingdings" w:hint="default"/>
      </w:rPr>
    </w:lvl>
    <w:lvl w:ilvl="6" w:tplc="7AF81A6E" w:tentative="1">
      <w:start w:val="1"/>
      <w:numFmt w:val="bullet"/>
      <w:lvlText w:val=""/>
      <w:lvlJc w:val="left"/>
      <w:pPr>
        <w:ind w:left="5040" w:hanging="360"/>
      </w:pPr>
      <w:rPr>
        <w:rFonts w:ascii="Symbol" w:hAnsi="Symbol" w:hint="default"/>
      </w:rPr>
    </w:lvl>
    <w:lvl w:ilvl="7" w:tplc="3946AE0A" w:tentative="1">
      <w:start w:val="1"/>
      <w:numFmt w:val="bullet"/>
      <w:lvlText w:val="o"/>
      <w:lvlJc w:val="left"/>
      <w:pPr>
        <w:ind w:left="5760" w:hanging="360"/>
      </w:pPr>
      <w:rPr>
        <w:rFonts w:ascii="Courier New" w:hAnsi="Courier New" w:cs="Courier New" w:hint="default"/>
      </w:rPr>
    </w:lvl>
    <w:lvl w:ilvl="8" w:tplc="663EAF5A" w:tentative="1">
      <w:start w:val="1"/>
      <w:numFmt w:val="bullet"/>
      <w:lvlText w:val=""/>
      <w:lvlJc w:val="left"/>
      <w:pPr>
        <w:ind w:left="6480" w:hanging="360"/>
      </w:pPr>
      <w:rPr>
        <w:rFonts w:ascii="Wingdings" w:hAnsi="Wingdings" w:hint="default"/>
      </w:rPr>
    </w:lvl>
  </w:abstractNum>
  <w:abstractNum w:abstractNumId="18" w15:restartNumberingAfterBreak="0">
    <w:nsid w:val="1F8617B6"/>
    <w:multiLevelType w:val="hybridMultilevel"/>
    <w:tmpl w:val="C1E63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A328D5"/>
    <w:multiLevelType w:val="multilevel"/>
    <w:tmpl w:val="BE78A4F8"/>
    <w:numStyleLink w:val="Numberlist"/>
  </w:abstractNum>
  <w:abstractNum w:abstractNumId="20"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37C0B4B"/>
    <w:multiLevelType w:val="hybridMultilevel"/>
    <w:tmpl w:val="845A02A8"/>
    <w:lvl w:ilvl="0" w:tplc="37C4E96A">
      <w:numFmt w:val="bullet"/>
      <w:lvlText w:val=""/>
      <w:lvlJc w:val="left"/>
      <w:pPr>
        <w:ind w:left="720" w:hanging="360"/>
      </w:pPr>
      <w:rPr>
        <w:rFonts w:ascii="Symbol" w:eastAsia="Calibri" w:hAnsi="Symbol" w:cs="Calibri" w:hint="default"/>
      </w:rPr>
    </w:lvl>
    <w:lvl w:ilvl="1" w:tplc="3A1A4750">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80324A3"/>
    <w:multiLevelType w:val="hybridMultilevel"/>
    <w:tmpl w:val="6EDE9E8A"/>
    <w:lvl w:ilvl="0" w:tplc="C7103C24">
      <w:start w:val="1"/>
      <w:numFmt w:val="bullet"/>
      <w:lvlText w:val=""/>
      <w:lvlJc w:val="left"/>
      <w:pPr>
        <w:ind w:left="720" w:hanging="360"/>
      </w:pPr>
      <w:rPr>
        <w:rFonts w:ascii="Symbol" w:hAnsi="Symbol" w:hint="default"/>
      </w:rPr>
    </w:lvl>
    <w:lvl w:ilvl="1" w:tplc="BF769438" w:tentative="1">
      <w:start w:val="1"/>
      <w:numFmt w:val="bullet"/>
      <w:lvlText w:val="o"/>
      <w:lvlJc w:val="left"/>
      <w:pPr>
        <w:ind w:left="1440" w:hanging="360"/>
      </w:pPr>
      <w:rPr>
        <w:rFonts w:ascii="Courier New" w:hAnsi="Courier New" w:cs="Courier New" w:hint="default"/>
      </w:rPr>
    </w:lvl>
    <w:lvl w:ilvl="2" w:tplc="AD1C97E0" w:tentative="1">
      <w:start w:val="1"/>
      <w:numFmt w:val="bullet"/>
      <w:lvlText w:val=""/>
      <w:lvlJc w:val="left"/>
      <w:pPr>
        <w:ind w:left="2160" w:hanging="360"/>
      </w:pPr>
      <w:rPr>
        <w:rFonts w:ascii="Wingdings" w:hAnsi="Wingdings" w:hint="default"/>
      </w:rPr>
    </w:lvl>
    <w:lvl w:ilvl="3" w:tplc="01D23658" w:tentative="1">
      <w:start w:val="1"/>
      <w:numFmt w:val="bullet"/>
      <w:lvlText w:val=""/>
      <w:lvlJc w:val="left"/>
      <w:pPr>
        <w:ind w:left="2880" w:hanging="360"/>
      </w:pPr>
      <w:rPr>
        <w:rFonts w:ascii="Symbol" w:hAnsi="Symbol" w:hint="default"/>
      </w:rPr>
    </w:lvl>
    <w:lvl w:ilvl="4" w:tplc="4ED83044" w:tentative="1">
      <w:start w:val="1"/>
      <w:numFmt w:val="bullet"/>
      <w:lvlText w:val="o"/>
      <w:lvlJc w:val="left"/>
      <w:pPr>
        <w:ind w:left="3600" w:hanging="360"/>
      </w:pPr>
      <w:rPr>
        <w:rFonts w:ascii="Courier New" w:hAnsi="Courier New" w:cs="Courier New" w:hint="default"/>
      </w:rPr>
    </w:lvl>
    <w:lvl w:ilvl="5" w:tplc="0D909D70" w:tentative="1">
      <w:start w:val="1"/>
      <w:numFmt w:val="bullet"/>
      <w:lvlText w:val=""/>
      <w:lvlJc w:val="left"/>
      <w:pPr>
        <w:ind w:left="4320" w:hanging="360"/>
      </w:pPr>
      <w:rPr>
        <w:rFonts w:ascii="Wingdings" w:hAnsi="Wingdings" w:hint="default"/>
      </w:rPr>
    </w:lvl>
    <w:lvl w:ilvl="6" w:tplc="7814FC14" w:tentative="1">
      <w:start w:val="1"/>
      <w:numFmt w:val="bullet"/>
      <w:lvlText w:val=""/>
      <w:lvlJc w:val="left"/>
      <w:pPr>
        <w:ind w:left="5040" w:hanging="360"/>
      </w:pPr>
      <w:rPr>
        <w:rFonts w:ascii="Symbol" w:hAnsi="Symbol" w:hint="default"/>
      </w:rPr>
    </w:lvl>
    <w:lvl w:ilvl="7" w:tplc="0F84AAE2" w:tentative="1">
      <w:start w:val="1"/>
      <w:numFmt w:val="bullet"/>
      <w:lvlText w:val="o"/>
      <w:lvlJc w:val="left"/>
      <w:pPr>
        <w:ind w:left="5760" w:hanging="360"/>
      </w:pPr>
      <w:rPr>
        <w:rFonts w:ascii="Courier New" w:hAnsi="Courier New" w:cs="Courier New" w:hint="default"/>
      </w:rPr>
    </w:lvl>
    <w:lvl w:ilvl="8" w:tplc="1DA2279A" w:tentative="1">
      <w:start w:val="1"/>
      <w:numFmt w:val="bullet"/>
      <w:lvlText w:val=""/>
      <w:lvlJc w:val="left"/>
      <w:pPr>
        <w:ind w:left="6480" w:hanging="360"/>
      </w:pPr>
      <w:rPr>
        <w:rFonts w:ascii="Wingdings" w:hAnsi="Wingdings" w:hint="default"/>
      </w:rPr>
    </w:lvl>
  </w:abstractNum>
  <w:abstractNum w:abstractNumId="23" w15:restartNumberingAfterBreak="0">
    <w:nsid w:val="2B103637"/>
    <w:multiLevelType w:val="multilevel"/>
    <w:tmpl w:val="BE78A4F8"/>
    <w:numStyleLink w:val="Numberlist"/>
  </w:abstractNum>
  <w:abstractNum w:abstractNumId="24" w15:restartNumberingAfterBreak="0">
    <w:nsid w:val="30CB2149"/>
    <w:multiLevelType w:val="hybridMultilevel"/>
    <w:tmpl w:val="408E0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B8135A"/>
    <w:multiLevelType w:val="hybridMultilevel"/>
    <w:tmpl w:val="4CE8E21A"/>
    <w:lvl w:ilvl="0" w:tplc="55C628CC">
      <w:numFmt w:val="bullet"/>
      <w:lvlText w:val="•"/>
      <w:lvlJc w:val="left"/>
      <w:pPr>
        <w:ind w:left="1080" w:hanging="720"/>
      </w:pPr>
      <w:rPr>
        <w:rFonts w:ascii="Calibri" w:eastAsiaTheme="minorHAnsi" w:hAnsi="Calibri" w:cs="Calibri" w:hint="default"/>
      </w:rPr>
    </w:lvl>
    <w:lvl w:ilvl="1" w:tplc="7D828606" w:tentative="1">
      <w:start w:val="1"/>
      <w:numFmt w:val="bullet"/>
      <w:lvlText w:val="o"/>
      <w:lvlJc w:val="left"/>
      <w:pPr>
        <w:ind w:left="1440" w:hanging="360"/>
      </w:pPr>
      <w:rPr>
        <w:rFonts w:ascii="Courier New" w:hAnsi="Courier New" w:cs="Courier New" w:hint="default"/>
      </w:rPr>
    </w:lvl>
    <w:lvl w:ilvl="2" w:tplc="F9CA42DA" w:tentative="1">
      <w:start w:val="1"/>
      <w:numFmt w:val="bullet"/>
      <w:lvlText w:val=""/>
      <w:lvlJc w:val="left"/>
      <w:pPr>
        <w:ind w:left="2160" w:hanging="360"/>
      </w:pPr>
      <w:rPr>
        <w:rFonts w:ascii="Wingdings" w:hAnsi="Wingdings" w:hint="default"/>
      </w:rPr>
    </w:lvl>
    <w:lvl w:ilvl="3" w:tplc="004E1F00" w:tentative="1">
      <w:start w:val="1"/>
      <w:numFmt w:val="bullet"/>
      <w:lvlText w:val=""/>
      <w:lvlJc w:val="left"/>
      <w:pPr>
        <w:ind w:left="2880" w:hanging="360"/>
      </w:pPr>
      <w:rPr>
        <w:rFonts w:ascii="Symbol" w:hAnsi="Symbol" w:hint="default"/>
      </w:rPr>
    </w:lvl>
    <w:lvl w:ilvl="4" w:tplc="9028F8B4" w:tentative="1">
      <w:start w:val="1"/>
      <w:numFmt w:val="bullet"/>
      <w:lvlText w:val="o"/>
      <w:lvlJc w:val="left"/>
      <w:pPr>
        <w:ind w:left="3600" w:hanging="360"/>
      </w:pPr>
      <w:rPr>
        <w:rFonts w:ascii="Courier New" w:hAnsi="Courier New" w:cs="Courier New" w:hint="default"/>
      </w:rPr>
    </w:lvl>
    <w:lvl w:ilvl="5" w:tplc="B290ADCE" w:tentative="1">
      <w:start w:val="1"/>
      <w:numFmt w:val="bullet"/>
      <w:lvlText w:val=""/>
      <w:lvlJc w:val="left"/>
      <w:pPr>
        <w:ind w:left="4320" w:hanging="360"/>
      </w:pPr>
      <w:rPr>
        <w:rFonts w:ascii="Wingdings" w:hAnsi="Wingdings" w:hint="default"/>
      </w:rPr>
    </w:lvl>
    <w:lvl w:ilvl="6" w:tplc="355C5AF4" w:tentative="1">
      <w:start w:val="1"/>
      <w:numFmt w:val="bullet"/>
      <w:lvlText w:val=""/>
      <w:lvlJc w:val="left"/>
      <w:pPr>
        <w:ind w:left="5040" w:hanging="360"/>
      </w:pPr>
      <w:rPr>
        <w:rFonts w:ascii="Symbol" w:hAnsi="Symbol" w:hint="default"/>
      </w:rPr>
    </w:lvl>
    <w:lvl w:ilvl="7" w:tplc="CCAC6022" w:tentative="1">
      <w:start w:val="1"/>
      <w:numFmt w:val="bullet"/>
      <w:lvlText w:val="o"/>
      <w:lvlJc w:val="left"/>
      <w:pPr>
        <w:ind w:left="5760" w:hanging="360"/>
      </w:pPr>
      <w:rPr>
        <w:rFonts w:ascii="Courier New" w:hAnsi="Courier New" w:cs="Courier New" w:hint="default"/>
      </w:rPr>
    </w:lvl>
    <w:lvl w:ilvl="8" w:tplc="55A0630A" w:tentative="1">
      <w:start w:val="1"/>
      <w:numFmt w:val="bullet"/>
      <w:lvlText w:val=""/>
      <w:lvlJc w:val="left"/>
      <w:pPr>
        <w:ind w:left="6480" w:hanging="360"/>
      </w:pPr>
      <w:rPr>
        <w:rFonts w:ascii="Wingdings" w:hAnsi="Wingdings" w:hint="default"/>
      </w:rPr>
    </w:lvl>
  </w:abstractNum>
  <w:abstractNum w:abstractNumId="26" w15:restartNumberingAfterBreak="0">
    <w:nsid w:val="363E3698"/>
    <w:multiLevelType w:val="hybridMultilevel"/>
    <w:tmpl w:val="BC92E1C4"/>
    <w:lvl w:ilvl="0" w:tplc="B54A876A">
      <w:numFmt w:val="bullet"/>
      <w:lvlText w:val=""/>
      <w:lvlJc w:val="left"/>
      <w:pPr>
        <w:ind w:left="1080" w:hanging="720"/>
      </w:pPr>
      <w:rPr>
        <w:rFonts w:ascii="Symbol" w:eastAsiaTheme="minorHAnsi" w:hAnsi="Symbol" w:cstheme="minorBidi" w:hint="default"/>
      </w:rPr>
    </w:lvl>
    <w:lvl w:ilvl="1" w:tplc="55225DC0" w:tentative="1">
      <w:start w:val="1"/>
      <w:numFmt w:val="bullet"/>
      <w:lvlText w:val="o"/>
      <w:lvlJc w:val="left"/>
      <w:pPr>
        <w:ind w:left="1440" w:hanging="360"/>
      </w:pPr>
      <w:rPr>
        <w:rFonts w:ascii="Courier New" w:hAnsi="Courier New" w:cs="Courier New" w:hint="default"/>
      </w:rPr>
    </w:lvl>
    <w:lvl w:ilvl="2" w:tplc="2D56C024" w:tentative="1">
      <w:start w:val="1"/>
      <w:numFmt w:val="bullet"/>
      <w:lvlText w:val=""/>
      <w:lvlJc w:val="left"/>
      <w:pPr>
        <w:ind w:left="2160" w:hanging="360"/>
      </w:pPr>
      <w:rPr>
        <w:rFonts w:ascii="Wingdings" w:hAnsi="Wingdings" w:hint="default"/>
      </w:rPr>
    </w:lvl>
    <w:lvl w:ilvl="3" w:tplc="A9EA02D2" w:tentative="1">
      <w:start w:val="1"/>
      <w:numFmt w:val="bullet"/>
      <w:lvlText w:val=""/>
      <w:lvlJc w:val="left"/>
      <w:pPr>
        <w:ind w:left="2880" w:hanging="360"/>
      </w:pPr>
      <w:rPr>
        <w:rFonts w:ascii="Symbol" w:hAnsi="Symbol" w:hint="default"/>
      </w:rPr>
    </w:lvl>
    <w:lvl w:ilvl="4" w:tplc="8B66717A" w:tentative="1">
      <w:start w:val="1"/>
      <w:numFmt w:val="bullet"/>
      <w:lvlText w:val="o"/>
      <w:lvlJc w:val="left"/>
      <w:pPr>
        <w:ind w:left="3600" w:hanging="360"/>
      </w:pPr>
      <w:rPr>
        <w:rFonts w:ascii="Courier New" w:hAnsi="Courier New" w:cs="Courier New" w:hint="default"/>
      </w:rPr>
    </w:lvl>
    <w:lvl w:ilvl="5" w:tplc="D4F657A2" w:tentative="1">
      <w:start w:val="1"/>
      <w:numFmt w:val="bullet"/>
      <w:lvlText w:val=""/>
      <w:lvlJc w:val="left"/>
      <w:pPr>
        <w:ind w:left="4320" w:hanging="360"/>
      </w:pPr>
      <w:rPr>
        <w:rFonts w:ascii="Wingdings" w:hAnsi="Wingdings" w:hint="default"/>
      </w:rPr>
    </w:lvl>
    <w:lvl w:ilvl="6" w:tplc="6E4CB1EA" w:tentative="1">
      <w:start w:val="1"/>
      <w:numFmt w:val="bullet"/>
      <w:lvlText w:val=""/>
      <w:lvlJc w:val="left"/>
      <w:pPr>
        <w:ind w:left="5040" w:hanging="360"/>
      </w:pPr>
      <w:rPr>
        <w:rFonts w:ascii="Symbol" w:hAnsi="Symbol" w:hint="default"/>
      </w:rPr>
    </w:lvl>
    <w:lvl w:ilvl="7" w:tplc="122A314E" w:tentative="1">
      <w:start w:val="1"/>
      <w:numFmt w:val="bullet"/>
      <w:lvlText w:val="o"/>
      <w:lvlJc w:val="left"/>
      <w:pPr>
        <w:ind w:left="5760" w:hanging="360"/>
      </w:pPr>
      <w:rPr>
        <w:rFonts w:ascii="Courier New" w:hAnsi="Courier New" w:cs="Courier New" w:hint="default"/>
      </w:rPr>
    </w:lvl>
    <w:lvl w:ilvl="8" w:tplc="05E45646" w:tentative="1">
      <w:start w:val="1"/>
      <w:numFmt w:val="bullet"/>
      <w:lvlText w:val=""/>
      <w:lvlJc w:val="left"/>
      <w:pPr>
        <w:ind w:left="6480" w:hanging="360"/>
      </w:pPr>
      <w:rPr>
        <w:rFonts w:ascii="Wingdings" w:hAnsi="Wingdings" w:hint="default"/>
      </w:rPr>
    </w:lvl>
  </w:abstractNum>
  <w:abstractNum w:abstractNumId="27" w15:restartNumberingAfterBreak="0">
    <w:nsid w:val="394A15FE"/>
    <w:multiLevelType w:val="multilevel"/>
    <w:tmpl w:val="F36C17E8"/>
    <w:numStyleLink w:val="Headinglist"/>
  </w:abstractNum>
  <w:abstractNum w:abstractNumId="28" w15:restartNumberingAfterBreak="0">
    <w:nsid w:val="414F4729"/>
    <w:multiLevelType w:val="multilevel"/>
    <w:tmpl w:val="A0241B28"/>
    <w:numStyleLink w:val="List1"/>
  </w:abstractNum>
  <w:abstractNum w:abstractNumId="29" w15:restartNumberingAfterBreak="0">
    <w:nsid w:val="44053B32"/>
    <w:multiLevelType w:val="hybridMultilevel"/>
    <w:tmpl w:val="6D9EC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86800B4"/>
    <w:multiLevelType w:val="multilevel"/>
    <w:tmpl w:val="A0241B28"/>
    <w:numStyleLink w:val="List1"/>
  </w:abstractNum>
  <w:abstractNum w:abstractNumId="31" w15:restartNumberingAfterBreak="0">
    <w:nsid w:val="48DE2E4A"/>
    <w:multiLevelType w:val="hybridMultilevel"/>
    <w:tmpl w:val="B7086130"/>
    <w:lvl w:ilvl="0" w:tplc="59FEBF30">
      <w:start w:val="1"/>
      <w:numFmt w:val="bullet"/>
      <w:pStyle w:val="BoxTextBullet"/>
      <w:lvlText w:val=""/>
      <w:lvlJc w:val="left"/>
      <w:pPr>
        <w:ind w:left="720" w:hanging="360"/>
      </w:pPr>
      <w:rPr>
        <w:rFonts w:ascii="Symbol" w:hAnsi="Symbol" w:hint="default"/>
      </w:rPr>
    </w:lvl>
    <w:lvl w:ilvl="1" w:tplc="1412790E" w:tentative="1">
      <w:start w:val="1"/>
      <w:numFmt w:val="bullet"/>
      <w:lvlText w:val="o"/>
      <w:lvlJc w:val="left"/>
      <w:pPr>
        <w:ind w:left="1440" w:hanging="360"/>
      </w:pPr>
      <w:rPr>
        <w:rFonts w:ascii="Courier New" w:hAnsi="Courier New" w:cs="Courier New" w:hint="default"/>
      </w:rPr>
    </w:lvl>
    <w:lvl w:ilvl="2" w:tplc="B37E63D2" w:tentative="1">
      <w:start w:val="1"/>
      <w:numFmt w:val="bullet"/>
      <w:lvlText w:val=""/>
      <w:lvlJc w:val="left"/>
      <w:pPr>
        <w:ind w:left="2160" w:hanging="360"/>
      </w:pPr>
      <w:rPr>
        <w:rFonts w:ascii="Wingdings" w:hAnsi="Wingdings" w:hint="default"/>
      </w:rPr>
    </w:lvl>
    <w:lvl w:ilvl="3" w:tplc="000AC262" w:tentative="1">
      <w:start w:val="1"/>
      <w:numFmt w:val="bullet"/>
      <w:lvlText w:val=""/>
      <w:lvlJc w:val="left"/>
      <w:pPr>
        <w:ind w:left="2880" w:hanging="360"/>
      </w:pPr>
      <w:rPr>
        <w:rFonts w:ascii="Symbol" w:hAnsi="Symbol" w:hint="default"/>
      </w:rPr>
    </w:lvl>
    <w:lvl w:ilvl="4" w:tplc="E4622C24" w:tentative="1">
      <w:start w:val="1"/>
      <w:numFmt w:val="bullet"/>
      <w:lvlText w:val="o"/>
      <w:lvlJc w:val="left"/>
      <w:pPr>
        <w:ind w:left="3600" w:hanging="360"/>
      </w:pPr>
      <w:rPr>
        <w:rFonts w:ascii="Courier New" w:hAnsi="Courier New" w:cs="Courier New" w:hint="default"/>
      </w:rPr>
    </w:lvl>
    <w:lvl w:ilvl="5" w:tplc="B508983C" w:tentative="1">
      <w:start w:val="1"/>
      <w:numFmt w:val="bullet"/>
      <w:lvlText w:val=""/>
      <w:lvlJc w:val="left"/>
      <w:pPr>
        <w:ind w:left="4320" w:hanging="360"/>
      </w:pPr>
      <w:rPr>
        <w:rFonts w:ascii="Wingdings" w:hAnsi="Wingdings" w:hint="default"/>
      </w:rPr>
    </w:lvl>
    <w:lvl w:ilvl="6" w:tplc="C0AC1D78" w:tentative="1">
      <w:start w:val="1"/>
      <w:numFmt w:val="bullet"/>
      <w:lvlText w:val=""/>
      <w:lvlJc w:val="left"/>
      <w:pPr>
        <w:ind w:left="5040" w:hanging="360"/>
      </w:pPr>
      <w:rPr>
        <w:rFonts w:ascii="Symbol" w:hAnsi="Symbol" w:hint="default"/>
      </w:rPr>
    </w:lvl>
    <w:lvl w:ilvl="7" w:tplc="DA021214" w:tentative="1">
      <w:start w:val="1"/>
      <w:numFmt w:val="bullet"/>
      <w:lvlText w:val="o"/>
      <w:lvlJc w:val="left"/>
      <w:pPr>
        <w:ind w:left="5760" w:hanging="360"/>
      </w:pPr>
      <w:rPr>
        <w:rFonts w:ascii="Courier New" w:hAnsi="Courier New" w:cs="Courier New" w:hint="default"/>
      </w:rPr>
    </w:lvl>
    <w:lvl w:ilvl="8" w:tplc="D0B2B564" w:tentative="1">
      <w:start w:val="1"/>
      <w:numFmt w:val="bullet"/>
      <w:lvlText w:val=""/>
      <w:lvlJc w:val="left"/>
      <w:pPr>
        <w:ind w:left="6480" w:hanging="360"/>
      </w:pPr>
      <w:rPr>
        <w:rFonts w:ascii="Wingdings" w:hAnsi="Wingdings" w:hint="default"/>
      </w:rPr>
    </w:lvl>
  </w:abstractNum>
  <w:abstractNum w:abstractNumId="32" w15:restartNumberingAfterBreak="0">
    <w:nsid w:val="48FF3076"/>
    <w:multiLevelType w:val="hybridMultilevel"/>
    <w:tmpl w:val="031A64E8"/>
    <w:lvl w:ilvl="0" w:tplc="17E29B5E">
      <w:numFmt w:val="bullet"/>
      <w:lvlText w:val="•"/>
      <w:lvlJc w:val="left"/>
      <w:pPr>
        <w:ind w:left="1080" w:hanging="720"/>
      </w:pPr>
      <w:rPr>
        <w:rFonts w:ascii="Cambria" w:eastAsiaTheme="minorHAnsi" w:hAnsi="Cambria" w:cstheme="minorBidi" w:hint="default"/>
      </w:rPr>
    </w:lvl>
    <w:lvl w:ilvl="1" w:tplc="0680A798" w:tentative="1">
      <w:start w:val="1"/>
      <w:numFmt w:val="bullet"/>
      <w:lvlText w:val="o"/>
      <w:lvlJc w:val="left"/>
      <w:pPr>
        <w:ind w:left="1440" w:hanging="360"/>
      </w:pPr>
      <w:rPr>
        <w:rFonts w:ascii="Courier New" w:hAnsi="Courier New" w:cs="Courier New" w:hint="default"/>
      </w:rPr>
    </w:lvl>
    <w:lvl w:ilvl="2" w:tplc="EF6C8FB4" w:tentative="1">
      <w:start w:val="1"/>
      <w:numFmt w:val="bullet"/>
      <w:lvlText w:val=""/>
      <w:lvlJc w:val="left"/>
      <w:pPr>
        <w:ind w:left="2160" w:hanging="360"/>
      </w:pPr>
      <w:rPr>
        <w:rFonts w:ascii="Wingdings" w:hAnsi="Wingdings" w:hint="default"/>
      </w:rPr>
    </w:lvl>
    <w:lvl w:ilvl="3" w:tplc="92069D12" w:tentative="1">
      <w:start w:val="1"/>
      <w:numFmt w:val="bullet"/>
      <w:lvlText w:val=""/>
      <w:lvlJc w:val="left"/>
      <w:pPr>
        <w:ind w:left="2880" w:hanging="360"/>
      </w:pPr>
      <w:rPr>
        <w:rFonts w:ascii="Symbol" w:hAnsi="Symbol" w:hint="default"/>
      </w:rPr>
    </w:lvl>
    <w:lvl w:ilvl="4" w:tplc="5B9E3354" w:tentative="1">
      <w:start w:val="1"/>
      <w:numFmt w:val="bullet"/>
      <w:lvlText w:val="o"/>
      <w:lvlJc w:val="left"/>
      <w:pPr>
        <w:ind w:left="3600" w:hanging="360"/>
      </w:pPr>
      <w:rPr>
        <w:rFonts w:ascii="Courier New" w:hAnsi="Courier New" w:cs="Courier New" w:hint="default"/>
      </w:rPr>
    </w:lvl>
    <w:lvl w:ilvl="5" w:tplc="7C20356C" w:tentative="1">
      <w:start w:val="1"/>
      <w:numFmt w:val="bullet"/>
      <w:lvlText w:val=""/>
      <w:lvlJc w:val="left"/>
      <w:pPr>
        <w:ind w:left="4320" w:hanging="360"/>
      </w:pPr>
      <w:rPr>
        <w:rFonts w:ascii="Wingdings" w:hAnsi="Wingdings" w:hint="default"/>
      </w:rPr>
    </w:lvl>
    <w:lvl w:ilvl="6" w:tplc="DAD008AA" w:tentative="1">
      <w:start w:val="1"/>
      <w:numFmt w:val="bullet"/>
      <w:lvlText w:val=""/>
      <w:lvlJc w:val="left"/>
      <w:pPr>
        <w:ind w:left="5040" w:hanging="360"/>
      </w:pPr>
      <w:rPr>
        <w:rFonts w:ascii="Symbol" w:hAnsi="Symbol" w:hint="default"/>
      </w:rPr>
    </w:lvl>
    <w:lvl w:ilvl="7" w:tplc="BBF062F0" w:tentative="1">
      <w:start w:val="1"/>
      <w:numFmt w:val="bullet"/>
      <w:lvlText w:val="o"/>
      <w:lvlJc w:val="left"/>
      <w:pPr>
        <w:ind w:left="5760" w:hanging="360"/>
      </w:pPr>
      <w:rPr>
        <w:rFonts w:ascii="Courier New" w:hAnsi="Courier New" w:cs="Courier New" w:hint="default"/>
      </w:rPr>
    </w:lvl>
    <w:lvl w:ilvl="8" w:tplc="0A96564C" w:tentative="1">
      <w:start w:val="1"/>
      <w:numFmt w:val="bullet"/>
      <w:lvlText w:val=""/>
      <w:lvlJc w:val="left"/>
      <w:pPr>
        <w:ind w:left="6480" w:hanging="360"/>
      </w:pPr>
      <w:rPr>
        <w:rFonts w:ascii="Wingdings" w:hAnsi="Wingdings" w:hint="default"/>
      </w:rPr>
    </w:lvl>
  </w:abstractNum>
  <w:abstractNum w:abstractNumId="33" w15:restartNumberingAfterBreak="0">
    <w:nsid w:val="496159DC"/>
    <w:multiLevelType w:val="multilevel"/>
    <w:tmpl w:val="BE78A4F8"/>
    <w:numStyleLink w:val="Numberlist"/>
  </w:abstractNum>
  <w:abstractNum w:abstractNumId="3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6"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8C10A1"/>
    <w:multiLevelType w:val="multilevel"/>
    <w:tmpl w:val="BE78A4F8"/>
    <w:numStyleLink w:val="Numberlist"/>
  </w:abstractNum>
  <w:abstractNum w:abstractNumId="41" w15:restartNumberingAfterBreak="0">
    <w:nsid w:val="733934B7"/>
    <w:multiLevelType w:val="multilevel"/>
    <w:tmpl w:val="A0241B28"/>
    <w:numStyleLink w:val="List1"/>
  </w:abstractNum>
  <w:abstractNum w:abstractNumId="42" w15:restartNumberingAfterBreak="0">
    <w:nsid w:val="745376BC"/>
    <w:multiLevelType w:val="hybridMultilevel"/>
    <w:tmpl w:val="2A707208"/>
    <w:lvl w:ilvl="0" w:tplc="D4A0B436">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BE00D48"/>
    <w:multiLevelType w:val="hybridMultilevel"/>
    <w:tmpl w:val="DF52D0E2"/>
    <w:lvl w:ilvl="0" w:tplc="F566CB3E">
      <w:start w:val="1"/>
      <w:numFmt w:val="bullet"/>
      <w:pStyle w:val="dots"/>
      <w:lvlText w:val=""/>
      <w:lvlJc w:val="left"/>
      <w:pPr>
        <w:ind w:left="360" w:hanging="360"/>
      </w:pPr>
      <w:rPr>
        <w:rFonts w:ascii="Symbol" w:hAnsi="Symbol" w:hint="default"/>
      </w:rPr>
    </w:lvl>
    <w:lvl w:ilvl="1" w:tplc="BDBA2DEE">
      <w:start w:val="1"/>
      <w:numFmt w:val="bullet"/>
      <w:pStyle w:val="subdots"/>
      <w:lvlText w:val="o"/>
      <w:lvlJc w:val="left"/>
      <w:pPr>
        <w:ind w:left="1080" w:hanging="360"/>
      </w:pPr>
      <w:rPr>
        <w:rFonts w:ascii="Courier New" w:hAnsi="Courier New" w:cs="Courier New" w:hint="default"/>
      </w:rPr>
    </w:lvl>
    <w:lvl w:ilvl="2" w:tplc="65421FE4">
      <w:start w:val="1"/>
      <w:numFmt w:val="bullet"/>
      <w:lvlText w:val=""/>
      <w:lvlJc w:val="left"/>
      <w:pPr>
        <w:ind w:left="1800" w:hanging="360"/>
      </w:pPr>
      <w:rPr>
        <w:rFonts w:ascii="Wingdings" w:hAnsi="Wingdings" w:hint="default"/>
      </w:rPr>
    </w:lvl>
    <w:lvl w:ilvl="3" w:tplc="DAA20380" w:tentative="1">
      <w:start w:val="1"/>
      <w:numFmt w:val="bullet"/>
      <w:lvlText w:val=""/>
      <w:lvlJc w:val="left"/>
      <w:pPr>
        <w:ind w:left="2520" w:hanging="360"/>
      </w:pPr>
      <w:rPr>
        <w:rFonts w:ascii="Symbol" w:hAnsi="Symbol" w:hint="default"/>
      </w:rPr>
    </w:lvl>
    <w:lvl w:ilvl="4" w:tplc="A5286570" w:tentative="1">
      <w:start w:val="1"/>
      <w:numFmt w:val="bullet"/>
      <w:lvlText w:val="o"/>
      <w:lvlJc w:val="left"/>
      <w:pPr>
        <w:ind w:left="3240" w:hanging="360"/>
      </w:pPr>
      <w:rPr>
        <w:rFonts w:ascii="Courier New" w:hAnsi="Courier New" w:cs="Courier New" w:hint="default"/>
      </w:rPr>
    </w:lvl>
    <w:lvl w:ilvl="5" w:tplc="DE76DD5C" w:tentative="1">
      <w:start w:val="1"/>
      <w:numFmt w:val="bullet"/>
      <w:lvlText w:val=""/>
      <w:lvlJc w:val="left"/>
      <w:pPr>
        <w:ind w:left="3960" w:hanging="360"/>
      </w:pPr>
      <w:rPr>
        <w:rFonts w:ascii="Wingdings" w:hAnsi="Wingdings" w:hint="default"/>
      </w:rPr>
    </w:lvl>
    <w:lvl w:ilvl="6" w:tplc="982E9D94" w:tentative="1">
      <w:start w:val="1"/>
      <w:numFmt w:val="bullet"/>
      <w:lvlText w:val=""/>
      <w:lvlJc w:val="left"/>
      <w:pPr>
        <w:ind w:left="4680" w:hanging="360"/>
      </w:pPr>
      <w:rPr>
        <w:rFonts w:ascii="Symbol" w:hAnsi="Symbol" w:hint="default"/>
      </w:rPr>
    </w:lvl>
    <w:lvl w:ilvl="7" w:tplc="A142EFFE" w:tentative="1">
      <w:start w:val="1"/>
      <w:numFmt w:val="bullet"/>
      <w:lvlText w:val="o"/>
      <w:lvlJc w:val="left"/>
      <w:pPr>
        <w:ind w:left="5400" w:hanging="360"/>
      </w:pPr>
      <w:rPr>
        <w:rFonts w:ascii="Courier New" w:hAnsi="Courier New" w:cs="Courier New" w:hint="default"/>
      </w:rPr>
    </w:lvl>
    <w:lvl w:ilvl="8" w:tplc="766EED68" w:tentative="1">
      <w:start w:val="1"/>
      <w:numFmt w:val="bullet"/>
      <w:lvlText w:val=""/>
      <w:lvlJc w:val="left"/>
      <w:pPr>
        <w:ind w:left="6120" w:hanging="360"/>
      </w:pPr>
      <w:rPr>
        <w:rFonts w:ascii="Wingdings" w:hAnsi="Wingdings" w:hint="default"/>
      </w:rPr>
    </w:lvl>
  </w:abstractNum>
  <w:abstractNum w:abstractNumId="45" w15:restartNumberingAfterBreak="0">
    <w:nsid w:val="7D7B2F65"/>
    <w:multiLevelType w:val="hybridMultilevel"/>
    <w:tmpl w:val="DA10362C"/>
    <w:lvl w:ilvl="0" w:tplc="4426BCEE">
      <w:start w:val="1"/>
      <w:numFmt w:val="bullet"/>
      <w:lvlText w:val=""/>
      <w:lvlJc w:val="left"/>
      <w:pPr>
        <w:ind w:left="360" w:hanging="360"/>
      </w:pPr>
      <w:rPr>
        <w:rFonts w:ascii="Symbol" w:hAnsi="Symbol" w:hint="default"/>
      </w:rPr>
    </w:lvl>
    <w:lvl w:ilvl="1" w:tplc="726CF662" w:tentative="1">
      <w:start w:val="1"/>
      <w:numFmt w:val="bullet"/>
      <w:lvlText w:val="o"/>
      <w:lvlJc w:val="left"/>
      <w:pPr>
        <w:ind w:left="1080" w:hanging="360"/>
      </w:pPr>
      <w:rPr>
        <w:rFonts w:ascii="Courier New" w:hAnsi="Courier New" w:cs="Courier New" w:hint="default"/>
      </w:rPr>
    </w:lvl>
    <w:lvl w:ilvl="2" w:tplc="CAAA6294" w:tentative="1">
      <w:start w:val="1"/>
      <w:numFmt w:val="bullet"/>
      <w:lvlText w:val=""/>
      <w:lvlJc w:val="left"/>
      <w:pPr>
        <w:ind w:left="1800" w:hanging="360"/>
      </w:pPr>
      <w:rPr>
        <w:rFonts w:ascii="Wingdings" w:hAnsi="Wingdings" w:hint="default"/>
      </w:rPr>
    </w:lvl>
    <w:lvl w:ilvl="3" w:tplc="3F587B6A" w:tentative="1">
      <w:start w:val="1"/>
      <w:numFmt w:val="bullet"/>
      <w:lvlText w:val=""/>
      <w:lvlJc w:val="left"/>
      <w:pPr>
        <w:ind w:left="2520" w:hanging="360"/>
      </w:pPr>
      <w:rPr>
        <w:rFonts w:ascii="Symbol" w:hAnsi="Symbol" w:hint="default"/>
      </w:rPr>
    </w:lvl>
    <w:lvl w:ilvl="4" w:tplc="1748954E" w:tentative="1">
      <w:start w:val="1"/>
      <w:numFmt w:val="bullet"/>
      <w:lvlText w:val="o"/>
      <w:lvlJc w:val="left"/>
      <w:pPr>
        <w:ind w:left="3240" w:hanging="360"/>
      </w:pPr>
      <w:rPr>
        <w:rFonts w:ascii="Courier New" w:hAnsi="Courier New" w:cs="Courier New" w:hint="default"/>
      </w:rPr>
    </w:lvl>
    <w:lvl w:ilvl="5" w:tplc="791CA31E" w:tentative="1">
      <w:start w:val="1"/>
      <w:numFmt w:val="bullet"/>
      <w:lvlText w:val=""/>
      <w:lvlJc w:val="left"/>
      <w:pPr>
        <w:ind w:left="3960" w:hanging="360"/>
      </w:pPr>
      <w:rPr>
        <w:rFonts w:ascii="Wingdings" w:hAnsi="Wingdings" w:hint="default"/>
      </w:rPr>
    </w:lvl>
    <w:lvl w:ilvl="6" w:tplc="5A12C01E" w:tentative="1">
      <w:start w:val="1"/>
      <w:numFmt w:val="bullet"/>
      <w:lvlText w:val=""/>
      <w:lvlJc w:val="left"/>
      <w:pPr>
        <w:ind w:left="4680" w:hanging="360"/>
      </w:pPr>
      <w:rPr>
        <w:rFonts w:ascii="Symbol" w:hAnsi="Symbol" w:hint="default"/>
      </w:rPr>
    </w:lvl>
    <w:lvl w:ilvl="7" w:tplc="EF7C2502" w:tentative="1">
      <w:start w:val="1"/>
      <w:numFmt w:val="bullet"/>
      <w:lvlText w:val="o"/>
      <w:lvlJc w:val="left"/>
      <w:pPr>
        <w:ind w:left="5400" w:hanging="360"/>
      </w:pPr>
      <w:rPr>
        <w:rFonts w:ascii="Courier New" w:hAnsi="Courier New" w:cs="Courier New" w:hint="default"/>
      </w:rPr>
    </w:lvl>
    <w:lvl w:ilvl="8" w:tplc="1DFCBEC2" w:tentative="1">
      <w:start w:val="1"/>
      <w:numFmt w:val="bullet"/>
      <w:lvlText w:val=""/>
      <w:lvlJc w:val="left"/>
      <w:pPr>
        <w:ind w:left="6120" w:hanging="360"/>
      </w:pPr>
      <w:rPr>
        <w:rFonts w:ascii="Wingdings" w:hAnsi="Wingdings" w:hint="default"/>
      </w:rPr>
    </w:lvl>
  </w:abstractNum>
  <w:num w:numId="1">
    <w:abstractNumId w:val="6"/>
  </w:num>
  <w:num w:numId="2">
    <w:abstractNumId w:val="30"/>
  </w:num>
  <w:num w:numId="3">
    <w:abstractNumId w:val="31"/>
  </w:num>
  <w:num w:numId="4">
    <w:abstractNumId w:val="13"/>
  </w:num>
  <w:num w:numId="5">
    <w:abstractNumId w:val="37"/>
  </w:num>
  <w:num w:numId="6">
    <w:abstractNumId w:val="38"/>
  </w:num>
  <w:num w:numId="7">
    <w:abstractNumId w:val="9"/>
  </w:num>
  <w:num w:numId="8">
    <w:abstractNumId w:val="20"/>
  </w:num>
  <w:num w:numId="9">
    <w:abstractNumId w:val="27"/>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6"/>
  </w:num>
  <w:num w:numId="16">
    <w:abstractNumId w:val="3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
  </w:num>
  <w:num w:numId="20">
    <w:abstractNumId w:val="0"/>
  </w:num>
  <w:num w:numId="21">
    <w:abstractNumId w:val="23"/>
  </w:num>
  <w:num w:numId="22">
    <w:abstractNumId w:val="33"/>
  </w:num>
  <w:num w:numId="23">
    <w:abstractNumId w:val="40"/>
  </w:num>
  <w:num w:numId="24">
    <w:abstractNumId w:val="19"/>
  </w:num>
  <w:num w:numId="25">
    <w:abstractNumId w:val="28"/>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34"/>
  </w:num>
  <w:num w:numId="29">
    <w:abstractNumId w:val="36"/>
  </w:num>
  <w:num w:numId="30">
    <w:abstractNumId w:val="11"/>
  </w:num>
  <w:num w:numId="31">
    <w:abstractNumId w:val="22"/>
  </w:num>
  <w:num w:numId="32">
    <w:abstractNumId w:val="32"/>
  </w:num>
  <w:num w:numId="33">
    <w:abstractNumId w:val="17"/>
  </w:num>
  <w:num w:numId="34">
    <w:abstractNumId w:val="26"/>
  </w:num>
  <w:num w:numId="35">
    <w:abstractNumId w:val="15"/>
  </w:num>
  <w:num w:numId="36">
    <w:abstractNumId w:val="45"/>
  </w:num>
  <w:num w:numId="37">
    <w:abstractNumId w:val="25"/>
  </w:num>
  <w:num w:numId="38">
    <w:abstractNumId w:val="44"/>
  </w:num>
  <w:num w:numId="39">
    <w:abstractNumId w:val="42"/>
  </w:num>
  <w:num w:numId="40">
    <w:abstractNumId w:val="43"/>
  </w:num>
  <w:num w:numId="41">
    <w:abstractNumId w:val="10"/>
  </w:num>
  <w:num w:numId="42">
    <w:abstractNumId w:val="43"/>
  </w:num>
  <w:num w:numId="43">
    <w:abstractNumId w:val="14"/>
  </w:num>
  <w:num w:numId="44">
    <w:abstractNumId w:val="21"/>
  </w:num>
  <w:num w:numId="45">
    <w:abstractNumId w:val="18"/>
  </w:num>
  <w:num w:numId="46">
    <w:abstractNumId w:val="7"/>
  </w:num>
  <w:num w:numId="47">
    <w:abstractNumId w:val="8"/>
  </w:num>
  <w:num w:numId="48">
    <w:abstractNumId w:val="29"/>
  </w:num>
  <w:num w:numId="49">
    <w:abstractNumId w:val="24"/>
  </w:num>
  <w:num w:numId="5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2F"/>
    <w:rsid w:val="000010F4"/>
    <w:rsid w:val="00022E4B"/>
    <w:rsid w:val="00030C44"/>
    <w:rsid w:val="000361C2"/>
    <w:rsid w:val="0004796D"/>
    <w:rsid w:val="00047F47"/>
    <w:rsid w:val="000535C8"/>
    <w:rsid w:val="00055730"/>
    <w:rsid w:val="0005581A"/>
    <w:rsid w:val="0006157F"/>
    <w:rsid w:val="00067838"/>
    <w:rsid w:val="00076EE9"/>
    <w:rsid w:val="00081246"/>
    <w:rsid w:val="00082214"/>
    <w:rsid w:val="00094DFB"/>
    <w:rsid w:val="00096135"/>
    <w:rsid w:val="000A1065"/>
    <w:rsid w:val="000A5E1D"/>
    <w:rsid w:val="000B624C"/>
    <w:rsid w:val="000B714A"/>
    <w:rsid w:val="000C0252"/>
    <w:rsid w:val="000C04A6"/>
    <w:rsid w:val="000C0676"/>
    <w:rsid w:val="000C757D"/>
    <w:rsid w:val="000D54FB"/>
    <w:rsid w:val="000D741D"/>
    <w:rsid w:val="000F1153"/>
    <w:rsid w:val="000F4E5F"/>
    <w:rsid w:val="000F7EB3"/>
    <w:rsid w:val="00101426"/>
    <w:rsid w:val="00105064"/>
    <w:rsid w:val="00105F10"/>
    <w:rsid w:val="00111372"/>
    <w:rsid w:val="00112692"/>
    <w:rsid w:val="0011623C"/>
    <w:rsid w:val="00127F9D"/>
    <w:rsid w:val="00134432"/>
    <w:rsid w:val="00136F8C"/>
    <w:rsid w:val="001431DF"/>
    <w:rsid w:val="0015615F"/>
    <w:rsid w:val="001631E1"/>
    <w:rsid w:val="00165855"/>
    <w:rsid w:val="001729D3"/>
    <w:rsid w:val="00172C83"/>
    <w:rsid w:val="0017459D"/>
    <w:rsid w:val="00174D80"/>
    <w:rsid w:val="001805BE"/>
    <w:rsid w:val="0019352E"/>
    <w:rsid w:val="00193ED1"/>
    <w:rsid w:val="00194881"/>
    <w:rsid w:val="0019542D"/>
    <w:rsid w:val="001B756C"/>
    <w:rsid w:val="001C21F8"/>
    <w:rsid w:val="001C5710"/>
    <w:rsid w:val="001D74E4"/>
    <w:rsid w:val="001E3584"/>
    <w:rsid w:val="001E4358"/>
    <w:rsid w:val="00200708"/>
    <w:rsid w:val="002044C9"/>
    <w:rsid w:val="002063AD"/>
    <w:rsid w:val="002077D9"/>
    <w:rsid w:val="00217A58"/>
    <w:rsid w:val="00222137"/>
    <w:rsid w:val="002259AC"/>
    <w:rsid w:val="00240A5A"/>
    <w:rsid w:val="00244160"/>
    <w:rsid w:val="00244C31"/>
    <w:rsid w:val="00251C8F"/>
    <w:rsid w:val="00252FDD"/>
    <w:rsid w:val="0025603A"/>
    <w:rsid w:val="00257C31"/>
    <w:rsid w:val="00261002"/>
    <w:rsid w:val="00262FE5"/>
    <w:rsid w:val="002642B1"/>
    <w:rsid w:val="0026430C"/>
    <w:rsid w:val="00270A98"/>
    <w:rsid w:val="00270E80"/>
    <w:rsid w:val="00282215"/>
    <w:rsid w:val="002824EB"/>
    <w:rsid w:val="0028442B"/>
    <w:rsid w:val="00284D14"/>
    <w:rsid w:val="00286307"/>
    <w:rsid w:val="00286E91"/>
    <w:rsid w:val="0029031F"/>
    <w:rsid w:val="00297B36"/>
    <w:rsid w:val="002A4CFC"/>
    <w:rsid w:val="002B15B0"/>
    <w:rsid w:val="002B21C7"/>
    <w:rsid w:val="002B7EAA"/>
    <w:rsid w:val="002C08A8"/>
    <w:rsid w:val="002C4428"/>
    <w:rsid w:val="002D061A"/>
    <w:rsid w:val="002D3308"/>
    <w:rsid w:val="002D3B05"/>
    <w:rsid w:val="002E0DBE"/>
    <w:rsid w:val="002E10FD"/>
    <w:rsid w:val="00302CA9"/>
    <w:rsid w:val="00303D43"/>
    <w:rsid w:val="00305937"/>
    <w:rsid w:val="003100D9"/>
    <w:rsid w:val="00312836"/>
    <w:rsid w:val="0033003D"/>
    <w:rsid w:val="0034262C"/>
    <w:rsid w:val="003647E2"/>
    <w:rsid w:val="0036594C"/>
    <w:rsid w:val="00377A9A"/>
    <w:rsid w:val="003873EB"/>
    <w:rsid w:val="00387631"/>
    <w:rsid w:val="00393EDA"/>
    <w:rsid w:val="003A79FE"/>
    <w:rsid w:val="003B51CE"/>
    <w:rsid w:val="003C4033"/>
    <w:rsid w:val="003D5305"/>
    <w:rsid w:val="003E64FE"/>
    <w:rsid w:val="003F5F8A"/>
    <w:rsid w:val="003F60BE"/>
    <w:rsid w:val="00410CD5"/>
    <w:rsid w:val="004150EF"/>
    <w:rsid w:val="004175F9"/>
    <w:rsid w:val="00425E6F"/>
    <w:rsid w:val="00431A30"/>
    <w:rsid w:val="004339CA"/>
    <w:rsid w:val="004352A5"/>
    <w:rsid w:val="00435D79"/>
    <w:rsid w:val="004479F0"/>
    <w:rsid w:val="004620AF"/>
    <w:rsid w:val="0046408B"/>
    <w:rsid w:val="0047401F"/>
    <w:rsid w:val="00474D3C"/>
    <w:rsid w:val="0048235F"/>
    <w:rsid w:val="00492F3E"/>
    <w:rsid w:val="00497348"/>
    <w:rsid w:val="004A113D"/>
    <w:rsid w:val="004B1D54"/>
    <w:rsid w:val="004C6640"/>
    <w:rsid w:val="004E10E1"/>
    <w:rsid w:val="004E2D1E"/>
    <w:rsid w:val="004E3785"/>
    <w:rsid w:val="004F4A4C"/>
    <w:rsid w:val="004F56A5"/>
    <w:rsid w:val="005043EB"/>
    <w:rsid w:val="005074DB"/>
    <w:rsid w:val="005078E0"/>
    <w:rsid w:val="0052258E"/>
    <w:rsid w:val="00527131"/>
    <w:rsid w:val="00531057"/>
    <w:rsid w:val="00534898"/>
    <w:rsid w:val="00534EA7"/>
    <w:rsid w:val="005445F6"/>
    <w:rsid w:val="00555DC8"/>
    <w:rsid w:val="00560FB1"/>
    <w:rsid w:val="00567C49"/>
    <w:rsid w:val="00580017"/>
    <w:rsid w:val="0058002B"/>
    <w:rsid w:val="005824D8"/>
    <w:rsid w:val="00582B1F"/>
    <w:rsid w:val="00585AE2"/>
    <w:rsid w:val="005A125F"/>
    <w:rsid w:val="005A50F0"/>
    <w:rsid w:val="005A61D7"/>
    <w:rsid w:val="005B08CD"/>
    <w:rsid w:val="005D10D9"/>
    <w:rsid w:val="005D1E55"/>
    <w:rsid w:val="005D503A"/>
    <w:rsid w:val="005E12AB"/>
    <w:rsid w:val="005E1706"/>
    <w:rsid w:val="00600BA9"/>
    <w:rsid w:val="006022F3"/>
    <w:rsid w:val="00612F6E"/>
    <w:rsid w:val="006442E4"/>
    <w:rsid w:val="006473EA"/>
    <w:rsid w:val="0065257C"/>
    <w:rsid w:val="00654880"/>
    <w:rsid w:val="00663718"/>
    <w:rsid w:val="00663E38"/>
    <w:rsid w:val="00675753"/>
    <w:rsid w:val="006822C9"/>
    <w:rsid w:val="00687FDC"/>
    <w:rsid w:val="006A13A5"/>
    <w:rsid w:val="006A6DD9"/>
    <w:rsid w:val="006B2008"/>
    <w:rsid w:val="006C5145"/>
    <w:rsid w:val="006D2F28"/>
    <w:rsid w:val="006D4908"/>
    <w:rsid w:val="006E3646"/>
    <w:rsid w:val="006F0854"/>
    <w:rsid w:val="00700BCA"/>
    <w:rsid w:val="00712C40"/>
    <w:rsid w:val="00726506"/>
    <w:rsid w:val="00727151"/>
    <w:rsid w:val="0073363D"/>
    <w:rsid w:val="00741C16"/>
    <w:rsid w:val="0074508B"/>
    <w:rsid w:val="00750B6A"/>
    <w:rsid w:val="00755FBB"/>
    <w:rsid w:val="00762B4C"/>
    <w:rsid w:val="00764D6A"/>
    <w:rsid w:val="00765F59"/>
    <w:rsid w:val="00773056"/>
    <w:rsid w:val="00775995"/>
    <w:rsid w:val="0078013F"/>
    <w:rsid w:val="007804AE"/>
    <w:rsid w:val="007854E4"/>
    <w:rsid w:val="00785B5A"/>
    <w:rsid w:val="007869E9"/>
    <w:rsid w:val="007972EE"/>
    <w:rsid w:val="007A5CF4"/>
    <w:rsid w:val="007A7510"/>
    <w:rsid w:val="007B506D"/>
    <w:rsid w:val="007B5E43"/>
    <w:rsid w:val="007C1F35"/>
    <w:rsid w:val="007C6DCE"/>
    <w:rsid w:val="007D51BC"/>
    <w:rsid w:val="007E75F9"/>
    <w:rsid w:val="008015DC"/>
    <w:rsid w:val="00802996"/>
    <w:rsid w:val="00811D08"/>
    <w:rsid w:val="00813DCB"/>
    <w:rsid w:val="00816723"/>
    <w:rsid w:val="00830CA7"/>
    <w:rsid w:val="008329B2"/>
    <w:rsid w:val="008369FE"/>
    <w:rsid w:val="00852367"/>
    <w:rsid w:val="00854E4A"/>
    <w:rsid w:val="00855EE2"/>
    <w:rsid w:val="0086198C"/>
    <w:rsid w:val="00861EDE"/>
    <w:rsid w:val="00862824"/>
    <w:rsid w:val="00875B9B"/>
    <w:rsid w:val="0087695D"/>
    <w:rsid w:val="00886187"/>
    <w:rsid w:val="00896713"/>
    <w:rsid w:val="008A03ED"/>
    <w:rsid w:val="008A4339"/>
    <w:rsid w:val="008C46E8"/>
    <w:rsid w:val="008C730F"/>
    <w:rsid w:val="008E484B"/>
    <w:rsid w:val="009022CF"/>
    <w:rsid w:val="0093138C"/>
    <w:rsid w:val="009330E2"/>
    <w:rsid w:val="00942ECD"/>
    <w:rsid w:val="009455CE"/>
    <w:rsid w:val="00951753"/>
    <w:rsid w:val="009571CC"/>
    <w:rsid w:val="00966DB6"/>
    <w:rsid w:val="00972D8A"/>
    <w:rsid w:val="00974098"/>
    <w:rsid w:val="0097691B"/>
    <w:rsid w:val="0098028C"/>
    <w:rsid w:val="00981715"/>
    <w:rsid w:val="00995AA4"/>
    <w:rsid w:val="009A1184"/>
    <w:rsid w:val="009A7105"/>
    <w:rsid w:val="009E087F"/>
    <w:rsid w:val="009F4B2F"/>
    <w:rsid w:val="00A04F0C"/>
    <w:rsid w:val="00A10F5D"/>
    <w:rsid w:val="00A161E8"/>
    <w:rsid w:val="00A166FF"/>
    <w:rsid w:val="00A17267"/>
    <w:rsid w:val="00A23E71"/>
    <w:rsid w:val="00A30A9F"/>
    <w:rsid w:val="00A324F8"/>
    <w:rsid w:val="00A35842"/>
    <w:rsid w:val="00A6792E"/>
    <w:rsid w:val="00A76219"/>
    <w:rsid w:val="00AA045E"/>
    <w:rsid w:val="00AA7179"/>
    <w:rsid w:val="00AA7366"/>
    <w:rsid w:val="00AB2D3B"/>
    <w:rsid w:val="00AB5A41"/>
    <w:rsid w:val="00AB5A56"/>
    <w:rsid w:val="00AB7B4D"/>
    <w:rsid w:val="00AC2244"/>
    <w:rsid w:val="00AD16B3"/>
    <w:rsid w:val="00AE46E9"/>
    <w:rsid w:val="00AF08A0"/>
    <w:rsid w:val="00AF2766"/>
    <w:rsid w:val="00B0016A"/>
    <w:rsid w:val="00B021E2"/>
    <w:rsid w:val="00B023DD"/>
    <w:rsid w:val="00B0486D"/>
    <w:rsid w:val="00B050BB"/>
    <w:rsid w:val="00B1168C"/>
    <w:rsid w:val="00B460C2"/>
    <w:rsid w:val="00B51828"/>
    <w:rsid w:val="00B5429A"/>
    <w:rsid w:val="00B54C4E"/>
    <w:rsid w:val="00B5740E"/>
    <w:rsid w:val="00B70D2C"/>
    <w:rsid w:val="00B710A5"/>
    <w:rsid w:val="00B71965"/>
    <w:rsid w:val="00B74C38"/>
    <w:rsid w:val="00B8242F"/>
    <w:rsid w:val="00B91C8C"/>
    <w:rsid w:val="00B97432"/>
    <w:rsid w:val="00B97E61"/>
    <w:rsid w:val="00BA36BD"/>
    <w:rsid w:val="00BB02AF"/>
    <w:rsid w:val="00BB0960"/>
    <w:rsid w:val="00BC4B6F"/>
    <w:rsid w:val="00BD2CA7"/>
    <w:rsid w:val="00BD7E65"/>
    <w:rsid w:val="00BE444D"/>
    <w:rsid w:val="00BF1317"/>
    <w:rsid w:val="00C003C5"/>
    <w:rsid w:val="00C02519"/>
    <w:rsid w:val="00C20710"/>
    <w:rsid w:val="00C21BB3"/>
    <w:rsid w:val="00C21F43"/>
    <w:rsid w:val="00C2209F"/>
    <w:rsid w:val="00C42DF0"/>
    <w:rsid w:val="00C43C4F"/>
    <w:rsid w:val="00C46D47"/>
    <w:rsid w:val="00C60838"/>
    <w:rsid w:val="00C63642"/>
    <w:rsid w:val="00C82FA4"/>
    <w:rsid w:val="00C84715"/>
    <w:rsid w:val="00C85C62"/>
    <w:rsid w:val="00C92306"/>
    <w:rsid w:val="00C9724E"/>
    <w:rsid w:val="00CB16BF"/>
    <w:rsid w:val="00CB3479"/>
    <w:rsid w:val="00CB4AF3"/>
    <w:rsid w:val="00CB7963"/>
    <w:rsid w:val="00CC0FC5"/>
    <w:rsid w:val="00CC1809"/>
    <w:rsid w:val="00CC2948"/>
    <w:rsid w:val="00CC5036"/>
    <w:rsid w:val="00CD2AE8"/>
    <w:rsid w:val="00CD58E8"/>
    <w:rsid w:val="00CE5152"/>
    <w:rsid w:val="00CF4C5A"/>
    <w:rsid w:val="00CF738C"/>
    <w:rsid w:val="00CF7515"/>
    <w:rsid w:val="00D0125D"/>
    <w:rsid w:val="00D016DA"/>
    <w:rsid w:val="00D10B02"/>
    <w:rsid w:val="00D271BA"/>
    <w:rsid w:val="00D27CFD"/>
    <w:rsid w:val="00D454E2"/>
    <w:rsid w:val="00D5162F"/>
    <w:rsid w:val="00D637C6"/>
    <w:rsid w:val="00D64B28"/>
    <w:rsid w:val="00D64EE1"/>
    <w:rsid w:val="00D70034"/>
    <w:rsid w:val="00D70AE4"/>
    <w:rsid w:val="00D84562"/>
    <w:rsid w:val="00D84C0B"/>
    <w:rsid w:val="00D94E71"/>
    <w:rsid w:val="00D9555E"/>
    <w:rsid w:val="00D9621E"/>
    <w:rsid w:val="00DA500E"/>
    <w:rsid w:val="00DA776D"/>
    <w:rsid w:val="00DB2BB0"/>
    <w:rsid w:val="00DB3A8E"/>
    <w:rsid w:val="00DC7FE0"/>
    <w:rsid w:val="00DD4719"/>
    <w:rsid w:val="00DF182A"/>
    <w:rsid w:val="00E20810"/>
    <w:rsid w:val="00E23B6B"/>
    <w:rsid w:val="00E26DA2"/>
    <w:rsid w:val="00E3247D"/>
    <w:rsid w:val="00E36221"/>
    <w:rsid w:val="00E37104"/>
    <w:rsid w:val="00E435A1"/>
    <w:rsid w:val="00E4421F"/>
    <w:rsid w:val="00E547C6"/>
    <w:rsid w:val="00E555B2"/>
    <w:rsid w:val="00E6423E"/>
    <w:rsid w:val="00E64301"/>
    <w:rsid w:val="00E66F65"/>
    <w:rsid w:val="00E678F0"/>
    <w:rsid w:val="00E75D33"/>
    <w:rsid w:val="00E81797"/>
    <w:rsid w:val="00E81AE1"/>
    <w:rsid w:val="00E85A32"/>
    <w:rsid w:val="00E87BFB"/>
    <w:rsid w:val="00E90071"/>
    <w:rsid w:val="00E91D72"/>
    <w:rsid w:val="00E97DDE"/>
    <w:rsid w:val="00EA194C"/>
    <w:rsid w:val="00EA2A9C"/>
    <w:rsid w:val="00EA4A22"/>
    <w:rsid w:val="00EA6C88"/>
    <w:rsid w:val="00EB6C6E"/>
    <w:rsid w:val="00ED2E17"/>
    <w:rsid w:val="00EE08F0"/>
    <w:rsid w:val="00EE1710"/>
    <w:rsid w:val="00EE1CCF"/>
    <w:rsid w:val="00EF0833"/>
    <w:rsid w:val="00EF55CC"/>
    <w:rsid w:val="00F04729"/>
    <w:rsid w:val="00F05632"/>
    <w:rsid w:val="00F1682E"/>
    <w:rsid w:val="00F2246B"/>
    <w:rsid w:val="00F30A66"/>
    <w:rsid w:val="00F30C84"/>
    <w:rsid w:val="00F32013"/>
    <w:rsid w:val="00F35395"/>
    <w:rsid w:val="00F4562A"/>
    <w:rsid w:val="00F47A12"/>
    <w:rsid w:val="00F72692"/>
    <w:rsid w:val="00F75F99"/>
    <w:rsid w:val="00F90F08"/>
    <w:rsid w:val="00F934FC"/>
    <w:rsid w:val="00F97BB6"/>
    <w:rsid w:val="00FA2743"/>
    <w:rsid w:val="00FB0E2A"/>
    <w:rsid w:val="00FC2832"/>
    <w:rsid w:val="00FC7C88"/>
    <w:rsid w:val="00FD119C"/>
    <w:rsid w:val="00FD33A7"/>
    <w:rsid w:val="00FF7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815F7"/>
  <w15:docId w15:val="{6BDBF1E1-370F-47BA-919F-BCDC7506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aliases w:val="Bullet list,Recommendation,List Paragraph1,table text,bullets,Bullet 1,L1 List - bullet"/>
    <w:basedOn w:val="Normal"/>
    <w:link w:val="ListParagraphChar"/>
    <w:uiPriority w:val="34"/>
    <w:qFormat/>
    <w:rsid w:val="00C43C4F"/>
    <w:pPr>
      <w:ind w:left="720"/>
      <w:contextualSpacing/>
    </w:pPr>
  </w:style>
  <w:style w:type="character" w:customStyle="1" w:styleId="ListParagraphChar">
    <w:name w:val="List Paragraph Char"/>
    <w:aliases w:val="Bullet list Char,Recommendation Char,List Paragraph1 Char,table text Char,bullets Char,Bullet 1 Char,L1 List - bullet Char"/>
    <w:basedOn w:val="DefaultParagraphFont"/>
    <w:link w:val="ListParagraph"/>
    <w:uiPriority w:val="34"/>
    <w:rsid w:val="00DD4719"/>
    <w:rPr>
      <w:rFonts w:eastAsiaTheme="minorHAnsi" w:cstheme="minorBidi"/>
      <w:sz w:val="22"/>
      <w:szCs w:val="22"/>
      <w:lang w:eastAsia="en-US"/>
    </w:rPr>
  </w:style>
  <w:style w:type="paragraph" w:customStyle="1" w:styleId="dots">
    <w:name w:val="dots"/>
    <w:basedOn w:val="ListParagraph"/>
    <w:qFormat/>
    <w:rsid w:val="00AA7366"/>
    <w:pPr>
      <w:numPr>
        <w:numId w:val="38"/>
      </w:numPr>
      <w:spacing w:after="120" w:line="240" w:lineRule="auto"/>
      <w:contextualSpacing w:val="0"/>
    </w:pPr>
    <w:rPr>
      <w:rFonts w:asciiTheme="minorHAnsi" w:hAnsiTheme="minorHAnsi" w:cstheme="minorHAnsi"/>
      <w:lang w:eastAsia="en-AU"/>
    </w:rPr>
  </w:style>
  <w:style w:type="paragraph" w:customStyle="1" w:styleId="subdots">
    <w:name w:val="sub dots"/>
    <w:basedOn w:val="ListParagraph"/>
    <w:qFormat/>
    <w:rsid w:val="00AA7366"/>
    <w:pPr>
      <w:numPr>
        <w:ilvl w:val="1"/>
        <w:numId w:val="38"/>
      </w:numPr>
      <w:spacing w:after="120" w:line="240" w:lineRule="auto"/>
      <w:contextualSpacing w:val="0"/>
    </w:pPr>
    <w:rPr>
      <w:rFonts w:asciiTheme="minorHAnsi" w:hAnsiTheme="minorHAnsi" w:cstheme="minorHAnsi"/>
      <w:lang w:eastAsia="en-AU"/>
    </w:rPr>
  </w:style>
  <w:style w:type="paragraph" w:customStyle="1" w:styleId="Default">
    <w:name w:val="Default"/>
    <w:rsid w:val="00B91C8C"/>
    <w:pPr>
      <w:autoSpaceDE w:val="0"/>
      <w:autoSpaceDN w:val="0"/>
      <w:adjustRightInd w:val="0"/>
    </w:pPr>
    <w:rPr>
      <w:rFonts w:ascii="MiloPro-Light" w:hAnsi="MiloPro-Light" w:cs="MiloPro-Light"/>
      <w:color w:val="000000"/>
      <w:sz w:val="24"/>
      <w:szCs w:val="24"/>
    </w:rPr>
  </w:style>
  <w:style w:type="paragraph" w:customStyle="1" w:styleId="Pa7">
    <w:name w:val="Pa7"/>
    <w:basedOn w:val="Default"/>
    <w:next w:val="Default"/>
    <w:uiPriority w:val="99"/>
    <w:rsid w:val="00B91C8C"/>
    <w:pPr>
      <w:spacing w:line="181" w:lineRule="atLeast"/>
    </w:pPr>
    <w:rPr>
      <w:rFonts w:cs="Times New Roman"/>
      <w:color w:val="auto"/>
    </w:rPr>
  </w:style>
  <w:style w:type="paragraph" w:customStyle="1" w:styleId="Paragraphnumbering">
    <w:name w:val="Paragraph numbering"/>
    <w:basedOn w:val="Normal"/>
    <w:link w:val="ParagraphnumberingChar"/>
    <w:qFormat/>
    <w:rsid w:val="00612F6E"/>
    <w:pPr>
      <w:numPr>
        <w:numId w:val="40"/>
      </w:numPr>
      <w:spacing w:after="240" w:line="260" w:lineRule="exact"/>
      <w:jc w:val="both"/>
    </w:pPr>
    <w:rPr>
      <w:rFonts w:ascii="Corbel" w:eastAsia="Times New Roman" w:hAnsi="Corbel" w:cs="Times New Roman"/>
      <w:color w:val="000000"/>
      <w:sz w:val="23"/>
      <w:szCs w:val="20"/>
      <w:lang w:eastAsia="en-AU"/>
    </w:rPr>
  </w:style>
  <w:style w:type="character" w:customStyle="1" w:styleId="ParagraphnumberingChar">
    <w:name w:val="Paragraph numbering Char"/>
    <w:basedOn w:val="DefaultParagraphFont"/>
    <w:link w:val="Paragraphnumbering"/>
    <w:rsid w:val="00612F6E"/>
    <w:rPr>
      <w:rFonts w:ascii="Corbel" w:eastAsia="Times New Roman" w:hAnsi="Corbel"/>
      <w:color w:val="000000"/>
      <w:sz w:val="23"/>
    </w:rPr>
  </w:style>
  <w:style w:type="character" w:customStyle="1" w:styleId="UnresolvedMention1">
    <w:name w:val="Unresolved Mention1"/>
    <w:basedOn w:val="DefaultParagraphFont"/>
    <w:uiPriority w:val="99"/>
    <w:rsid w:val="002C4428"/>
    <w:rPr>
      <w:color w:val="605E5C"/>
      <w:shd w:val="clear" w:color="auto" w:fill="E1DFDD"/>
    </w:rPr>
  </w:style>
  <w:style w:type="paragraph" w:styleId="Revision">
    <w:name w:val="Revision"/>
    <w:hidden/>
    <w:uiPriority w:val="99"/>
    <w:semiHidden/>
    <w:rsid w:val="00252FDD"/>
    <w:rPr>
      <w:rFonts w:eastAsiaTheme="minorHAnsi" w:cstheme="minorBidi"/>
      <w:sz w:val="22"/>
      <w:szCs w:val="22"/>
      <w:lang w:eastAsia="en-US"/>
    </w:rPr>
  </w:style>
  <w:style w:type="paragraph" w:customStyle="1" w:styleId="Level3">
    <w:name w:val="Level 3"/>
    <w:basedOn w:val="Normal"/>
    <w:next w:val="Normal"/>
    <w:autoRedefine/>
    <w:rsid w:val="00270E80"/>
    <w:pPr>
      <w:keepNext/>
      <w:keepLines/>
      <w:widowControl w:val="0"/>
      <w:overflowPunct w:val="0"/>
      <w:autoSpaceDE w:val="0"/>
      <w:autoSpaceDN w:val="0"/>
      <w:adjustRightInd w:val="0"/>
      <w:spacing w:before="120" w:line="240" w:lineRule="auto"/>
      <w:jc w:val="center"/>
      <w:textAlignment w:val="baseline"/>
    </w:pPr>
    <w:rPr>
      <w:rFonts w:asciiTheme="minorHAnsi" w:eastAsia="Times New Roman" w:hAnsiTheme="minorHAnsi" w:cstheme="minorHAnsi"/>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6200">
      <w:bodyDiv w:val="1"/>
      <w:marLeft w:val="0"/>
      <w:marRight w:val="0"/>
      <w:marTop w:val="0"/>
      <w:marBottom w:val="0"/>
      <w:divBdr>
        <w:top w:val="none" w:sz="0" w:space="0" w:color="auto"/>
        <w:left w:val="none" w:sz="0" w:space="0" w:color="auto"/>
        <w:bottom w:val="none" w:sz="0" w:space="0" w:color="auto"/>
        <w:right w:val="none" w:sz="0" w:space="0" w:color="auto"/>
      </w:divBdr>
    </w:div>
    <w:div w:id="1770345643">
      <w:bodyDiv w:val="1"/>
      <w:marLeft w:val="0"/>
      <w:marRight w:val="0"/>
      <w:marTop w:val="0"/>
      <w:marBottom w:val="0"/>
      <w:divBdr>
        <w:top w:val="none" w:sz="0" w:space="0" w:color="auto"/>
        <w:left w:val="none" w:sz="0" w:space="0" w:color="auto"/>
        <w:bottom w:val="none" w:sz="0" w:space="0" w:color="auto"/>
        <w:right w:val="none" w:sz="0" w:space="0" w:color="auto"/>
      </w:divBdr>
    </w:div>
    <w:div w:id="2041782947">
      <w:bodyDiv w:val="1"/>
      <w:marLeft w:val="0"/>
      <w:marRight w:val="0"/>
      <w:marTop w:val="0"/>
      <w:marBottom w:val="0"/>
      <w:divBdr>
        <w:top w:val="none" w:sz="0" w:space="0" w:color="auto"/>
        <w:left w:val="none" w:sz="0" w:space="0" w:color="auto"/>
        <w:bottom w:val="none" w:sz="0" w:space="0" w:color="auto"/>
        <w:right w:val="none" w:sz="0" w:space="0" w:color="auto"/>
      </w:divBdr>
    </w:div>
    <w:div w:id="209455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mdba.gov.au/water-management/science-research/murray-darling-water-environment-research-progra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0" Type="http://schemas.openxmlformats.org/officeDocument/2006/relationships/hyperlink" Target="https://mdbwip.bom.gov.au/" TargetMode="Externa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gwc.gov.au/reviews-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E84E101737AF7E4B9E8EA3C1900C12B9" ma:contentTypeVersion="15" ma:contentTypeDescription="Create a new document." ma:contentTypeScope="" ma:versionID="220377cbc0070c6a80d24bd76c0dc3ab">
  <xsd:schema xmlns:xsd="http://www.w3.org/2001/XMLSchema" xmlns:xs="http://www.w3.org/2001/XMLSchema" xmlns:p="http://schemas.microsoft.com/office/2006/metadata/properties" xmlns:ns2="ca4ea963-57cc-423e-ab15-75124948f992" xmlns:ns3="30533e76-8539-401f-8478-89580b0ff0b5" xmlns:ns4="963ae990-bc64-4ccc-8cdc-adbe8319b8a5" xmlns:ns5="06517939-d4f1-4774-9007-6f585a7aedaf" targetNamespace="http://schemas.microsoft.com/office/2006/metadata/properties" ma:root="true" ma:fieldsID="0ef8371e8a56d1202302d926872269dd" ns2:_="" ns3:_="" ns4:_="" ns5:_="">
    <xsd:import namespace="ca4ea963-57cc-423e-ab15-75124948f992"/>
    <xsd:import namespace="30533e76-8539-401f-8478-89580b0ff0b5"/>
    <xsd:import namespace="963ae990-bc64-4ccc-8cdc-adbe8319b8a5"/>
    <xsd:import namespace="06517939-d4f1-4774-9007-6f585a7aed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ubCategory" minOccurs="0"/>
                <xsd:element ref="ns5:Description1" minOccurs="0"/>
                <xsd:element ref="ns5:DLM"/>
                <xsd:element ref="ns5:DocumentCategory"/>
                <xsd:element ref="ns4:DocumentStatus"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ea963-57cc-423e-ab15-75124948f9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533e76-8539-401f-8478-89580b0ff0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ae990-bc64-4ccc-8cdc-adbe8319b8a5" elementFormDefault="qualified">
    <xsd:import namespace="http://schemas.microsoft.com/office/2006/documentManagement/types"/>
    <xsd:import namespace="http://schemas.microsoft.com/office/infopath/2007/PartnerControls"/>
    <xsd:element name="SubCategory" ma:index="13" nillable="true" ma:displayName="Sub-category" ma:default="Contract" ma:format="Dropdown" ma:internalName="SubCategory">
      <xsd:simpleType>
        <xsd:restriction base="dms:Choice">
          <xsd:enumeration value="Contract"/>
          <xsd:enumeration value="Meeting agenda"/>
          <xsd:enumeration value="Meeting minutes"/>
          <xsd:enumeration value="Purchasing"/>
          <xsd:enumeration value="Form"/>
          <xsd:enumeration value="User guide"/>
          <xsd:enumeration value="Learning &amp; development"/>
          <xsd:enumeration value="Project plan"/>
          <xsd:enumeration value="Consultation notes"/>
          <xsd:enumeration value="Project report"/>
          <xsd:enumeration value="Technical report"/>
          <xsd:enumeration value="Progress report"/>
          <xsd:enumeration value="Internal briefing"/>
          <xsd:enumeration value="External briefing"/>
          <xsd:enumeration value="Committee briefing"/>
          <xsd:enumeration value="Background information"/>
          <xsd:enumeration value="Attachment"/>
        </xsd:restriction>
      </xsd:simpleType>
    </xsd:element>
    <xsd:element name="DocumentStatus" ma:index="17" nillable="true" ma:displayName="DocumentStatus" ma:format="Dropdown" ma:internalName="DocumentStatus">
      <xsd:simpleType>
        <xsd:restriction base="dms:Choice">
          <xsd:enumeration value="Approved"/>
          <xsd:enumeration value="Draft"/>
          <xsd:enumeration value="On Hold"/>
          <xsd:enumeration value="Archived"/>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06517939-d4f1-4774-9007-6f585a7aedaf" elementFormDefault="qualified">
    <xsd:import namespace="http://schemas.microsoft.com/office/2006/documentManagement/types"/>
    <xsd:import namespace="http://schemas.microsoft.com/office/infopath/2007/PartnerControls"/>
    <xsd:element name="Description1" ma:index="14" nillable="true" ma:displayName="Description" ma:internalName="Description1">
      <xsd:simpleType>
        <xsd:restriction base="dms:Note">
          <xsd:maxLength value="255"/>
        </xsd:restriction>
      </xsd:simpleType>
    </xsd:element>
    <xsd:element name="DLM" ma:index="15" ma:displayName="DLM" ma:format="Dropdown" ma:internalName="DLM">
      <xsd:simpleType>
        <xsd:restriction base="dms:Choice">
          <xsd:enumeration value="For Official Use Only"/>
          <xsd:enumeration value="Unclassified"/>
        </xsd:restriction>
      </xsd:simpleType>
    </xsd:element>
    <xsd:element name="DocumentCategory" ma:index="16" ma:displayName="DocumentCategory" ma:format="Dropdown" ma:internalName="DocumentCategory">
      <xsd:simpleType>
        <xsd:restriction base="dms:Choice">
          <xsd:enumeration value="Policy"/>
          <xsd:enumeration value="Technical"/>
          <xsd:enumeration value="Finance"/>
          <xsd:enumeration value="Administr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3543D-1F73-4066-92B4-D0118CF3F4D3}">
  <ds:schemaRefs>
    <ds:schemaRef ds:uri="http://schemas.openxmlformats.org/officeDocument/2006/bibliography"/>
  </ds:schemaRefs>
</ds:datastoreItem>
</file>

<file path=customXml/itemProps2.xml><?xml version="1.0" encoding="utf-8"?>
<ds:datastoreItem xmlns:ds="http://schemas.openxmlformats.org/officeDocument/2006/customXml" ds:itemID="{9C209E05-4D3F-4424-BBFD-E7E01E2B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ea963-57cc-423e-ab15-75124948f992"/>
    <ds:schemaRef ds:uri="30533e76-8539-401f-8478-89580b0ff0b5"/>
    <ds:schemaRef ds:uri="963ae990-bc64-4ccc-8cdc-adbe8319b8a5"/>
    <ds:schemaRef ds:uri="06517939-d4f1-4774-9007-6f585a7ae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F8EBC-B922-49F1-A1CA-5791D55D5F79}"/>
</file>

<file path=customXml/itemProps4.xml><?xml version="1.0" encoding="utf-8"?>
<ds:datastoreItem xmlns:ds="http://schemas.openxmlformats.org/officeDocument/2006/customXml" ds:itemID="{9D1CAD33-3B39-4665-A5E6-666D035120E9}">
  <ds:schemaRefs>
    <ds:schemaRef ds:uri="http://schemas.microsoft.com/office/infopath/2007/PartnerControls"/>
    <ds:schemaRef ds:uri="http://schemas.microsoft.com/office/2006/metadata/properties"/>
    <ds:schemaRef ds:uri="ca4ea963-57cc-423e-ab15-75124948f992"/>
    <ds:schemaRef ds:uri="http://schemas.microsoft.com/office/2006/documentManagement/types"/>
    <ds:schemaRef ds:uri="http://schemas.openxmlformats.org/package/2006/metadata/core-properties"/>
    <ds:schemaRef ds:uri="30533e76-8539-401f-8478-89580b0ff0b5"/>
    <ds:schemaRef ds:uri="http://purl.org/dc/elements/1.1/"/>
    <ds:schemaRef ds:uri="06517939-d4f1-4774-9007-6f585a7aedaf"/>
    <ds:schemaRef ds:uri="http://purl.org/dc/dcmitype/"/>
    <ds:schemaRef ds:uri="963ae990-bc64-4ccc-8cdc-adbe8319b8a5"/>
    <ds:schemaRef ds:uri="http://www.w3.org/XML/1998/namespace"/>
    <ds:schemaRef ds:uri="http://purl.org/dc/terms/"/>
  </ds:schemaRefs>
</ds:datastoreItem>
</file>

<file path=customXml/itemProps5.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4152</Words>
  <Characters>23672</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Murray–Darling Communities Investment Package - Second report into implementation August 2021</vt:lpstr>
    </vt:vector>
  </TitlesOfParts>
  <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Communities Investment Package - Second report into implementation August 2021</dc:title>
  <dc:subject/>
  <dc:creator>Department of Agriculture, Water and the Environment</dc:creator>
  <cp:keywords/>
  <dc:description/>
  <cp:lastPrinted>1899-12-31T14:00:00Z</cp:lastPrinted>
  <dcterms:created xsi:type="dcterms:W3CDTF">2022-02-15T07:24:00Z</dcterms:created>
  <dcterms:modified xsi:type="dcterms:W3CDTF">2022-02-15T07:24:00Z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_dlc_DocIdItemGuid">
    <vt:lpwstr>f7512773-a16e-44f9-9df1-033ed04bf17c</vt:lpwstr>
  </property>
</Properties>
</file>