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7D8B" w14:textId="63BAB143" w:rsidR="00764D6A" w:rsidRDefault="00056CBE" w:rsidP="004C320D">
      <w:pPr>
        <w:pStyle w:val="Heading1"/>
      </w:pPr>
      <w:r>
        <w:t>Meat</w:t>
      </w:r>
      <w:r w:rsidR="00BA7B4F">
        <w:t xml:space="preserve"> </w:t>
      </w:r>
      <w:r w:rsidR="006979E8">
        <w:t>e</w:t>
      </w:r>
      <w:r w:rsidR="00BA7B4F">
        <w:t>xport cost recovery arrangement</w:t>
      </w:r>
      <w:r w:rsidR="006979E8">
        <w:t>:</w:t>
      </w:r>
      <w:r w:rsidR="006979E8" w:rsidRPr="006979E8">
        <w:t xml:space="preserve"> </w:t>
      </w:r>
      <w:r w:rsidR="006979E8">
        <w:t>f</w:t>
      </w:r>
      <w:r w:rsidR="006979E8" w:rsidRPr="006979E8">
        <w:t xml:space="preserve">inancial </w:t>
      </w:r>
      <w:r w:rsidR="006979E8">
        <w:t>p</w:t>
      </w:r>
      <w:r w:rsidR="006979E8" w:rsidRPr="006979E8">
        <w:t>erformance 2023</w:t>
      </w:r>
      <w:r w:rsidR="006C6961">
        <w:t>–</w:t>
      </w:r>
      <w:r w:rsidR="006979E8" w:rsidRPr="006979E8">
        <w:t>24</w:t>
      </w:r>
    </w:p>
    <w:p w14:paraId="5F7FEAD1" w14:textId="19581F41" w:rsidR="00A44950" w:rsidRPr="003B2E54" w:rsidRDefault="00FD2546" w:rsidP="004A5EC1">
      <w:pPr>
        <w:pStyle w:val="Date"/>
        <w:spacing w:before="120"/>
      </w:pPr>
      <w:r w:rsidRPr="003B2E54">
        <w:t>October 2024</w:t>
      </w:r>
    </w:p>
    <w:p w14:paraId="1B1C2FFD" w14:textId="3D9D883A" w:rsidR="00764D6A" w:rsidRDefault="00E91D72">
      <w:pPr>
        <w:pStyle w:val="Normalsmall"/>
      </w:pPr>
      <w:r w:rsidRPr="00A44950">
        <w:br w:type="page"/>
      </w:r>
      <w:r>
        <w:lastRenderedPageBreak/>
        <w:t xml:space="preserve">© Commonwealth of Australia </w:t>
      </w:r>
      <w:r w:rsidR="00B97E61">
        <w:t>202</w:t>
      </w:r>
      <w:r w:rsidR="0071381A">
        <w:t>4</w:t>
      </w:r>
    </w:p>
    <w:p w14:paraId="2369C55E" w14:textId="77777777" w:rsidR="00764D6A" w:rsidRDefault="00E91D72">
      <w:pPr>
        <w:pStyle w:val="Normalsmall"/>
        <w:rPr>
          <w:rStyle w:val="Strong"/>
        </w:rPr>
      </w:pPr>
      <w:r>
        <w:rPr>
          <w:rStyle w:val="Strong"/>
        </w:rPr>
        <w:t>Ownership of intellectual property rights</w:t>
      </w:r>
    </w:p>
    <w:p w14:paraId="2BC5736D"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50E9F2FD" w14:textId="77777777" w:rsidR="00764D6A" w:rsidRDefault="00E91D72">
      <w:pPr>
        <w:pStyle w:val="Normalsmall"/>
        <w:rPr>
          <w:rStyle w:val="Strong"/>
        </w:rPr>
      </w:pPr>
      <w:r>
        <w:rPr>
          <w:rStyle w:val="Strong"/>
        </w:rPr>
        <w:t>Creative Commons licence</w:t>
      </w:r>
    </w:p>
    <w:p w14:paraId="3A1BBE4F"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5560B3D7" w14:textId="77777777" w:rsidR="00764D6A" w:rsidRPr="00364A4A" w:rsidRDefault="00E91D72">
      <w:pPr>
        <w:pStyle w:val="Normalsmall"/>
      </w:pPr>
      <w:r w:rsidRPr="00364A4A">
        <w:rPr>
          <w:noProof/>
          <w:lang w:eastAsia="en-AU"/>
        </w:rPr>
        <w:drawing>
          <wp:inline distT="0" distB="0" distL="0" distR="0" wp14:anchorId="5F50A6C7" wp14:editId="341B03E0">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79E02275" w14:textId="77777777" w:rsidR="00764D6A" w:rsidRPr="00364A4A" w:rsidRDefault="00E91D72">
      <w:pPr>
        <w:pStyle w:val="Normalsmall"/>
        <w:rPr>
          <w:rStyle w:val="Strong"/>
        </w:rPr>
      </w:pPr>
      <w:r w:rsidRPr="00364A4A">
        <w:rPr>
          <w:rStyle w:val="Strong"/>
        </w:rPr>
        <w:t>Cataloguing data</w:t>
      </w:r>
    </w:p>
    <w:p w14:paraId="2696DD2A" w14:textId="5913E769" w:rsidR="00764D6A" w:rsidRDefault="00E91D72">
      <w:pPr>
        <w:pStyle w:val="Normalsmall"/>
      </w:pPr>
      <w:r w:rsidRPr="00364A4A">
        <w:t xml:space="preserve">This publication (and any material sourced from it) should be attributed as: </w:t>
      </w:r>
      <w:bookmarkStart w:id="0" w:name="_Hlk178165653"/>
      <w:r w:rsidR="00B10EB0">
        <w:t xml:space="preserve">DAFF 2024, </w:t>
      </w:r>
      <w:r w:rsidR="00B10EB0" w:rsidRPr="003B2E54">
        <w:rPr>
          <w:rStyle w:val="Emphasis"/>
        </w:rPr>
        <w:t>Meat export cost recovery arrangement: financial performance 2023–24</w:t>
      </w:r>
      <w:bookmarkEnd w:id="0"/>
      <w:r w:rsidR="00B10EB0">
        <w:t>,</w:t>
      </w:r>
      <w:r w:rsidR="00643B74">
        <w:t xml:space="preserve"> </w:t>
      </w:r>
      <w:r w:rsidR="00DE0AAE" w:rsidRPr="00DE0AAE">
        <w:t>Department of Agriculture, Fisheries and Forestry</w:t>
      </w:r>
      <w:r>
        <w:t xml:space="preserve">, Canberra, </w:t>
      </w:r>
      <w:r w:rsidR="00643B74">
        <w:t>October</w:t>
      </w:r>
      <w:r>
        <w:t>. CC BY 4.0.</w:t>
      </w:r>
    </w:p>
    <w:p w14:paraId="04AF5513" w14:textId="09BAB5AF" w:rsidR="00764D6A" w:rsidRDefault="00E91D72">
      <w:pPr>
        <w:pStyle w:val="Normalsmall"/>
      </w:pPr>
      <w:r>
        <w:t xml:space="preserve">This </w:t>
      </w:r>
      <w:r w:rsidRPr="00364A4A">
        <w:t xml:space="preserve">publication is available at </w:t>
      </w:r>
      <w:bookmarkStart w:id="1" w:name="_Hlk178165621"/>
      <w:bookmarkStart w:id="2" w:name="_Hlk178165566"/>
      <w:r w:rsidR="00643B74" w:rsidRPr="00643B74">
        <w:fldChar w:fldCharType="begin"/>
      </w:r>
      <w:r w:rsidR="00FD2546">
        <w:instrText>HYPERLINK "https://www.agriculture.gov.au/about/fees/cost-recovery-2024-25?utm_source=Efcbegzfag%20ba%20Btevdhyghef%2C%20Avfufevff%20bae%20Abeffgel&amp;utm_campaign=c523aa3d29-FZBVY_DBZCBVTA_5356_39_52_32_64&amp;utm_medium=email&amp;utm_term=3_-c523aa3d29-%5BYVFG_FZBVY_VE%5D"</w:instrText>
      </w:r>
      <w:r w:rsidR="00643B74" w:rsidRPr="00643B74">
        <w:fldChar w:fldCharType="separate"/>
      </w:r>
      <w:r w:rsidR="00FD2546">
        <w:rPr>
          <w:rStyle w:val="Hyperlink"/>
        </w:rPr>
        <w:t>agriculture.gov.au/about/fees/cost-recovery-2024-25</w:t>
      </w:r>
      <w:r w:rsidR="00643B74" w:rsidRPr="00643B74">
        <w:fldChar w:fldCharType="end"/>
      </w:r>
      <w:bookmarkEnd w:id="1"/>
      <w:r w:rsidR="00B10EB0">
        <w:t>.</w:t>
      </w:r>
    </w:p>
    <w:bookmarkEnd w:id="2"/>
    <w:p w14:paraId="555F71F3" w14:textId="77777777" w:rsidR="00DE0AAE" w:rsidRDefault="00DE0AAE">
      <w:pPr>
        <w:pStyle w:val="Normalsmall"/>
        <w:spacing w:after="0"/>
      </w:pPr>
      <w:r w:rsidRPr="00DE0AAE">
        <w:t>Department of Agriculture, Fisheries and Forestry</w:t>
      </w:r>
    </w:p>
    <w:p w14:paraId="49A34C05" w14:textId="77777777" w:rsidR="00764D6A" w:rsidRPr="00364A4A" w:rsidRDefault="00E91D72">
      <w:pPr>
        <w:pStyle w:val="Normalsmall"/>
        <w:spacing w:after="0"/>
      </w:pPr>
      <w:r w:rsidRPr="00364A4A">
        <w:t>GPO Box 858 Canberra ACT 2601</w:t>
      </w:r>
    </w:p>
    <w:p w14:paraId="18A8465E" w14:textId="77777777" w:rsidR="00764D6A" w:rsidRPr="00364A4A" w:rsidRDefault="00E91D72">
      <w:pPr>
        <w:pStyle w:val="Normalsmall"/>
        <w:spacing w:after="0"/>
      </w:pPr>
      <w:r w:rsidRPr="00364A4A">
        <w:t>Telephone 1800 900 090</w:t>
      </w:r>
    </w:p>
    <w:p w14:paraId="0AA042DE" w14:textId="77777777" w:rsidR="00764D6A" w:rsidRPr="00364A4A" w:rsidRDefault="00E91D72">
      <w:pPr>
        <w:pStyle w:val="Normalsmall"/>
      </w:pPr>
      <w:r w:rsidRPr="00364A4A">
        <w:t xml:space="preserve">Web </w:t>
      </w:r>
      <w:hyperlink r:id="rId13" w:history="1">
        <w:r w:rsidR="00DE0AAE" w:rsidRPr="00364A4A">
          <w:rPr>
            <w:rStyle w:val="Hyperlink"/>
          </w:rPr>
          <w:t>agriculture.gov.au</w:t>
        </w:r>
      </w:hyperlink>
    </w:p>
    <w:p w14:paraId="4131F366" w14:textId="77777777" w:rsidR="007C358A" w:rsidRDefault="007C358A">
      <w:pPr>
        <w:pStyle w:val="Normalsmall"/>
      </w:pPr>
      <w:r w:rsidRPr="00364A4A">
        <w:rPr>
          <w:rStyle w:val="Strong"/>
        </w:rPr>
        <w:t>Disclaimer</w:t>
      </w:r>
    </w:p>
    <w:p w14:paraId="34536519"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3734282C" w14:textId="77777777" w:rsidR="00B02B9B" w:rsidRDefault="00B02B9B" w:rsidP="00B02B9B">
      <w:pPr>
        <w:pStyle w:val="Normalsmall"/>
      </w:pPr>
      <w:r>
        <w:rPr>
          <w:rStyle w:val="Strong"/>
        </w:rPr>
        <w:t>Acknowledgement of Country</w:t>
      </w:r>
    </w:p>
    <w:p w14:paraId="2474694F" w14:textId="5455FE73" w:rsidR="000962A6" w:rsidRDefault="00D07F7D" w:rsidP="000962A6">
      <w:pPr>
        <w:pStyle w:val="Normalsmall"/>
      </w:pPr>
      <w:r w:rsidRPr="00D07F7D">
        <w:t xml:space="preserve">We acknowledge the Traditional Custodians of Australia and their continuing connection to land and sea, waters, environment and community. We pay our respects to the Traditional Custodians of the lands we live and work on, their </w:t>
      </w:r>
      <w:r w:rsidR="000962A6" w:rsidRPr="000962A6">
        <w:t>culture, and their Elders past and present</w:t>
      </w:r>
      <w:r w:rsidR="000962A6">
        <w:t>.</w:t>
      </w:r>
    </w:p>
    <w:p w14:paraId="72E9CD66" w14:textId="77777777" w:rsidR="000962A6" w:rsidRDefault="000962A6">
      <w:pPr>
        <w:spacing w:after="0" w:line="240" w:lineRule="auto"/>
        <w:rPr>
          <w:sz w:val="18"/>
          <w:szCs w:val="18"/>
        </w:rPr>
      </w:pPr>
      <w: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20F8CB5A" w14:textId="6B510EC6" w:rsidR="00764D6A" w:rsidRDefault="00E91D72">
          <w:pPr>
            <w:pStyle w:val="TOCHeading"/>
          </w:pPr>
          <w:r>
            <w:t>Contents</w:t>
          </w:r>
        </w:p>
        <w:p w14:paraId="2A0B5A7B" w14:textId="0B30E21F" w:rsidR="00BF0B4E"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181704930" w:history="1">
            <w:r w:rsidR="00BF0B4E" w:rsidRPr="0015049A">
              <w:rPr>
                <w:rStyle w:val="Hyperlink"/>
              </w:rPr>
              <w:t>Introduction</w:t>
            </w:r>
            <w:r w:rsidR="00BF0B4E">
              <w:rPr>
                <w:webHidden/>
              </w:rPr>
              <w:tab/>
            </w:r>
            <w:r w:rsidR="00BF0B4E">
              <w:rPr>
                <w:webHidden/>
              </w:rPr>
              <w:fldChar w:fldCharType="begin"/>
            </w:r>
            <w:r w:rsidR="00BF0B4E">
              <w:rPr>
                <w:webHidden/>
              </w:rPr>
              <w:instrText xml:space="preserve"> PAGEREF _Toc181704930 \h </w:instrText>
            </w:r>
            <w:r w:rsidR="00BF0B4E">
              <w:rPr>
                <w:webHidden/>
              </w:rPr>
            </w:r>
            <w:r w:rsidR="00BF0B4E">
              <w:rPr>
                <w:webHidden/>
              </w:rPr>
              <w:fldChar w:fldCharType="separate"/>
            </w:r>
            <w:r w:rsidR="00351083">
              <w:rPr>
                <w:webHidden/>
              </w:rPr>
              <w:t>1</w:t>
            </w:r>
            <w:r w:rsidR="00BF0B4E">
              <w:rPr>
                <w:webHidden/>
              </w:rPr>
              <w:fldChar w:fldCharType="end"/>
            </w:r>
          </w:hyperlink>
        </w:p>
        <w:p w14:paraId="109AFD39" w14:textId="52299DBE" w:rsidR="00BF0B4E" w:rsidRDefault="00BF0B4E">
          <w:pPr>
            <w:pStyle w:val="TOC1"/>
            <w:rPr>
              <w:rFonts w:eastAsiaTheme="minorEastAsia"/>
              <w:b w:val="0"/>
              <w:kern w:val="2"/>
              <w:sz w:val="24"/>
              <w:szCs w:val="24"/>
              <w:lang w:eastAsia="en-AU"/>
              <w14:ligatures w14:val="standardContextual"/>
            </w:rPr>
          </w:pPr>
          <w:hyperlink w:anchor="_Toc181704931" w:history="1">
            <w:r w:rsidRPr="0015049A">
              <w:rPr>
                <w:rStyle w:val="Hyperlink"/>
              </w:rPr>
              <w:t>Summary of financial position</w:t>
            </w:r>
            <w:r>
              <w:rPr>
                <w:webHidden/>
              </w:rPr>
              <w:tab/>
            </w:r>
            <w:r>
              <w:rPr>
                <w:webHidden/>
              </w:rPr>
              <w:fldChar w:fldCharType="begin"/>
            </w:r>
            <w:r>
              <w:rPr>
                <w:webHidden/>
              </w:rPr>
              <w:instrText xml:space="preserve"> PAGEREF _Toc181704931 \h </w:instrText>
            </w:r>
            <w:r>
              <w:rPr>
                <w:webHidden/>
              </w:rPr>
            </w:r>
            <w:r>
              <w:rPr>
                <w:webHidden/>
              </w:rPr>
              <w:fldChar w:fldCharType="separate"/>
            </w:r>
            <w:r w:rsidR="00351083">
              <w:rPr>
                <w:webHidden/>
              </w:rPr>
              <w:t>2</w:t>
            </w:r>
            <w:r>
              <w:rPr>
                <w:webHidden/>
              </w:rPr>
              <w:fldChar w:fldCharType="end"/>
            </w:r>
          </w:hyperlink>
        </w:p>
        <w:p w14:paraId="24F133B3" w14:textId="7B1A11A2" w:rsidR="00BF0B4E" w:rsidRDefault="00BF0B4E">
          <w:pPr>
            <w:pStyle w:val="TOC2"/>
            <w:rPr>
              <w:rFonts w:eastAsiaTheme="minorEastAsia"/>
              <w:kern w:val="2"/>
              <w:sz w:val="24"/>
              <w:szCs w:val="24"/>
              <w:lang w:eastAsia="en-AU"/>
              <w14:ligatures w14:val="standardContextual"/>
            </w:rPr>
          </w:pPr>
          <w:hyperlink w:anchor="_Toc181704932" w:history="1">
            <w:r w:rsidRPr="0015049A">
              <w:rPr>
                <w:rStyle w:val="Hyperlink"/>
              </w:rPr>
              <w:t>Securing the future of agricultural trade</w:t>
            </w:r>
            <w:r>
              <w:rPr>
                <w:webHidden/>
              </w:rPr>
              <w:tab/>
            </w:r>
            <w:r>
              <w:rPr>
                <w:webHidden/>
              </w:rPr>
              <w:fldChar w:fldCharType="begin"/>
            </w:r>
            <w:r>
              <w:rPr>
                <w:webHidden/>
              </w:rPr>
              <w:instrText xml:space="preserve"> PAGEREF _Toc181704932 \h </w:instrText>
            </w:r>
            <w:r>
              <w:rPr>
                <w:webHidden/>
              </w:rPr>
            </w:r>
            <w:r>
              <w:rPr>
                <w:webHidden/>
              </w:rPr>
              <w:fldChar w:fldCharType="separate"/>
            </w:r>
            <w:r w:rsidR="00351083">
              <w:rPr>
                <w:webHidden/>
              </w:rPr>
              <w:t>2</w:t>
            </w:r>
            <w:r>
              <w:rPr>
                <w:webHidden/>
              </w:rPr>
              <w:fldChar w:fldCharType="end"/>
            </w:r>
          </w:hyperlink>
        </w:p>
        <w:p w14:paraId="54591226" w14:textId="14B7F3CE" w:rsidR="00BF0B4E" w:rsidRDefault="00BF0B4E">
          <w:pPr>
            <w:pStyle w:val="TOC2"/>
            <w:rPr>
              <w:rFonts w:eastAsiaTheme="minorEastAsia"/>
              <w:kern w:val="2"/>
              <w:sz w:val="24"/>
              <w:szCs w:val="24"/>
              <w:lang w:eastAsia="en-AU"/>
              <w14:ligatures w14:val="standardContextual"/>
            </w:rPr>
          </w:pPr>
          <w:hyperlink w:anchor="_Toc181704933" w:history="1">
            <w:r w:rsidRPr="0015049A">
              <w:rPr>
                <w:rStyle w:val="Hyperlink"/>
              </w:rPr>
              <w:t>CRIS cost modelling</w:t>
            </w:r>
            <w:r>
              <w:rPr>
                <w:webHidden/>
              </w:rPr>
              <w:tab/>
            </w:r>
            <w:r>
              <w:rPr>
                <w:webHidden/>
              </w:rPr>
              <w:fldChar w:fldCharType="begin"/>
            </w:r>
            <w:r>
              <w:rPr>
                <w:webHidden/>
              </w:rPr>
              <w:instrText xml:space="preserve"> PAGEREF _Toc181704933 \h </w:instrText>
            </w:r>
            <w:r>
              <w:rPr>
                <w:webHidden/>
              </w:rPr>
            </w:r>
            <w:r>
              <w:rPr>
                <w:webHidden/>
              </w:rPr>
              <w:fldChar w:fldCharType="separate"/>
            </w:r>
            <w:r w:rsidR="00351083">
              <w:rPr>
                <w:webHidden/>
              </w:rPr>
              <w:t>3</w:t>
            </w:r>
            <w:r>
              <w:rPr>
                <w:webHidden/>
              </w:rPr>
              <w:fldChar w:fldCharType="end"/>
            </w:r>
          </w:hyperlink>
        </w:p>
        <w:p w14:paraId="781A1784" w14:textId="527337F7" w:rsidR="00BF0B4E" w:rsidRDefault="00BF0B4E">
          <w:pPr>
            <w:pStyle w:val="TOC1"/>
            <w:rPr>
              <w:rFonts w:eastAsiaTheme="minorEastAsia"/>
              <w:b w:val="0"/>
              <w:kern w:val="2"/>
              <w:sz w:val="24"/>
              <w:szCs w:val="24"/>
              <w:lang w:eastAsia="en-AU"/>
              <w14:ligatures w14:val="standardContextual"/>
            </w:rPr>
          </w:pPr>
          <w:hyperlink w:anchor="_Toc181704934" w:history="1">
            <w:r w:rsidRPr="0015049A">
              <w:rPr>
                <w:rStyle w:val="Hyperlink"/>
              </w:rPr>
              <w:t>Volume and revenue</w:t>
            </w:r>
            <w:r>
              <w:rPr>
                <w:webHidden/>
              </w:rPr>
              <w:tab/>
            </w:r>
            <w:r>
              <w:rPr>
                <w:webHidden/>
              </w:rPr>
              <w:fldChar w:fldCharType="begin"/>
            </w:r>
            <w:r>
              <w:rPr>
                <w:webHidden/>
              </w:rPr>
              <w:instrText xml:space="preserve"> PAGEREF _Toc181704934 \h </w:instrText>
            </w:r>
            <w:r>
              <w:rPr>
                <w:webHidden/>
              </w:rPr>
            </w:r>
            <w:r>
              <w:rPr>
                <w:webHidden/>
              </w:rPr>
              <w:fldChar w:fldCharType="separate"/>
            </w:r>
            <w:r w:rsidR="00351083">
              <w:rPr>
                <w:webHidden/>
              </w:rPr>
              <w:t>4</w:t>
            </w:r>
            <w:r>
              <w:rPr>
                <w:webHidden/>
              </w:rPr>
              <w:fldChar w:fldCharType="end"/>
            </w:r>
          </w:hyperlink>
        </w:p>
        <w:p w14:paraId="1C050962" w14:textId="395B5C7C" w:rsidR="00BF0B4E" w:rsidRDefault="00BF0B4E">
          <w:pPr>
            <w:pStyle w:val="TOC1"/>
            <w:rPr>
              <w:rFonts w:eastAsiaTheme="minorEastAsia"/>
              <w:b w:val="0"/>
              <w:kern w:val="2"/>
              <w:sz w:val="24"/>
              <w:szCs w:val="24"/>
              <w:lang w:eastAsia="en-AU"/>
              <w14:ligatures w14:val="standardContextual"/>
            </w:rPr>
          </w:pPr>
          <w:hyperlink w:anchor="_Toc181704935" w:history="1">
            <w:r w:rsidRPr="0015049A">
              <w:rPr>
                <w:rStyle w:val="Hyperlink"/>
              </w:rPr>
              <w:t>Expenses</w:t>
            </w:r>
            <w:r>
              <w:rPr>
                <w:webHidden/>
              </w:rPr>
              <w:tab/>
            </w:r>
            <w:r>
              <w:rPr>
                <w:webHidden/>
              </w:rPr>
              <w:fldChar w:fldCharType="begin"/>
            </w:r>
            <w:r>
              <w:rPr>
                <w:webHidden/>
              </w:rPr>
              <w:instrText xml:space="preserve"> PAGEREF _Toc181704935 \h </w:instrText>
            </w:r>
            <w:r>
              <w:rPr>
                <w:webHidden/>
              </w:rPr>
            </w:r>
            <w:r>
              <w:rPr>
                <w:webHidden/>
              </w:rPr>
              <w:fldChar w:fldCharType="separate"/>
            </w:r>
            <w:r w:rsidR="00351083">
              <w:rPr>
                <w:webHidden/>
              </w:rPr>
              <w:t>8</w:t>
            </w:r>
            <w:r>
              <w:rPr>
                <w:webHidden/>
              </w:rPr>
              <w:fldChar w:fldCharType="end"/>
            </w:r>
          </w:hyperlink>
        </w:p>
        <w:p w14:paraId="0845B3C5" w14:textId="4091FCC2" w:rsidR="00BF0B4E" w:rsidRDefault="00BF0B4E">
          <w:pPr>
            <w:pStyle w:val="TOC1"/>
            <w:rPr>
              <w:rFonts w:eastAsiaTheme="minorEastAsia"/>
              <w:b w:val="0"/>
              <w:kern w:val="2"/>
              <w:sz w:val="24"/>
              <w:szCs w:val="24"/>
              <w:lang w:eastAsia="en-AU"/>
              <w14:ligatures w14:val="standardContextual"/>
            </w:rPr>
          </w:pPr>
          <w:hyperlink w:anchor="_Toc181704936" w:history="1">
            <w:r w:rsidRPr="0015049A">
              <w:rPr>
                <w:rStyle w:val="Hyperlink"/>
              </w:rPr>
              <w:t>Non-financial performance</w:t>
            </w:r>
            <w:r>
              <w:rPr>
                <w:webHidden/>
              </w:rPr>
              <w:tab/>
            </w:r>
            <w:r>
              <w:rPr>
                <w:webHidden/>
              </w:rPr>
              <w:fldChar w:fldCharType="begin"/>
            </w:r>
            <w:r>
              <w:rPr>
                <w:webHidden/>
              </w:rPr>
              <w:instrText xml:space="preserve"> PAGEREF _Toc181704936 \h </w:instrText>
            </w:r>
            <w:r>
              <w:rPr>
                <w:webHidden/>
              </w:rPr>
            </w:r>
            <w:r>
              <w:rPr>
                <w:webHidden/>
              </w:rPr>
              <w:fldChar w:fldCharType="separate"/>
            </w:r>
            <w:r w:rsidR="00351083">
              <w:rPr>
                <w:webHidden/>
              </w:rPr>
              <w:t>10</w:t>
            </w:r>
            <w:r>
              <w:rPr>
                <w:webHidden/>
              </w:rPr>
              <w:fldChar w:fldCharType="end"/>
            </w:r>
          </w:hyperlink>
        </w:p>
        <w:p w14:paraId="750E44C2" w14:textId="2D5A7758" w:rsidR="00BF0B4E" w:rsidRDefault="00BF0B4E">
          <w:pPr>
            <w:pStyle w:val="TOC2"/>
            <w:rPr>
              <w:rFonts w:eastAsiaTheme="minorEastAsia"/>
              <w:kern w:val="2"/>
              <w:sz w:val="24"/>
              <w:szCs w:val="24"/>
              <w:lang w:eastAsia="en-AU"/>
              <w14:ligatures w14:val="standardContextual"/>
            </w:rPr>
          </w:pPr>
          <w:hyperlink w:anchor="_Toc181704937" w:history="1">
            <w:r w:rsidRPr="0015049A">
              <w:rPr>
                <w:rStyle w:val="Hyperlink"/>
              </w:rPr>
              <w:t>Objective 1 Industry growth</w:t>
            </w:r>
            <w:r>
              <w:rPr>
                <w:webHidden/>
              </w:rPr>
              <w:tab/>
            </w:r>
            <w:r>
              <w:rPr>
                <w:webHidden/>
              </w:rPr>
              <w:fldChar w:fldCharType="begin"/>
            </w:r>
            <w:r>
              <w:rPr>
                <w:webHidden/>
              </w:rPr>
              <w:instrText xml:space="preserve"> PAGEREF _Toc181704937 \h </w:instrText>
            </w:r>
            <w:r>
              <w:rPr>
                <w:webHidden/>
              </w:rPr>
            </w:r>
            <w:r>
              <w:rPr>
                <w:webHidden/>
              </w:rPr>
              <w:fldChar w:fldCharType="separate"/>
            </w:r>
            <w:r w:rsidR="00351083">
              <w:rPr>
                <w:webHidden/>
              </w:rPr>
              <w:t>10</w:t>
            </w:r>
            <w:r>
              <w:rPr>
                <w:webHidden/>
              </w:rPr>
              <w:fldChar w:fldCharType="end"/>
            </w:r>
          </w:hyperlink>
        </w:p>
        <w:p w14:paraId="3F70CF85" w14:textId="7C169631" w:rsidR="00BF0B4E" w:rsidRDefault="00BF0B4E">
          <w:pPr>
            <w:pStyle w:val="TOC1"/>
            <w:rPr>
              <w:rFonts w:eastAsiaTheme="minorEastAsia"/>
              <w:b w:val="0"/>
              <w:kern w:val="2"/>
              <w:sz w:val="24"/>
              <w:szCs w:val="24"/>
              <w:lang w:eastAsia="en-AU"/>
              <w14:ligatures w14:val="standardContextual"/>
            </w:rPr>
          </w:pPr>
          <w:hyperlink w:anchor="_Toc181704938" w:history="1">
            <w:r w:rsidRPr="0015049A">
              <w:rPr>
                <w:rStyle w:val="Hyperlink"/>
              </w:rPr>
              <w:t>Appendix A: Divisional functions</w:t>
            </w:r>
            <w:r>
              <w:rPr>
                <w:webHidden/>
              </w:rPr>
              <w:tab/>
            </w:r>
            <w:r>
              <w:rPr>
                <w:webHidden/>
              </w:rPr>
              <w:fldChar w:fldCharType="begin"/>
            </w:r>
            <w:r>
              <w:rPr>
                <w:webHidden/>
              </w:rPr>
              <w:instrText xml:space="preserve"> PAGEREF _Toc181704938 \h </w:instrText>
            </w:r>
            <w:r>
              <w:rPr>
                <w:webHidden/>
              </w:rPr>
            </w:r>
            <w:r>
              <w:rPr>
                <w:webHidden/>
              </w:rPr>
              <w:fldChar w:fldCharType="separate"/>
            </w:r>
            <w:r w:rsidR="00351083">
              <w:rPr>
                <w:webHidden/>
              </w:rPr>
              <w:t>12</w:t>
            </w:r>
            <w:r>
              <w:rPr>
                <w:webHidden/>
              </w:rPr>
              <w:fldChar w:fldCharType="end"/>
            </w:r>
          </w:hyperlink>
        </w:p>
        <w:p w14:paraId="072C4099" w14:textId="65D603B2" w:rsidR="00764D6A" w:rsidRDefault="00E91D72" w:rsidP="004B3F30">
          <w:pPr>
            <w:pStyle w:val="TOC1"/>
          </w:pPr>
          <w:r>
            <w:rPr>
              <w:b w:val="0"/>
            </w:rPr>
            <w:fldChar w:fldCharType="end"/>
          </w:r>
        </w:p>
      </w:sdtContent>
    </w:sdt>
    <w:p w14:paraId="4B04D9D0" w14:textId="16A66A03" w:rsidR="00B10863" w:rsidRPr="009622CD" w:rsidRDefault="00B10863" w:rsidP="00B10863">
      <w:pPr>
        <w:pStyle w:val="TOCHeading2"/>
        <w:rPr>
          <w:rStyle w:val="Strong"/>
          <w:b/>
          <w:bCs w:val="0"/>
        </w:rPr>
      </w:pPr>
      <w:r w:rsidRPr="009622CD">
        <w:rPr>
          <w:rStyle w:val="Strong"/>
          <w:b/>
          <w:bCs w:val="0"/>
        </w:rPr>
        <w:t>Tables</w:t>
      </w:r>
    </w:p>
    <w:p w14:paraId="7C191BFD" w14:textId="10AEFB2C" w:rsidR="00BF0B4E" w:rsidRDefault="00B10863">
      <w:pPr>
        <w:pStyle w:val="TableofFigures"/>
        <w:tabs>
          <w:tab w:val="right" w:leader="dot" w:pos="9060"/>
        </w:tabs>
        <w:rPr>
          <w:rFonts w:eastAsiaTheme="minorEastAsia"/>
          <w:noProof/>
          <w:kern w:val="2"/>
          <w:sz w:val="24"/>
          <w:szCs w:val="24"/>
          <w:lang w:eastAsia="en-AU"/>
          <w14:ligatures w14:val="standardContextual"/>
        </w:rPr>
      </w:pPr>
      <w:r>
        <w:rPr>
          <w:rStyle w:val="Hyperlink"/>
        </w:rPr>
        <w:fldChar w:fldCharType="begin"/>
      </w:r>
      <w:r>
        <w:rPr>
          <w:rStyle w:val="Hyperlink"/>
          <w:noProof/>
        </w:rPr>
        <w:instrText xml:space="preserve"> TOC \h \z \c "Table" </w:instrText>
      </w:r>
      <w:r>
        <w:rPr>
          <w:rStyle w:val="Hyperlink"/>
        </w:rPr>
        <w:fldChar w:fldCharType="separate"/>
      </w:r>
      <w:hyperlink w:anchor="_Toc181704918" w:history="1">
        <w:r w:rsidR="00BF0B4E" w:rsidRPr="003355DB">
          <w:rPr>
            <w:rStyle w:val="Hyperlink"/>
            <w:noProof/>
          </w:rPr>
          <w:t>Table 1 Summary of the financial position of the meat export arrangement for 2023—24</w:t>
        </w:r>
        <w:r w:rsidR="00BF0B4E">
          <w:rPr>
            <w:noProof/>
            <w:webHidden/>
          </w:rPr>
          <w:tab/>
        </w:r>
        <w:r w:rsidR="00BF0B4E">
          <w:rPr>
            <w:noProof/>
            <w:webHidden/>
          </w:rPr>
          <w:fldChar w:fldCharType="begin"/>
        </w:r>
        <w:r w:rsidR="00BF0B4E">
          <w:rPr>
            <w:noProof/>
            <w:webHidden/>
          </w:rPr>
          <w:instrText xml:space="preserve"> PAGEREF _Toc181704918 \h </w:instrText>
        </w:r>
        <w:r w:rsidR="00BF0B4E">
          <w:rPr>
            <w:noProof/>
            <w:webHidden/>
          </w:rPr>
        </w:r>
        <w:r w:rsidR="00BF0B4E">
          <w:rPr>
            <w:noProof/>
            <w:webHidden/>
          </w:rPr>
          <w:fldChar w:fldCharType="separate"/>
        </w:r>
        <w:r w:rsidR="00351083">
          <w:rPr>
            <w:noProof/>
            <w:webHidden/>
          </w:rPr>
          <w:t>2</w:t>
        </w:r>
        <w:r w:rsidR="00BF0B4E">
          <w:rPr>
            <w:noProof/>
            <w:webHidden/>
          </w:rPr>
          <w:fldChar w:fldCharType="end"/>
        </w:r>
      </w:hyperlink>
    </w:p>
    <w:p w14:paraId="6A53B4B0" w14:textId="5DFA3B42" w:rsidR="00BF0B4E" w:rsidRDefault="00BF0B4E">
      <w:pPr>
        <w:pStyle w:val="TableofFigures"/>
        <w:tabs>
          <w:tab w:val="right" w:leader="dot" w:pos="9060"/>
        </w:tabs>
        <w:rPr>
          <w:rFonts w:eastAsiaTheme="minorEastAsia"/>
          <w:noProof/>
          <w:kern w:val="2"/>
          <w:sz w:val="24"/>
          <w:szCs w:val="24"/>
          <w:lang w:eastAsia="en-AU"/>
          <w14:ligatures w14:val="standardContextual"/>
        </w:rPr>
      </w:pPr>
      <w:hyperlink w:anchor="_Toc181704919" w:history="1">
        <w:r w:rsidRPr="003355DB">
          <w:rPr>
            <w:rStyle w:val="Hyperlink"/>
            <w:noProof/>
          </w:rPr>
          <w:t>Table 2 Volume by charge point, meat export arrangement for 2023–24</w:t>
        </w:r>
        <w:r>
          <w:rPr>
            <w:noProof/>
            <w:webHidden/>
          </w:rPr>
          <w:tab/>
        </w:r>
        <w:r>
          <w:rPr>
            <w:noProof/>
            <w:webHidden/>
          </w:rPr>
          <w:fldChar w:fldCharType="begin"/>
        </w:r>
        <w:r>
          <w:rPr>
            <w:noProof/>
            <w:webHidden/>
          </w:rPr>
          <w:instrText xml:space="preserve"> PAGEREF _Toc181704919 \h </w:instrText>
        </w:r>
        <w:r>
          <w:rPr>
            <w:noProof/>
            <w:webHidden/>
          </w:rPr>
        </w:r>
        <w:r>
          <w:rPr>
            <w:noProof/>
            <w:webHidden/>
          </w:rPr>
          <w:fldChar w:fldCharType="separate"/>
        </w:r>
        <w:r w:rsidR="00351083">
          <w:rPr>
            <w:noProof/>
            <w:webHidden/>
          </w:rPr>
          <w:t>4</w:t>
        </w:r>
        <w:r>
          <w:rPr>
            <w:noProof/>
            <w:webHidden/>
          </w:rPr>
          <w:fldChar w:fldCharType="end"/>
        </w:r>
      </w:hyperlink>
    </w:p>
    <w:p w14:paraId="2847C6D7" w14:textId="62443467" w:rsidR="00BF0B4E" w:rsidRDefault="00BF0B4E">
      <w:pPr>
        <w:pStyle w:val="TableofFigures"/>
        <w:tabs>
          <w:tab w:val="right" w:leader="dot" w:pos="9060"/>
        </w:tabs>
        <w:rPr>
          <w:rFonts w:eastAsiaTheme="minorEastAsia"/>
          <w:noProof/>
          <w:kern w:val="2"/>
          <w:sz w:val="24"/>
          <w:szCs w:val="24"/>
          <w:lang w:eastAsia="en-AU"/>
          <w14:ligatures w14:val="standardContextual"/>
        </w:rPr>
      </w:pPr>
      <w:hyperlink w:anchor="_Toc181704920" w:history="1">
        <w:r w:rsidRPr="003355DB">
          <w:rPr>
            <w:rStyle w:val="Hyperlink"/>
            <w:noProof/>
          </w:rPr>
          <w:t>Table 3 Revenue by charge point, meat export arrangement for 2023–24</w:t>
        </w:r>
        <w:r>
          <w:rPr>
            <w:noProof/>
            <w:webHidden/>
          </w:rPr>
          <w:tab/>
        </w:r>
        <w:r>
          <w:rPr>
            <w:noProof/>
            <w:webHidden/>
          </w:rPr>
          <w:fldChar w:fldCharType="begin"/>
        </w:r>
        <w:r>
          <w:rPr>
            <w:noProof/>
            <w:webHidden/>
          </w:rPr>
          <w:instrText xml:space="preserve"> PAGEREF _Toc181704920 \h </w:instrText>
        </w:r>
        <w:r>
          <w:rPr>
            <w:noProof/>
            <w:webHidden/>
          </w:rPr>
        </w:r>
        <w:r>
          <w:rPr>
            <w:noProof/>
            <w:webHidden/>
          </w:rPr>
          <w:fldChar w:fldCharType="separate"/>
        </w:r>
        <w:r w:rsidR="00351083">
          <w:rPr>
            <w:noProof/>
            <w:webHidden/>
          </w:rPr>
          <w:t>6</w:t>
        </w:r>
        <w:r>
          <w:rPr>
            <w:noProof/>
            <w:webHidden/>
          </w:rPr>
          <w:fldChar w:fldCharType="end"/>
        </w:r>
      </w:hyperlink>
    </w:p>
    <w:p w14:paraId="64A3E618" w14:textId="75C50767" w:rsidR="00BF0B4E" w:rsidRDefault="00BF0B4E">
      <w:pPr>
        <w:pStyle w:val="TableofFigures"/>
        <w:tabs>
          <w:tab w:val="right" w:leader="dot" w:pos="9060"/>
        </w:tabs>
        <w:rPr>
          <w:rFonts w:eastAsiaTheme="minorEastAsia"/>
          <w:noProof/>
          <w:kern w:val="2"/>
          <w:sz w:val="24"/>
          <w:szCs w:val="24"/>
          <w:lang w:eastAsia="en-AU"/>
          <w14:ligatures w14:val="standardContextual"/>
        </w:rPr>
      </w:pPr>
      <w:hyperlink w:anchor="_Toc181704921" w:history="1">
        <w:r w:rsidRPr="003355DB">
          <w:rPr>
            <w:rStyle w:val="Hyperlink"/>
            <w:noProof/>
          </w:rPr>
          <w:t>Table 4 Meat export arrangement cost base by expense type, 2023–24</w:t>
        </w:r>
        <w:r>
          <w:rPr>
            <w:noProof/>
            <w:webHidden/>
          </w:rPr>
          <w:tab/>
        </w:r>
        <w:r>
          <w:rPr>
            <w:noProof/>
            <w:webHidden/>
          </w:rPr>
          <w:fldChar w:fldCharType="begin"/>
        </w:r>
        <w:r>
          <w:rPr>
            <w:noProof/>
            <w:webHidden/>
          </w:rPr>
          <w:instrText xml:space="preserve"> PAGEREF _Toc181704921 \h </w:instrText>
        </w:r>
        <w:r>
          <w:rPr>
            <w:noProof/>
            <w:webHidden/>
          </w:rPr>
        </w:r>
        <w:r>
          <w:rPr>
            <w:noProof/>
            <w:webHidden/>
          </w:rPr>
          <w:fldChar w:fldCharType="separate"/>
        </w:r>
        <w:r w:rsidR="00351083">
          <w:rPr>
            <w:noProof/>
            <w:webHidden/>
          </w:rPr>
          <w:t>8</w:t>
        </w:r>
        <w:r>
          <w:rPr>
            <w:noProof/>
            <w:webHidden/>
          </w:rPr>
          <w:fldChar w:fldCharType="end"/>
        </w:r>
      </w:hyperlink>
    </w:p>
    <w:p w14:paraId="7EBF0533" w14:textId="53ADF90F" w:rsidR="00BF0B4E" w:rsidRDefault="00BF0B4E">
      <w:pPr>
        <w:pStyle w:val="TableofFigures"/>
        <w:tabs>
          <w:tab w:val="right" w:leader="dot" w:pos="9060"/>
        </w:tabs>
        <w:rPr>
          <w:rFonts w:eastAsiaTheme="minorEastAsia"/>
          <w:noProof/>
          <w:kern w:val="2"/>
          <w:sz w:val="24"/>
          <w:szCs w:val="24"/>
          <w:lang w:eastAsia="en-AU"/>
          <w14:ligatures w14:val="standardContextual"/>
        </w:rPr>
      </w:pPr>
      <w:hyperlink w:anchor="_Toc181704922" w:history="1">
        <w:r w:rsidRPr="003355DB">
          <w:rPr>
            <w:rStyle w:val="Hyperlink"/>
            <w:noProof/>
          </w:rPr>
          <w:t>Table 5 Financial performance for meat exports cost recovery arrangement, 2020–21 to 2023–24</w:t>
        </w:r>
        <w:r>
          <w:rPr>
            <w:noProof/>
            <w:webHidden/>
          </w:rPr>
          <w:tab/>
        </w:r>
        <w:r>
          <w:rPr>
            <w:noProof/>
            <w:webHidden/>
          </w:rPr>
          <w:fldChar w:fldCharType="begin"/>
        </w:r>
        <w:r>
          <w:rPr>
            <w:noProof/>
            <w:webHidden/>
          </w:rPr>
          <w:instrText xml:space="preserve"> PAGEREF _Toc181704922 \h </w:instrText>
        </w:r>
        <w:r>
          <w:rPr>
            <w:noProof/>
            <w:webHidden/>
          </w:rPr>
        </w:r>
        <w:r>
          <w:rPr>
            <w:noProof/>
            <w:webHidden/>
          </w:rPr>
          <w:fldChar w:fldCharType="separate"/>
        </w:r>
        <w:r w:rsidR="00351083">
          <w:rPr>
            <w:noProof/>
            <w:webHidden/>
          </w:rPr>
          <w:t>9</w:t>
        </w:r>
        <w:r>
          <w:rPr>
            <w:noProof/>
            <w:webHidden/>
          </w:rPr>
          <w:fldChar w:fldCharType="end"/>
        </w:r>
      </w:hyperlink>
    </w:p>
    <w:p w14:paraId="65BFD566" w14:textId="1B5B002A" w:rsidR="00BF0B4E" w:rsidRDefault="00BF0B4E">
      <w:pPr>
        <w:pStyle w:val="TableofFigures"/>
        <w:tabs>
          <w:tab w:val="right" w:leader="dot" w:pos="9060"/>
        </w:tabs>
        <w:rPr>
          <w:noProof/>
        </w:rPr>
      </w:pPr>
      <w:hyperlink w:anchor="_Toc181704923" w:history="1">
        <w:r w:rsidRPr="003355DB">
          <w:rPr>
            <w:rStyle w:val="Hyperlink"/>
            <w:noProof/>
          </w:rPr>
          <w:t>Table 8 Measure IG-07</w:t>
        </w:r>
        <w:r>
          <w:rPr>
            <w:noProof/>
            <w:webHidden/>
          </w:rPr>
          <w:tab/>
        </w:r>
        <w:r>
          <w:rPr>
            <w:noProof/>
            <w:webHidden/>
          </w:rPr>
          <w:fldChar w:fldCharType="begin"/>
        </w:r>
        <w:r>
          <w:rPr>
            <w:noProof/>
            <w:webHidden/>
          </w:rPr>
          <w:instrText xml:space="preserve"> PAGEREF _Toc181704923 \h </w:instrText>
        </w:r>
        <w:r>
          <w:rPr>
            <w:noProof/>
            <w:webHidden/>
          </w:rPr>
        </w:r>
        <w:r>
          <w:rPr>
            <w:noProof/>
            <w:webHidden/>
          </w:rPr>
          <w:fldChar w:fldCharType="separate"/>
        </w:r>
        <w:r w:rsidR="00351083">
          <w:rPr>
            <w:noProof/>
            <w:webHidden/>
          </w:rPr>
          <w:t>11</w:t>
        </w:r>
        <w:r>
          <w:rPr>
            <w:noProof/>
            <w:webHidden/>
          </w:rPr>
          <w:fldChar w:fldCharType="end"/>
        </w:r>
      </w:hyperlink>
      <w:r w:rsidR="00B10863">
        <w:rPr>
          <w:noProof/>
        </w:rPr>
        <w:fldChar w:fldCharType="end"/>
      </w:r>
      <w:r w:rsidR="00B10863">
        <w:fldChar w:fldCharType="begin"/>
      </w:r>
      <w:r w:rsidR="00B10863">
        <w:instrText xml:space="preserve"> TOC \h \z \c "Table A" </w:instrText>
      </w:r>
      <w:r w:rsidR="00B10863">
        <w:fldChar w:fldCharType="separate"/>
      </w:r>
    </w:p>
    <w:p w14:paraId="0B6A852C" w14:textId="707D72B1" w:rsidR="00BF0B4E" w:rsidRDefault="00BF0B4E">
      <w:pPr>
        <w:pStyle w:val="TableofFigures"/>
        <w:tabs>
          <w:tab w:val="right" w:leader="dot" w:pos="9060"/>
        </w:tabs>
        <w:rPr>
          <w:rFonts w:eastAsiaTheme="minorEastAsia"/>
          <w:noProof/>
          <w:kern w:val="2"/>
          <w:sz w:val="24"/>
          <w:szCs w:val="24"/>
          <w:lang w:eastAsia="en-AU"/>
          <w14:ligatures w14:val="standardContextual"/>
        </w:rPr>
      </w:pPr>
      <w:hyperlink w:anchor="_Toc181704924" w:history="1">
        <w:r w:rsidRPr="0022563B">
          <w:rPr>
            <w:rStyle w:val="Hyperlink"/>
            <w:noProof/>
          </w:rPr>
          <w:t>Table A1 Additional information on divisional functions</w:t>
        </w:r>
        <w:r>
          <w:rPr>
            <w:noProof/>
            <w:webHidden/>
          </w:rPr>
          <w:tab/>
        </w:r>
        <w:r>
          <w:rPr>
            <w:noProof/>
            <w:webHidden/>
          </w:rPr>
          <w:fldChar w:fldCharType="begin"/>
        </w:r>
        <w:r>
          <w:rPr>
            <w:noProof/>
            <w:webHidden/>
          </w:rPr>
          <w:instrText xml:space="preserve"> PAGEREF _Toc181704924 \h </w:instrText>
        </w:r>
        <w:r>
          <w:rPr>
            <w:noProof/>
            <w:webHidden/>
          </w:rPr>
        </w:r>
        <w:r>
          <w:rPr>
            <w:noProof/>
            <w:webHidden/>
          </w:rPr>
          <w:fldChar w:fldCharType="separate"/>
        </w:r>
        <w:r w:rsidR="00351083">
          <w:rPr>
            <w:noProof/>
            <w:webHidden/>
          </w:rPr>
          <w:t>12</w:t>
        </w:r>
        <w:r>
          <w:rPr>
            <w:noProof/>
            <w:webHidden/>
          </w:rPr>
          <w:fldChar w:fldCharType="end"/>
        </w:r>
      </w:hyperlink>
    </w:p>
    <w:p w14:paraId="7454D5B9" w14:textId="450D27A0" w:rsidR="00B10863" w:rsidRDefault="00B10863" w:rsidP="00B10863">
      <w:pPr>
        <w:pStyle w:val="TableofFigures"/>
        <w:tabs>
          <w:tab w:val="right" w:leader="dot" w:pos="9060"/>
        </w:tabs>
      </w:pPr>
      <w:r>
        <w:fldChar w:fldCharType="end"/>
      </w:r>
    </w:p>
    <w:p w14:paraId="78985817" w14:textId="60DF6626" w:rsidR="00764D6A" w:rsidRDefault="00764D6A" w:rsidP="00B10863">
      <w:pPr>
        <w:pStyle w:val="TableofFigures"/>
        <w:tabs>
          <w:tab w:val="right" w:leader="dot" w:pos="9060"/>
        </w:tabs>
        <w:sectPr w:rsidR="00764D6A">
          <w:headerReference w:type="even" r:id="rId14"/>
          <w:headerReference w:type="default" r:id="rId15"/>
          <w:footerReference w:type="even" r:id="rId16"/>
          <w:footerReference w:type="default" r:id="rId17"/>
          <w:headerReference w:type="first" r:id="rId18"/>
          <w:pgSz w:w="11906" w:h="16838"/>
          <w:pgMar w:top="1418" w:right="1418" w:bottom="1418" w:left="1418" w:header="567" w:footer="283" w:gutter="0"/>
          <w:pgNumType w:fmt="lowerRoman" w:start="1"/>
          <w:cols w:space="708"/>
          <w:titlePg/>
          <w:docGrid w:linePitch="360"/>
        </w:sectPr>
      </w:pPr>
    </w:p>
    <w:p w14:paraId="07786EAF" w14:textId="77777777" w:rsidR="00764D6A" w:rsidRDefault="00E91D72" w:rsidP="00372831">
      <w:pPr>
        <w:pStyle w:val="Heading2"/>
        <w:numPr>
          <w:ilvl w:val="0"/>
          <w:numId w:val="0"/>
        </w:numPr>
        <w:ind w:left="720" w:hanging="720"/>
      </w:pPr>
      <w:bookmarkStart w:id="3" w:name="_Toc430782150"/>
      <w:bookmarkStart w:id="4" w:name="_Toc181704930"/>
      <w:r w:rsidRPr="00BA7B4F">
        <w:lastRenderedPageBreak/>
        <w:t>Introduction</w:t>
      </w:r>
      <w:bookmarkEnd w:id="3"/>
      <w:bookmarkEnd w:id="4"/>
    </w:p>
    <w:p w14:paraId="30FB6EDB" w14:textId="7581A117" w:rsidR="003B2E54" w:rsidRDefault="00BA7B4F" w:rsidP="00BA7B4F">
      <w:bookmarkStart w:id="5" w:name="_Hlk174528139"/>
      <w:bookmarkStart w:id="6" w:name="_Hlk178165740"/>
      <w:bookmarkStart w:id="7" w:name="_Ref445985033"/>
      <w:bookmarkStart w:id="8" w:name="_Toc409769171"/>
      <w:r>
        <w:t xml:space="preserve">The department performs a range of regulatory activities in support of our producers and exporters who take their high-quality products to global markets. Australian agriculture, fisheries and forestry is a substantial part of the Australian economy, with exports contributing around </w:t>
      </w:r>
      <w:r w:rsidRPr="000939B3">
        <w:t>$1.6</w:t>
      </w:r>
      <w:r w:rsidRPr="000939B3">
        <w:rPr>
          <w:rFonts w:ascii="Calibri" w:eastAsia="Times New Roman" w:hAnsi="Calibri" w:cs="Calibri"/>
          <w:color w:val="000000"/>
          <w:sz w:val="18"/>
          <w:szCs w:val="18"/>
          <w:lang w:eastAsia="en-AU"/>
        </w:rPr>
        <w:t> </w:t>
      </w:r>
      <w:r w:rsidRPr="000939B3">
        <w:t>billion every week (</w:t>
      </w:r>
      <w:r w:rsidRPr="009D5574">
        <w:t>total $82</w:t>
      </w:r>
      <w:r w:rsidRPr="009D5574">
        <w:rPr>
          <w:rFonts w:ascii="Calibri" w:eastAsia="Times New Roman" w:hAnsi="Calibri" w:cs="Calibri"/>
          <w:sz w:val="18"/>
          <w:szCs w:val="18"/>
          <w:lang w:eastAsia="en-AU"/>
        </w:rPr>
        <w:t> </w:t>
      </w:r>
      <w:r w:rsidRPr="009D5574">
        <w:t>billion in 2023–24</w:t>
      </w:r>
      <w:r w:rsidR="00897BAB">
        <w:t>)</w:t>
      </w:r>
      <w:r w:rsidR="007F229B">
        <w:t xml:space="preserve"> </w:t>
      </w:r>
      <w:r w:rsidR="002402D1" w:rsidRPr="00856FE9">
        <w:rPr>
          <w:rFonts w:eastAsiaTheme="minorEastAsia"/>
          <w:lang w:eastAsia="en-AU"/>
        </w:rPr>
        <w:t>(</w:t>
      </w:r>
      <w:hyperlink r:id="rId19" w:history="1">
        <w:r w:rsidR="002402D1" w:rsidRPr="00714F0E">
          <w:rPr>
            <w:rStyle w:val="Hyperlink"/>
          </w:rPr>
          <w:t>ABARES September 2023 (PDF 3.1MB)</w:t>
        </w:r>
      </w:hyperlink>
      <w:r w:rsidR="002402D1">
        <w:t>)</w:t>
      </w:r>
      <w:r w:rsidR="002402D1">
        <w:t>.</w:t>
      </w:r>
    </w:p>
    <w:p w14:paraId="7334428E" w14:textId="09D0AC8B" w:rsidR="00BA7B4F" w:rsidRDefault="00BA7B4F" w:rsidP="00BA7B4F">
      <w:r w:rsidRPr="00016A17">
        <w:t>Cost recovery plays a key role in the way the Australian Government charges non-government sector</w:t>
      </w:r>
      <w:r>
        <w:t>s</w:t>
      </w:r>
      <w:r w:rsidRPr="00016A17">
        <w:t xml:space="preserve"> for some or all the efficient costs for a specific government activity. </w:t>
      </w:r>
      <w:r>
        <w:t>It is an important funding source to support Australian producers in accessing markets and protecting the reputation of Australian agricultural goods.</w:t>
      </w:r>
    </w:p>
    <w:p w14:paraId="36EA39BC" w14:textId="073A84C6" w:rsidR="00BA7B4F" w:rsidRPr="00016A17" w:rsidRDefault="00BA7B4F" w:rsidP="00BA7B4F">
      <w:r w:rsidRPr="00016A17">
        <w:t>Cost recovery can influence the demand for government activity and raise awareness of how much government activities cost. It improve</w:t>
      </w:r>
      <w:r w:rsidR="00F0184D">
        <w:t>s</w:t>
      </w:r>
      <w:r w:rsidRPr="00016A17">
        <w:t xml:space="preserve"> the efficiency, productivity and responsiveness of government activities and accountability for those activities.</w:t>
      </w:r>
    </w:p>
    <w:p w14:paraId="52B5B1FE" w14:textId="47C7AE34" w:rsidR="00BA7B4F" w:rsidRPr="00016A17" w:rsidRDefault="00BA7B4F" w:rsidP="00BA7B4F">
      <w:r w:rsidRPr="00016A17">
        <w:t xml:space="preserve">Since 2019, the </w:t>
      </w:r>
      <w:r>
        <w:t>Australian Government</w:t>
      </w:r>
      <w:r w:rsidRPr="00016A17">
        <w:t xml:space="preserve"> has been supporting industry </w:t>
      </w:r>
      <w:r>
        <w:t>through the</w:t>
      </w:r>
      <w:r w:rsidRPr="00016A17">
        <w:t xml:space="preserve"> </w:t>
      </w:r>
      <w:hyperlink r:id="rId20" w:history="1">
        <w:r w:rsidRPr="00016A17">
          <w:rPr>
            <w:rStyle w:val="Hyperlink"/>
          </w:rPr>
          <w:t>Busting Congestion for Agricultural Exporters (PDF 211KB)</w:t>
        </w:r>
      </w:hyperlink>
      <w:r w:rsidRPr="00016A17">
        <w:t xml:space="preserve"> and </w:t>
      </w:r>
      <w:hyperlink r:id="rId21" w:history="1">
        <w:r w:rsidRPr="00016A17">
          <w:rPr>
            <w:rStyle w:val="Hyperlink"/>
          </w:rPr>
          <w:t>Securing the future of Agriculture trade (PDF 208KB)</w:t>
        </w:r>
      </w:hyperlink>
      <w:r w:rsidRPr="00016A17">
        <w:t xml:space="preserve"> </w:t>
      </w:r>
      <w:r>
        <w:t>measures. T</w:t>
      </w:r>
      <w:r w:rsidRPr="00016A17">
        <w:t>h</w:t>
      </w:r>
      <w:r>
        <w:t>i</w:t>
      </w:r>
      <w:r w:rsidRPr="00016A17">
        <w:t>s</w:t>
      </w:r>
      <w:r>
        <w:t xml:space="preserve"> demonstrates the</w:t>
      </w:r>
      <w:r w:rsidRPr="00016A17">
        <w:t xml:space="preserve"> </w:t>
      </w:r>
      <w:r>
        <w:t>continued</w:t>
      </w:r>
      <w:r w:rsidRPr="00016A17">
        <w:t xml:space="preserve"> investment in</w:t>
      </w:r>
      <w:r>
        <w:t xml:space="preserve"> </w:t>
      </w:r>
      <w:r w:rsidRPr="00016A17">
        <w:t xml:space="preserve">regulatory export trade </w:t>
      </w:r>
      <w:r>
        <w:t xml:space="preserve">and commitment </w:t>
      </w:r>
      <w:r w:rsidRPr="00016A17">
        <w:t>to meet</w:t>
      </w:r>
      <w:r>
        <w:t>ing</w:t>
      </w:r>
      <w:r w:rsidRPr="00016A17">
        <w:t xml:space="preserve"> the needs of exporters and </w:t>
      </w:r>
      <w:r>
        <w:t xml:space="preserve">the </w:t>
      </w:r>
      <w:r w:rsidRPr="00016A17">
        <w:t>expectations of our trading partners.</w:t>
      </w:r>
    </w:p>
    <w:p w14:paraId="0F77D39B" w14:textId="5932AB4E" w:rsidR="007012FB" w:rsidRDefault="00BA7B4F" w:rsidP="007012FB">
      <w:r w:rsidRPr="00933D8D">
        <w:t xml:space="preserve">The </w:t>
      </w:r>
      <w:r w:rsidR="00BD17F9">
        <w:rPr>
          <w:rStyle w:val="Emphasis"/>
        </w:rPr>
        <w:t>m</w:t>
      </w:r>
      <w:r w:rsidR="007F229B" w:rsidRPr="003A222D">
        <w:rPr>
          <w:rStyle w:val="Emphasis"/>
        </w:rPr>
        <w:t>eat export cost recovery arrangement: financial performance 2023–24</w:t>
      </w:r>
      <w:r w:rsidR="007F229B">
        <w:t xml:space="preserve"> </w:t>
      </w:r>
      <w:r w:rsidRPr="00016A17">
        <w:t xml:space="preserve">report describes the </w:t>
      </w:r>
      <w:r w:rsidR="0023755B">
        <w:t>meat</w:t>
      </w:r>
      <w:r>
        <w:t xml:space="preserve"> export</w:t>
      </w:r>
      <w:r w:rsidRPr="00016A17">
        <w:t xml:space="preserve"> arrangement’s financial performance against the department’s budget and </w:t>
      </w:r>
      <w:hyperlink r:id="rId22" w:history="1">
        <w:bookmarkEnd w:id="5"/>
        <w:bookmarkEnd w:id="6"/>
        <w:r w:rsidR="003B2E54">
          <w:rPr>
            <w:rStyle w:val="Hyperlink"/>
          </w:rPr>
          <w:t>Cost Recovery Implementation Statement (CRIS)</w:t>
        </w:r>
      </w:hyperlink>
      <w:r w:rsidR="003B2E54">
        <w:t>.</w:t>
      </w:r>
    </w:p>
    <w:p w14:paraId="2459CF14" w14:textId="38577D89" w:rsidR="00210FCC" w:rsidRDefault="00385F67" w:rsidP="007012FB">
      <w:pPr>
        <w:pStyle w:val="Heading2"/>
        <w:numPr>
          <w:ilvl w:val="0"/>
          <w:numId w:val="0"/>
        </w:numPr>
        <w:ind w:left="720" w:hanging="720"/>
      </w:pPr>
      <w:bookmarkStart w:id="9" w:name="_Toc181704931"/>
      <w:r w:rsidRPr="00385F67">
        <w:lastRenderedPageBreak/>
        <w:t>Summary of financial position</w:t>
      </w:r>
      <w:bookmarkEnd w:id="9"/>
    </w:p>
    <w:p w14:paraId="71E0E500" w14:textId="24287A21" w:rsidR="00056CBE" w:rsidRPr="007F229B" w:rsidRDefault="00056CBE" w:rsidP="007F229B">
      <w:bookmarkStart w:id="10" w:name="_Hlk178064316"/>
      <w:r w:rsidRPr="007F229B">
        <w:t xml:space="preserve">The </w:t>
      </w:r>
      <w:r w:rsidR="003001B4">
        <w:t>m</w:t>
      </w:r>
      <w:r w:rsidRPr="007F229B">
        <w:t xml:space="preserve">eat </w:t>
      </w:r>
      <w:r w:rsidR="003001B4">
        <w:t>e</w:t>
      </w:r>
      <w:r w:rsidRPr="007F229B">
        <w:t xml:space="preserve">xports </w:t>
      </w:r>
      <w:r w:rsidR="003001B4">
        <w:t>arrangement</w:t>
      </w:r>
      <w:r w:rsidRPr="007F229B">
        <w:t xml:space="preserve"> forecast a surplus of $0.3</w:t>
      </w:r>
      <w:bookmarkStart w:id="11" w:name="_Hlk178847451"/>
      <w:r w:rsidRPr="007F229B">
        <w:t> </w:t>
      </w:r>
      <w:bookmarkEnd w:id="11"/>
      <w:r w:rsidRPr="007F229B">
        <w:t>million for the 2023</w:t>
      </w:r>
      <w:r w:rsidR="00B152FF">
        <w:t>–</w:t>
      </w:r>
      <w:r w:rsidRPr="007F229B">
        <w:t xml:space="preserve">24 financial year. The department’s actual spend was $97.0 million with </w:t>
      </w:r>
      <w:r w:rsidR="00F0184D">
        <w:t>revenue from p</w:t>
      </w:r>
      <w:r w:rsidRPr="007F229B">
        <w:t>articipants $79.0 million resulting in a deficit of $</w:t>
      </w:r>
      <w:r w:rsidR="00425C16">
        <w:t>18.2</w:t>
      </w:r>
      <w:r w:rsidRPr="007F229B">
        <w:t> million (</w:t>
      </w:r>
      <w:r w:rsidR="00897BAB" w:rsidRPr="007F229B">
        <w:fldChar w:fldCharType="begin"/>
      </w:r>
      <w:r w:rsidR="00897BAB" w:rsidRPr="007F229B">
        <w:instrText xml:space="preserve"> REF _Ref178847319 \h  \* MERGEFORMAT </w:instrText>
      </w:r>
      <w:r w:rsidR="00897BAB" w:rsidRPr="007F229B">
        <w:fldChar w:fldCharType="separate"/>
      </w:r>
      <w:r w:rsidR="00351083" w:rsidRPr="009A501D">
        <w:t xml:space="preserve">Table </w:t>
      </w:r>
      <w:r w:rsidR="00351083">
        <w:t>1</w:t>
      </w:r>
      <w:r w:rsidR="00897BAB" w:rsidRPr="007F229B">
        <w:fldChar w:fldCharType="end"/>
      </w:r>
      <w:r w:rsidRPr="007F229B">
        <w:t xml:space="preserve">). This was supplemented with $18.2 million in appropriation as part of the </w:t>
      </w:r>
      <w:hyperlink r:id="rId23" w:history="1">
        <w:r w:rsidR="00962E4F">
          <w:rPr>
            <w:rStyle w:val="Hyperlink"/>
          </w:rPr>
          <w:t>Securing the future of agricultural trade budget measure (PDF 307KB)</w:t>
        </w:r>
      </w:hyperlink>
      <w:r w:rsidRPr="007F229B">
        <w:t>.</w:t>
      </w:r>
    </w:p>
    <w:p w14:paraId="0D83ADFD" w14:textId="28EC2145" w:rsidR="00764D6A" w:rsidRDefault="00E91D72" w:rsidP="00210FCC">
      <w:pPr>
        <w:pStyle w:val="Caption"/>
      </w:pPr>
      <w:bookmarkStart w:id="12" w:name="_Ref178847319"/>
      <w:bookmarkStart w:id="13" w:name="_Toc178849863"/>
      <w:bookmarkStart w:id="14" w:name="_Toc181704918"/>
      <w:r w:rsidRPr="009A501D">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351083">
        <w:rPr>
          <w:noProof/>
        </w:rPr>
        <w:t>1</w:t>
      </w:r>
      <w:r w:rsidRPr="009A501D">
        <w:rPr>
          <w:noProof/>
        </w:rPr>
        <w:fldChar w:fldCharType="end"/>
      </w:r>
      <w:bookmarkEnd w:id="7"/>
      <w:bookmarkEnd w:id="10"/>
      <w:bookmarkEnd w:id="12"/>
      <w:r w:rsidRPr="009A501D">
        <w:t xml:space="preserve"> </w:t>
      </w:r>
      <w:bookmarkEnd w:id="8"/>
      <w:r w:rsidR="00385F67" w:rsidRPr="00385F67">
        <w:t xml:space="preserve">Summary of the financial position of the </w:t>
      </w:r>
      <w:r w:rsidR="00056CBE">
        <w:t>meat</w:t>
      </w:r>
      <w:r w:rsidR="00385F67" w:rsidRPr="00385F67">
        <w:t xml:space="preserve"> export arrangement for 2023</w:t>
      </w:r>
      <w:r w:rsidR="003B2E54">
        <w:t>—</w:t>
      </w:r>
      <w:r w:rsidR="00385F67" w:rsidRPr="00385F67">
        <w:t>24</w:t>
      </w:r>
      <w:bookmarkEnd w:id="13"/>
      <w:bookmarkEnd w:id="14"/>
    </w:p>
    <w:tbl>
      <w:tblPr>
        <w:tblW w:w="5000" w:type="pct"/>
        <w:tblLook w:val="04A0" w:firstRow="1" w:lastRow="0" w:firstColumn="1" w:lastColumn="0" w:noHBand="0" w:noVBand="1"/>
      </w:tblPr>
      <w:tblGrid>
        <w:gridCol w:w="1940"/>
        <w:gridCol w:w="1479"/>
        <w:gridCol w:w="1478"/>
        <w:gridCol w:w="1362"/>
        <w:gridCol w:w="1333"/>
        <w:gridCol w:w="1478"/>
      </w:tblGrid>
      <w:tr w:rsidR="00056CBE" w:rsidRPr="00AB6398" w14:paraId="510EBA32" w14:textId="77777777" w:rsidTr="00B152FF">
        <w:trPr>
          <w:cantSplit/>
          <w:tblHeader/>
        </w:trPr>
        <w:tc>
          <w:tcPr>
            <w:tcW w:w="1069" w:type="pct"/>
            <w:tcBorders>
              <w:top w:val="single" w:sz="8" w:space="0" w:color="auto"/>
              <w:left w:val="nil"/>
              <w:bottom w:val="nil"/>
              <w:right w:val="nil"/>
            </w:tcBorders>
            <w:shd w:val="clear" w:color="auto" w:fill="auto"/>
            <w:hideMark/>
          </w:tcPr>
          <w:p w14:paraId="068064DE" w14:textId="77777777" w:rsidR="00056CBE" w:rsidRPr="00AB6398" w:rsidRDefault="00056CBE" w:rsidP="00B152FF">
            <w:pPr>
              <w:pStyle w:val="TableHeading"/>
              <w:rPr>
                <w:lang w:eastAsia="en-AU"/>
              </w:rPr>
            </w:pPr>
            <w:bookmarkStart w:id="15" w:name="Title_1"/>
            <w:bookmarkEnd w:id="15"/>
            <w:r w:rsidRPr="00AB6398">
              <w:rPr>
                <w:lang w:eastAsia="en-AU"/>
              </w:rPr>
              <w:t>Category</w:t>
            </w:r>
          </w:p>
        </w:tc>
        <w:tc>
          <w:tcPr>
            <w:tcW w:w="815" w:type="pct"/>
            <w:tcBorders>
              <w:top w:val="single" w:sz="8" w:space="0" w:color="auto"/>
              <w:left w:val="nil"/>
              <w:bottom w:val="nil"/>
              <w:right w:val="nil"/>
            </w:tcBorders>
            <w:shd w:val="clear" w:color="auto" w:fill="auto"/>
            <w:hideMark/>
          </w:tcPr>
          <w:p w14:paraId="06AA4E13" w14:textId="77777777" w:rsidR="00056CBE" w:rsidRPr="00AB6398" w:rsidRDefault="00056CBE" w:rsidP="00B152FF">
            <w:pPr>
              <w:pStyle w:val="TableHeading"/>
              <w:jc w:val="right"/>
              <w:rPr>
                <w:lang w:eastAsia="en-AU"/>
              </w:rPr>
            </w:pPr>
            <w:r w:rsidRPr="00AB6398">
              <w:rPr>
                <w:lang w:eastAsia="en-AU"/>
              </w:rPr>
              <w:t>Actual ($)</w:t>
            </w:r>
          </w:p>
        </w:tc>
        <w:tc>
          <w:tcPr>
            <w:tcW w:w="815" w:type="pct"/>
            <w:tcBorders>
              <w:top w:val="single" w:sz="8" w:space="0" w:color="auto"/>
              <w:left w:val="nil"/>
              <w:bottom w:val="nil"/>
              <w:right w:val="nil"/>
            </w:tcBorders>
            <w:shd w:val="clear" w:color="auto" w:fill="auto"/>
            <w:hideMark/>
          </w:tcPr>
          <w:p w14:paraId="4E81F5EF" w14:textId="77777777" w:rsidR="00056CBE" w:rsidRPr="00AB6398" w:rsidRDefault="00056CBE" w:rsidP="00B152FF">
            <w:pPr>
              <w:pStyle w:val="TableHeading"/>
              <w:jc w:val="right"/>
              <w:rPr>
                <w:color w:val="000000"/>
                <w:lang w:eastAsia="en-AU"/>
              </w:rPr>
            </w:pPr>
            <w:r w:rsidRPr="00AB6398">
              <w:rPr>
                <w:color w:val="000000"/>
                <w:lang w:eastAsia="en-AU"/>
              </w:rPr>
              <w:t>Budget ($)</w:t>
            </w:r>
          </w:p>
        </w:tc>
        <w:tc>
          <w:tcPr>
            <w:tcW w:w="751" w:type="pct"/>
            <w:tcBorders>
              <w:top w:val="single" w:sz="8" w:space="0" w:color="auto"/>
              <w:left w:val="nil"/>
              <w:bottom w:val="nil"/>
              <w:right w:val="nil"/>
            </w:tcBorders>
            <w:shd w:val="clear" w:color="auto" w:fill="auto"/>
            <w:hideMark/>
          </w:tcPr>
          <w:p w14:paraId="6AC4B327" w14:textId="77777777" w:rsidR="00056CBE" w:rsidRPr="00AB6398" w:rsidRDefault="00056CBE" w:rsidP="00B152FF">
            <w:pPr>
              <w:pStyle w:val="TableHeading"/>
              <w:jc w:val="right"/>
              <w:rPr>
                <w:color w:val="000000"/>
                <w:lang w:eastAsia="en-AU"/>
              </w:rPr>
            </w:pPr>
            <w:r w:rsidRPr="00AB6398">
              <w:rPr>
                <w:color w:val="000000"/>
                <w:lang w:eastAsia="en-AU"/>
              </w:rPr>
              <w:t>Variance ($)</w:t>
            </w:r>
          </w:p>
        </w:tc>
        <w:tc>
          <w:tcPr>
            <w:tcW w:w="735" w:type="pct"/>
            <w:tcBorders>
              <w:top w:val="single" w:sz="8" w:space="0" w:color="auto"/>
              <w:left w:val="nil"/>
              <w:bottom w:val="nil"/>
              <w:right w:val="nil"/>
            </w:tcBorders>
            <w:shd w:val="clear" w:color="auto" w:fill="auto"/>
            <w:hideMark/>
          </w:tcPr>
          <w:p w14:paraId="1719DD80" w14:textId="77777777" w:rsidR="00056CBE" w:rsidRPr="00AB6398" w:rsidRDefault="00056CBE" w:rsidP="00B152FF">
            <w:pPr>
              <w:pStyle w:val="TableHeading"/>
              <w:jc w:val="right"/>
              <w:rPr>
                <w:lang w:eastAsia="en-AU"/>
              </w:rPr>
            </w:pPr>
            <w:r w:rsidRPr="00AB6398">
              <w:rPr>
                <w:lang w:eastAsia="en-AU"/>
              </w:rPr>
              <w:t>CRIS ($)</w:t>
            </w:r>
          </w:p>
        </w:tc>
        <w:tc>
          <w:tcPr>
            <w:tcW w:w="815" w:type="pct"/>
            <w:tcBorders>
              <w:top w:val="single" w:sz="8" w:space="0" w:color="auto"/>
              <w:left w:val="nil"/>
              <w:bottom w:val="nil"/>
              <w:right w:val="nil"/>
            </w:tcBorders>
            <w:shd w:val="clear" w:color="auto" w:fill="auto"/>
            <w:hideMark/>
          </w:tcPr>
          <w:p w14:paraId="5653346A" w14:textId="77777777" w:rsidR="00056CBE" w:rsidRPr="00AB6398" w:rsidRDefault="00056CBE" w:rsidP="00B152FF">
            <w:pPr>
              <w:pStyle w:val="TableHeading"/>
              <w:jc w:val="right"/>
              <w:rPr>
                <w:lang w:eastAsia="en-AU"/>
              </w:rPr>
            </w:pPr>
            <w:r w:rsidRPr="00AB6398">
              <w:rPr>
                <w:lang w:eastAsia="en-AU"/>
              </w:rPr>
              <w:t>Variance ($)</w:t>
            </w:r>
          </w:p>
        </w:tc>
      </w:tr>
      <w:tr w:rsidR="00056CBE" w:rsidRPr="00AB6398" w14:paraId="193ED62E" w14:textId="77777777" w:rsidTr="00B152FF">
        <w:tc>
          <w:tcPr>
            <w:tcW w:w="1069" w:type="pct"/>
            <w:tcBorders>
              <w:top w:val="single" w:sz="4" w:space="0" w:color="auto"/>
              <w:left w:val="nil"/>
              <w:bottom w:val="single" w:sz="4" w:space="0" w:color="auto"/>
              <w:right w:val="nil"/>
            </w:tcBorders>
            <w:shd w:val="clear" w:color="auto" w:fill="auto"/>
            <w:hideMark/>
          </w:tcPr>
          <w:p w14:paraId="3D09FB63" w14:textId="77777777" w:rsidR="00056CBE" w:rsidRPr="00AB6398" w:rsidRDefault="00056CBE" w:rsidP="00B152FF">
            <w:pPr>
              <w:pStyle w:val="TableText"/>
              <w:rPr>
                <w:lang w:eastAsia="en-AU"/>
              </w:rPr>
            </w:pPr>
            <w:r w:rsidRPr="00AB6398">
              <w:rPr>
                <w:lang w:eastAsia="en-AU"/>
              </w:rPr>
              <w:t>Revenue</w:t>
            </w:r>
          </w:p>
        </w:tc>
        <w:tc>
          <w:tcPr>
            <w:tcW w:w="815" w:type="pct"/>
            <w:tcBorders>
              <w:top w:val="single" w:sz="4" w:space="0" w:color="auto"/>
              <w:left w:val="nil"/>
              <w:bottom w:val="single" w:sz="4" w:space="0" w:color="auto"/>
              <w:right w:val="nil"/>
            </w:tcBorders>
            <w:shd w:val="clear" w:color="auto" w:fill="auto"/>
            <w:hideMark/>
          </w:tcPr>
          <w:p w14:paraId="42FDDC08" w14:textId="77777777" w:rsidR="00056CBE" w:rsidRPr="00AB6398" w:rsidRDefault="00056CBE" w:rsidP="00B152FF">
            <w:pPr>
              <w:pStyle w:val="TableText"/>
              <w:jc w:val="right"/>
              <w:rPr>
                <w:lang w:eastAsia="en-AU"/>
              </w:rPr>
            </w:pPr>
            <w:r w:rsidRPr="00AB6398">
              <w:rPr>
                <w:lang w:eastAsia="en-AU"/>
              </w:rPr>
              <w:t>79,040,670</w:t>
            </w:r>
          </w:p>
        </w:tc>
        <w:tc>
          <w:tcPr>
            <w:tcW w:w="815" w:type="pct"/>
            <w:tcBorders>
              <w:top w:val="single" w:sz="4" w:space="0" w:color="auto"/>
              <w:left w:val="nil"/>
              <w:bottom w:val="single" w:sz="4" w:space="0" w:color="auto"/>
              <w:right w:val="nil"/>
            </w:tcBorders>
            <w:shd w:val="clear" w:color="auto" w:fill="auto"/>
            <w:hideMark/>
          </w:tcPr>
          <w:p w14:paraId="1FEEFB4C" w14:textId="77777777" w:rsidR="00056CBE" w:rsidRPr="00AB6398" w:rsidRDefault="00056CBE" w:rsidP="00B152FF">
            <w:pPr>
              <w:pStyle w:val="TableText"/>
              <w:jc w:val="right"/>
              <w:rPr>
                <w:color w:val="000000"/>
                <w:lang w:eastAsia="en-AU"/>
              </w:rPr>
            </w:pPr>
            <w:r w:rsidRPr="00AB6398">
              <w:rPr>
                <w:color w:val="000000"/>
                <w:lang w:eastAsia="en-AU"/>
              </w:rPr>
              <w:t>83,868,016</w:t>
            </w:r>
          </w:p>
        </w:tc>
        <w:tc>
          <w:tcPr>
            <w:tcW w:w="751" w:type="pct"/>
            <w:tcBorders>
              <w:top w:val="single" w:sz="4" w:space="0" w:color="auto"/>
              <w:left w:val="nil"/>
              <w:bottom w:val="single" w:sz="4" w:space="0" w:color="auto"/>
              <w:right w:val="nil"/>
            </w:tcBorders>
            <w:shd w:val="clear" w:color="auto" w:fill="auto"/>
            <w:hideMark/>
          </w:tcPr>
          <w:p w14:paraId="2E2B44AA" w14:textId="77777777" w:rsidR="00056CBE" w:rsidRPr="00AB6398" w:rsidRDefault="00056CBE" w:rsidP="00B152FF">
            <w:pPr>
              <w:pStyle w:val="TableText"/>
              <w:jc w:val="right"/>
              <w:rPr>
                <w:color w:val="000000"/>
                <w:lang w:eastAsia="en-AU"/>
              </w:rPr>
            </w:pPr>
            <w:r w:rsidRPr="00AB6398">
              <w:rPr>
                <w:color w:val="000000"/>
                <w:lang w:eastAsia="en-AU"/>
              </w:rPr>
              <w:t>(4,827,346)</w:t>
            </w:r>
          </w:p>
        </w:tc>
        <w:tc>
          <w:tcPr>
            <w:tcW w:w="735" w:type="pct"/>
            <w:tcBorders>
              <w:top w:val="single" w:sz="4" w:space="0" w:color="auto"/>
              <w:left w:val="nil"/>
              <w:bottom w:val="single" w:sz="4" w:space="0" w:color="auto"/>
              <w:right w:val="nil"/>
            </w:tcBorders>
            <w:shd w:val="clear" w:color="auto" w:fill="auto"/>
            <w:hideMark/>
          </w:tcPr>
          <w:p w14:paraId="4CF5EE1F" w14:textId="77777777" w:rsidR="00056CBE" w:rsidRPr="00AB6398" w:rsidRDefault="00056CBE" w:rsidP="00B152FF">
            <w:pPr>
              <w:pStyle w:val="TableText"/>
              <w:jc w:val="right"/>
              <w:rPr>
                <w:lang w:eastAsia="en-AU"/>
              </w:rPr>
            </w:pPr>
            <w:r w:rsidRPr="00AB6398">
              <w:rPr>
                <w:lang w:eastAsia="en-AU"/>
              </w:rPr>
              <w:t>78,129,877</w:t>
            </w:r>
          </w:p>
        </w:tc>
        <w:tc>
          <w:tcPr>
            <w:tcW w:w="815" w:type="pct"/>
            <w:tcBorders>
              <w:top w:val="single" w:sz="4" w:space="0" w:color="auto"/>
              <w:left w:val="nil"/>
              <w:bottom w:val="single" w:sz="4" w:space="0" w:color="auto"/>
              <w:right w:val="nil"/>
            </w:tcBorders>
            <w:shd w:val="clear" w:color="auto" w:fill="auto"/>
            <w:hideMark/>
          </w:tcPr>
          <w:p w14:paraId="11BCF63A" w14:textId="77777777" w:rsidR="00056CBE" w:rsidRPr="00AB6398" w:rsidRDefault="00056CBE" w:rsidP="00B152FF">
            <w:pPr>
              <w:pStyle w:val="TableText"/>
              <w:jc w:val="right"/>
              <w:rPr>
                <w:lang w:eastAsia="en-AU"/>
              </w:rPr>
            </w:pPr>
            <w:r w:rsidRPr="00AB6398">
              <w:rPr>
                <w:lang w:eastAsia="en-AU"/>
              </w:rPr>
              <w:t>910,793</w:t>
            </w:r>
          </w:p>
        </w:tc>
      </w:tr>
      <w:tr w:rsidR="00056CBE" w:rsidRPr="00AB6398" w14:paraId="4E2A50BE" w14:textId="77777777" w:rsidTr="00B152FF">
        <w:tc>
          <w:tcPr>
            <w:tcW w:w="1069" w:type="pct"/>
            <w:tcBorders>
              <w:top w:val="nil"/>
              <w:left w:val="nil"/>
              <w:bottom w:val="single" w:sz="4" w:space="0" w:color="auto"/>
              <w:right w:val="nil"/>
            </w:tcBorders>
            <w:shd w:val="clear" w:color="auto" w:fill="auto"/>
            <w:hideMark/>
          </w:tcPr>
          <w:p w14:paraId="1AAB64A7" w14:textId="77777777" w:rsidR="00056CBE" w:rsidRPr="00AB6398" w:rsidRDefault="00056CBE" w:rsidP="00B152FF">
            <w:pPr>
              <w:pStyle w:val="TableText"/>
              <w:rPr>
                <w:lang w:eastAsia="en-AU"/>
              </w:rPr>
            </w:pPr>
            <w:r w:rsidRPr="00AB6398">
              <w:rPr>
                <w:lang w:eastAsia="en-AU"/>
              </w:rPr>
              <w:t>Expenses</w:t>
            </w:r>
          </w:p>
        </w:tc>
        <w:tc>
          <w:tcPr>
            <w:tcW w:w="815" w:type="pct"/>
            <w:tcBorders>
              <w:top w:val="nil"/>
              <w:left w:val="nil"/>
              <w:bottom w:val="single" w:sz="4" w:space="0" w:color="auto"/>
              <w:right w:val="nil"/>
            </w:tcBorders>
            <w:shd w:val="clear" w:color="auto" w:fill="auto"/>
            <w:hideMark/>
          </w:tcPr>
          <w:p w14:paraId="3C410826" w14:textId="77777777" w:rsidR="00056CBE" w:rsidRPr="00AB6398" w:rsidRDefault="00056CBE" w:rsidP="00B152FF">
            <w:pPr>
              <w:pStyle w:val="TableText"/>
              <w:jc w:val="right"/>
              <w:rPr>
                <w:lang w:eastAsia="en-AU"/>
              </w:rPr>
            </w:pPr>
            <w:r w:rsidRPr="00AB6398">
              <w:rPr>
                <w:lang w:eastAsia="en-AU"/>
              </w:rPr>
              <w:t>97,290,574</w:t>
            </w:r>
          </w:p>
        </w:tc>
        <w:tc>
          <w:tcPr>
            <w:tcW w:w="815" w:type="pct"/>
            <w:tcBorders>
              <w:top w:val="nil"/>
              <w:left w:val="nil"/>
              <w:bottom w:val="single" w:sz="4" w:space="0" w:color="auto"/>
              <w:right w:val="nil"/>
            </w:tcBorders>
            <w:shd w:val="clear" w:color="auto" w:fill="auto"/>
            <w:hideMark/>
          </w:tcPr>
          <w:p w14:paraId="25E27D76" w14:textId="77777777" w:rsidR="00056CBE" w:rsidRPr="00AB6398" w:rsidRDefault="00056CBE" w:rsidP="00B152FF">
            <w:pPr>
              <w:pStyle w:val="TableText"/>
              <w:jc w:val="right"/>
              <w:rPr>
                <w:color w:val="000000"/>
                <w:lang w:eastAsia="en-AU"/>
              </w:rPr>
            </w:pPr>
            <w:r w:rsidRPr="00AB6398">
              <w:rPr>
                <w:color w:val="000000"/>
                <w:lang w:eastAsia="en-AU"/>
              </w:rPr>
              <w:t>96,832,974</w:t>
            </w:r>
          </w:p>
        </w:tc>
        <w:tc>
          <w:tcPr>
            <w:tcW w:w="751" w:type="pct"/>
            <w:tcBorders>
              <w:top w:val="nil"/>
              <w:left w:val="nil"/>
              <w:bottom w:val="single" w:sz="4" w:space="0" w:color="auto"/>
              <w:right w:val="nil"/>
            </w:tcBorders>
            <w:shd w:val="clear" w:color="auto" w:fill="auto"/>
            <w:hideMark/>
          </w:tcPr>
          <w:p w14:paraId="7CF3E1AB" w14:textId="77777777" w:rsidR="00056CBE" w:rsidRPr="00AB6398" w:rsidRDefault="00056CBE" w:rsidP="00B152FF">
            <w:pPr>
              <w:pStyle w:val="TableText"/>
              <w:jc w:val="right"/>
              <w:rPr>
                <w:color w:val="000000"/>
                <w:lang w:eastAsia="en-AU"/>
              </w:rPr>
            </w:pPr>
            <w:r w:rsidRPr="00AB6398">
              <w:rPr>
                <w:color w:val="000000"/>
                <w:lang w:eastAsia="en-AU"/>
              </w:rPr>
              <w:t>457,600</w:t>
            </w:r>
          </w:p>
        </w:tc>
        <w:tc>
          <w:tcPr>
            <w:tcW w:w="735" w:type="pct"/>
            <w:tcBorders>
              <w:top w:val="nil"/>
              <w:left w:val="nil"/>
              <w:bottom w:val="single" w:sz="4" w:space="0" w:color="auto"/>
              <w:right w:val="nil"/>
            </w:tcBorders>
            <w:shd w:val="clear" w:color="auto" w:fill="auto"/>
            <w:hideMark/>
          </w:tcPr>
          <w:p w14:paraId="33255A1A" w14:textId="77777777" w:rsidR="00056CBE" w:rsidRPr="00AB6398" w:rsidRDefault="00056CBE" w:rsidP="00B152FF">
            <w:pPr>
              <w:pStyle w:val="TableText"/>
              <w:jc w:val="right"/>
              <w:rPr>
                <w:lang w:eastAsia="en-AU"/>
              </w:rPr>
            </w:pPr>
            <w:r w:rsidRPr="00AB6398">
              <w:rPr>
                <w:lang w:eastAsia="en-AU"/>
              </w:rPr>
              <w:t>77,816,547</w:t>
            </w:r>
          </w:p>
        </w:tc>
        <w:tc>
          <w:tcPr>
            <w:tcW w:w="815" w:type="pct"/>
            <w:tcBorders>
              <w:top w:val="nil"/>
              <w:left w:val="nil"/>
              <w:bottom w:val="single" w:sz="4" w:space="0" w:color="auto"/>
              <w:right w:val="nil"/>
            </w:tcBorders>
            <w:shd w:val="clear" w:color="auto" w:fill="auto"/>
            <w:hideMark/>
          </w:tcPr>
          <w:p w14:paraId="3AFE7063" w14:textId="77777777" w:rsidR="00056CBE" w:rsidRPr="00AB6398" w:rsidRDefault="00056CBE" w:rsidP="00B152FF">
            <w:pPr>
              <w:pStyle w:val="TableText"/>
              <w:jc w:val="right"/>
              <w:rPr>
                <w:lang w:eastAsia="en-AU"/>
              </w:rPr>
            </w:pPr>
            <w:r w:rsidRPr="00AB6398">
              <w:rPr>
                <w:lang w:eastAsia="en-AU"/>
              </w:rPr>
              <w:t>19,474,027</w:t>
            </w:r>
          </w:p>
        </w:tc>
      </w:tr>
      <w:tr w:rsidR="00056CBE" w:rsidRPr="00AB6398" w14:paraId="293B897D" w14:textId="77777777" w:rsidTr="00B152FF">
        <w:tc>
          <w:tcPr>
            <w:tcW w:w="1069" w:type="pct"/>
            <w:tcBorders>
              <w:top w:val="nil"/>
              <w:left w:val="nil"/>
              <w:bottom w:val="single" w:sz="4" w:space="0" w:color="auto"/>
              <w:right w:val="nil"/>
            </w:tcBorders>
            <w:shd w:val="clear" w:color="auto" w:fill="auto"/>
            <w:hideMark/>
          </w:tcPr>
          <w:p w14:paraId="48686D81" w14:textId="07FD3D68" w:rsidR="00056CBE" w:rsidRPr="00AB6398" w:rsidRDefault="00056CBE" w:rsidP="00B152FF">
            <w:pPr>
              <w:pStyle w:val="TableText"/>
              <w:rPr>
                <w:rStyle w:val="Strong"/>
              </w:rPr>
            </w:pPr>
            <w:r w:rsidRPr="00B5266D">
              <w:rPr>
                <w:rStyle w:val="Strong"/>
              </w:rPr>
              <w:t xml:space="preserve">Net </w:t>
            </w:r>
            <w:r w:rsidR="00B152FF" w:rsidRPr="00B5266D">
              <w:rPr>
                <w:rStyle w:val="Strong"/>
              </w:rPr>
              <w:t>s</w:t>
            </w:r>
            <w:r w:rsidRPr="00B5266D">
              <w:rPr>
                <w:rStyle w:val="Strong"/>
              </w:rPr>
              <w:t>urplus/(</w:t>
            </w:r>
            <w:r w:rsidR="00B152FF" w:rsidRPr="00B5266D">
              <w:rPr>
                <w:rStyle w:val="Strong"/>
              </w:rPr>
              <w:t>d</w:t>
            </w:r>
            <w:r w:rsidRPr="00B5266D">
              <w:rPr>
                <w:rStyle w:val="Strong"/>
              </w:rPr>
              <w:t>eficit)</w:t>
            </w:r>
          </w:p>
        </w:tc>
        <w:tc>
          <w:tcPr>
            <w:tcW w:w="815" w:type="pct"/>
            <w:tcBorders>
              <w:top w:val="nil"/>
              <w:left w:val="nil"/>
              <w:bottom w:val="single" w:sz="4" w:space="0" w:color="auto"/>
              <w:right w:val="nil"/>
            </w:tcBorders>
            <w:shd w:val="clear" w:color="auto" w:fill="auto"/>
            <w:hideMark/>
          </w:tcPr>
          <w:p w14:paraId="693DB797" w14:textId="77777777" w:rsidR="00056CBE" w:rsidRPr="00AB6398" w:rsidRDefault="00056CBE" w:rsidP="00B152FF">
            <w:pPr>
              <w:pStyle w:val="TableText"/>
              <w:jc w:val="right"/>
              <w:rPr>
                <w:rStyle w:val="Strong"/>
              </w:rPr>
            </w:pPr>
            <w:r w:rsidRPr="00AB6398">
              <w:rPr>
                <w:rStyle w:val="Strong"/>
              </w:rPr>
              <w:t>(18,249,904)</w:t>
            </w:r>
          </w:p>
        </w:tc>
        <w:tc>
          <w:tcPr>
            <w:tcW w:w="815" w:type="pct"/>
            <w:tcBorders>
              <w:top w:val="nil"/>
              <w:left w:val="nil"/>
              <w:bottom w:val="single" w:sz="4" w:space="0" w:color="auto"/>
              <w:right w:val="nil"/>
            </w:tcBorders>
            <w:shd w:val="clear" w:color="auto" w:fill="auto"/>
            <w:hideMark/>
          </w:tcPr>
          <w:p w14:paraId="7FB911DD" w14:textId="77777777" w:rsidR="00056CBE" w:rsidRPr="00AB6398" w:rsidRDefault="00056CBE" w:rsidP="00B152FF">
            <w:pPr>
              <w:pStyle w:val="TableText"/>
              <w:jc w:val="right"/>
              <w:rPr>
                <w:rStyle w:val="Strong"/>
              </w:rPr>
            </w:pPr>
            <w:r w:rsidRPr="00AB6398">
              <w:rPr>
                <w:rStyle w:val="Strong"/>
              </w:rPr>
              <w:t>(12,964,958)</w:t>
            </w:r>
          </w:p>
        </w:tc>
        <w:tc>
          <w:tcPr>
            <w:tcW w:w="751" w:type="pct"/>
            <w:tcBorders>
              <w:top w:val="nil"/>
              <w:left w:val="nil"/>
              <w:bottom w:val="single" w:sz="4" w:space="0" w:color="auto"/>
              <w:right w:val="nil"/>
            </w:tcBorders>
            <w:shd w:val="clear" w:color="auto" w:fill="auto"/>
            <w:hideMark/>
          </w:tcPr>
          <w:p w14:paraId="79EF4EB5" w14:textId="77777777" w:rsidR="00056CBE" w:rsidRPr="00AB6398" w:rsidRDefault="00056CBE" w:rsidP="00B152FF">
            <w:pPr>
              <w:pStyle w:val="TableText"/>
              <w:jc w:val="right"/>
              <w:rPr>
                <w:rStyle w:val="Strong"/>
              </w:rPr>
            </w:pPr>
            <w:r w:rsidRPr="00AB6398">
              <w:rPr>
                <w:rStyle w:val="Strong"/>
              </w:rPr>
              <w:t>(5,284,946)</w:t>
            </w:r>
          </w:p>
        </w:tc>
        <w:tc>
          <w:tcPr>
            <w:tcW w:w="735" w:type="pct"/>
            <w:tcBorders>
              <w:top w:val="nil"/>
              <w:left w:val="nil"/>
              <w:bottom w:val="single" w:sz="4" w:space="0" w:color="auto"/>
              <w:right w:val="nil"/>
            </w:tcBorders>
            <w:shd w:val="clear" w:color="auto" w:fill="auto"/>
            <w:hideMark/>
          </w:tcPr>
          <w:p w14:paraId="6CAB66AB" w14:textId="77777777" w:rsidR="00056CBE" w:rsidRPr="00AB6398" w:rsidRDefault="00056CBE" w:rsidP="00B152FF">
            <w:pPr>
              <w:pStyle w:val="TableText"/>
              <w:jc w:val="right"/>
              <w:rPr>
                <w:rStyle w:val="Strong"/>
              </w:rPr>
            </w:pPr>
            <w:r w:rsidRPr="00AB6398">
              <w:rPr>
                <w:rStyle w:val="Strong"/>
              </w:rPr>
              <w:t>313,330</w:t>
            </w:r>
          </w:p>
        </w:tc>
        <w:tc>
          <w:tcPr>
            <w:tcW w:w="815" w:type="pct"/>
            <w:tcBorders>
              <w:top w:val="nil"/>
              <w:left w:val="nil"/>
              <w:bottom w:val="single" w:sz="4" w:space="0" w:color="auto"/>
              <w:right w:val="nil"/>
            </w:tcBorders>
            <w:shd w:val="clear" w:color="auto" w:fill="auto"/>
            <w:hideMark/>
          </w:tcPr>
          <w:p w14:paraId="068EA423" w14:textId="77777777" w:rsidR="00056CBE" w:rsidRPr="00AB6398" w:rsidRDefault="00056CBE" w:rsidP="00B152FF">
            <w:pPr>
              <w:pStyle w:val="TableText"/>
              <w:jc w:val="right"/>
              <w:rPr>
                <w:rStyle w:val="Strong"/>
              </w:rPr>
            </w:pPr>
            <w:r w:rsidRPr="00AB6398">
              <w:rPr>
                <w:rStyle w:val="Strong"/>
              </w:rPr>
              <w:t>(18,563,234)</w:t>
            </w:r>
          </w:p>
        </w:tc>
      </w:tr>
      <w:tr w:rsidR="00056CBE" w:rsidRPr="00AB6398" w14:paraId="790DDE68" w14:textId="77777777" w:rsidTr="00B152FF">
        <w:tc>
          <w:tcPr>
            <w:tcW w:w="1069" w:type="pct"/>
            <w:tcBorders>
              <w:top w:val="nil"/>
              <w:left w:val="nil"/>
              <w:bottom w:val="single" w:sz="4" w:space="0" w:color="auto"/>
              <w:right w:val="nil"/>
            </w:tcBorders>
            <w:shd w:val="clear" w:color="auto" w:fill="auto"/>
            <w:hideMark/>
          </w:tcPr>
          <w:p w14:paraId="6C1651C8" w14:textId="77777777" w:rsidR="00056CBE" w:rsidRPr="00AB6398" w:rsidRDefault="00056CBE" w:rsidP="00B152FF">
            <w:pPr>
              <w:pStyle w:val="TableText"/>
              <w:rPr>
                <w:lang w:eastAsia="en-AU"/>
              </w:rPr>
            </w:pPr>
            <w:r w:rsidRPr="00AB6398">
              <w:rPr>
                <w:lang w:eastAsia="en-AU"/>
              </w:rPr>
              <w:t>Appropriation</w:t>
            </w:r>
          </w:p>
        </w:tc>
        <w:tc>
          <w:tcPr>
            <w:tcW w:w="815" w:type="pct"/>
            <w:tcBorders>
              <w:top w:val="nil"/>
              <w:left w:val="nil"/>
              <w:bottom w:val="single" w:sz="4" w:space="0" w:color="auto"/>
              <w:right w:val="nil"/>
            </w:tcBorders>
            <w:shd w:val="clear" w:color="auto" w:fill="auto"/>
            <w:hideMark/>
          </w:tcPr>
          <w:p w14:paraId="2F4C4989" w14:textId="77777777" w:rsidR="00056CBE" w:rsidRPr="00AB6398" w:rsidRDefault="00056CBE" w:rsidP="00B152FF">
            <w:pPr>
              <w:pStyle w:val="TableText"/>
              <w:jc w:val="right"/>
              <w:rPr>
                <w:lang w:eastAsia="en-AU"/>
              </w:rPr>
            </w:pPr>
            <w:r w:rsidRPr="00AB6398">
              <w:rPr>
                <w:lang w:eastAsia="en-AU"/>
              </w:rPr>
              <w:t>18,249,904</w:t>
            </w:r>
          </w:p>
        </w:tc>
        <w:tc>
          <w:tcPr>
            <w:tcW w:w="815" w:type="pct"/>
            <w:tcBorders>
              <w:top w:val="nil"/>
              <w:left w:val="nil"/>
              <w:bottom w:val="single" w:sz="4" w:space="0" w:color="auto"/>
              <w:right w:val="nil"/>
            </w:tcBorders>
            <w:shd w:val="clear" w:color="auto" w:fill="auto"/>
            <w:hideMark/>
          </w:tcPr>
          <w:p w14:paraId="1CADEB8E" w14:textId="77777777" w:rsidR="00056CBE" w:rsidRPr="00AB6398" w:rsidRDefault="00056CBE" w:rsidP="00B152FF">
            <w:pPr>
              <w:pStyle w:val="TableText"/>
              <w:jc w:val="right"/>
              <w:rPr>
                <w:color w:val="000000"/>
                <w:lang w:eastAsia="en-AU"/>
              </w:rPr>
            </w:pPr>
            <w:r w:rsidRPr="00AB6398">
              <w:rPr>
                <w:color w:val="000000"/>
                <w:lang w:eastAsia="en-AU"/>
              </w:rPr>
              <w:t>12,964,958</w:t>
            </w:r>
          </w:p>
        </w:tc>
        <w:tc>
          <w:tcPr>
            <w:tcW w:w="751" w:type="pct"/>
            <w:tcBorders>
              <w:top w:val="nil"/>
              <w:left w:val="nil"/>
              <w:bottom w:val="single" w:sz="4" w:space="0" w:color="auto"/>
              <w:right w:val="nil"/>
            </w:tcBorders>
            <w:shd w:val="clear" w:color="auto" w:fill="auto"/>
            <w:hideMark/>
          </w:tcPr>
          <w:p w14:paraId="573277CF" w14:textId="77777777" w:rsidR="00056CBE" w:rsidRPr="00AB6398" w:rsidRDefault="00056CBE" w:rsidP="00B152FF">
            <w:pPr>
              <w:pStyle w:val="TableText"/>
              <w:jc w:val="right"/>
              <w:rPr>
                <w:color w:val="000000"/>
                <w:lang w:eastAsia="en-AU"/>
              </w:rPr>
            </w:pPr>
            <w:r w:rsidRPr="00AB6398">
              <w:rPr>
                <w:color w:val="000000"/>
                <w:lang w:eastAsia="en-AU"/>
              </w:rPr>
              <w:t>5,284,946</w:t>
            </w:r>
          </w:p>
        </w:tc>
        <w:tc>
          <w:tcPr>
            <w:tcW w:w="735" w:type="pct"/>
            <w:tcBorders>
              <w:top w:val="nil"/>
              <w:left w:val="nil"/>
              <w:bottom w:val="single" w:sz="4" w:space="0" w:color="auto"/>
              <w:right w:val="nil"/>
            </w:tcBorders>
            <w:shd w:val="clear" w:color="auto" w:fill="auto"/>
            <w:hideMark/>
          </w:tcPr>
          <w:p w14:paraId="462B1624" w14:textId="192971CF" w:rsidR="00056CBE" w:rsidRPr="00AB6398" w:rsidRDefault="00B152FF" w:rsidP="00B152FF">
            <w:pPr>
              <w:pStyle w:val="TableText"/>
              <w:jc w:val="right"/>
              <w:rPr>
                <w:lang w:eastAsia="en-AU"/>
              </w:rPr>
            </w:pPr>
            <w:r>
              <w:rPr>
                <w:lang w:eastAsia="en-AU"/>
              </w:rPr>
              <w:t>n/a</w:t>
            </w:r>
          </w:p>
        </w:tc>
        <w:tc>
          <w:tcPr>
            <w:tcW w:w="815" w:type="pct"/>
            <w:tcBorders>
              <w:top w:val="nil"/>
              <w:left w:val="nil"/>
              <w:bottom w:val="single" w:sz="4" w:space="0" w:color="auto"/>
              <w:right w:val="nil"/>
            </w:tcBorders>
            <w:shd w:val="clear" w:color="auto" w:fill="auto"/>
            <w:hideMark/>
          </w:tcPr>
          <w:p w14:paraId="7DFD4A07" w14:textId="65FFE06C" w:rsidR="00056CBE" w:rsidRPr="00AB6398" w:rsidRDefault="00B152FF" w:rsidP="00B152FF">
            <w:pPr>
              <w:pStyle w:val="TableText"/>
              <w:jc w:val="right"/>
              <w:rPr>
                <w:lang w:eastAsia="en-AU"/>
              </w:rPr>
            </w:pPr>
            <w:r>
              <w:rPr>
                <w:lang w:eastAsia="en-AU"/>
              </w:rPr>
              <w:t>n/a</w:t>
            </w:r>
          </w:p>
        </w:tc>
      </w:tr>
      <w:tr w:rsidR="00056CBE" w:rsidRPr="00AB6398" w14:paraId="51ACBFA9" w14:textId="77777777" w:rsidTr="00B152FF">
        <w:tc>
          <w:tcPr>
            <w:tcW w:w="1069" w:type="pct"/>
            <w:tcBorders>
              <w:top w:val="nil"/>
              <w:left w:val="nil"/>
              <w:bottom w:val="single" w:sz="4" w:space="0" w:color="auto"/>
              <w:right w:val="nil"/>
            </w:tcBorders>
            <w:shd w:val="clear" w:color="auto" w:fill="auto"/>
            <w:hideMark/>
          </w:tcPr>
          <w:p w14:paraId="241A4354" w14:textId="77777777" w:rsidR="00056CBE" w:rsidRPr="00AB6398" w:rsidRDefault="00056CBE" w:rsidP="00B152FF">
            <w:pPr>
              <w:pStyle w:val="TableText"/>
              <w:rPr>
                <w:rStyle w:val="Strong"/>
              </w:rPr>
            </w:pPr>
            <w:r w:rsidRPr="00AB6398">
              <w:rPr>
                <w:rStyle w:val="Strong"/>
              </w:rPr>
              <w:t>Accumulated result</w:t>
            </w:r>
          </w:p>
        </w:tc>
        <w:tc>
          <w:tcPr>
            <w:tcW w:w="815" w:type="pct"/>
            <w:tcBorders>
              <w:top w:val="nil"/>
              <w:left w:val="nil"/>
              <w:bottom w:val="single" w:sz="4" w:space="0" w:color="auto"/>
              <w:right w:val="nil"/>
            </w:tcBorders>
            <w:shd w:val="clear" w:color="auto" w:fill="auto"/>
            <w:hideMark/>
          </w:tcPr>
          <w:p w14:paraId="1E95B79F" w14:textId="77777777" w:rsidR="00056CBE" w:rsidRPr="00AB6398" w:rsidRDefault="00056CBE" w:rsidP="00B152FF">
            <w:pPr>
              <w:pStyle w:val="TableText"/>
              <w:jc w:val="right"/>
              <w:rPr>
                <w:rStyle w:val="Strong"/>
              </w:rPr>
            </w:pPr>
            <w:r w:rsidRPr="00AB6398">
              <w:rPr>
                <w:rStyle w:val="Strong"/>
              </w:rPr>
              <w:t>(6,402,731)</w:t>
            </w:r>
          </w:p>
        </w:tc>
        <w:tc>
          <w:tcPr>
            <w:tcW w:w="815" w:type="pct"/>
            <w:tcBorders>
              <w:top w:val="nil"/>
              <w:left w:val="nil"/>
              <w:bottom w:val="single" w:sz="4" w:space="0" w:color="auto"/>
              <w:right w:val="nil"/>
            </w:tcBorders>
            <w:shd w:val="clear" w:color="auto" w:fill="auto"/>
            <w:hideMark/>
          </w:tcPr>
          <w:p w14:paraId="70B21AE3" w14:textId="77777777" w:rsidR="00056CBE" w:rsidRPr="00AB6398" w:rsidRDefault="00056CBE" w:rsidP="00B152FF">
            <w:pPr>
              <w:pStyle w:val="TableText"/>
              <w:jc w:val="right"/>
              <w:rPr>
                <w:rStyle w:val="Strong"/>
              </w:rPr>
            </w:pPr>
            <w:r w:rsidRPr="00AB6398">
              <w:rPr>
                <w:rStyle w:val="Strong"/>
              </w:rPr>
              <w:t>(6,402,731)</w:t>
            </w:r>
          </w:p>
        </w:tc>
        <w:tc>
          <w:tcPr>
            <w:tcW w:w="751" w:type="pct"/>
            <w:tcBorders>
              <w:top w:val="nil"/>
              <w:left w:val="nil"/>
              <w:bottom w:val="single" w:sz="4" w:space="0" w:color="auto"/>
              <w:right w:val="nil"/>
            </w:tcBorders>
            <w:shd w:val="clear" w:color="auto" w:fill="auto"/>
            <w:hideMark/>
          </w:tcPr>
          <w:p w14:paraId="7BBE6548" w14:textId="65DC25AC" w:rsidR="00056CBE" w:rsidRPr="00AB6398" w:rsidRDefault="00056CBE" w:rsidP="00B152FF">
            <w:pPr>
              <w:pStyle w:val="TableText"/>
              <w:jc w:val="right"/>
              <w:rPr>
                <w:rStyle w:val="Strong"/>
              </w:rPr>
            </w:pPr>
            <w:r w:rsidRPr="00AB6398">
              <w:rPr>
                <w:rStyle w:val="Strong"/>
              </w:rPr>
              <w:t>0</w:t>
            </w:r>
          </w:p>
        </w:tc>
        <w:tc>
          <w:tcPr>
            <w:tcW w:w="735" w:type="pct"/>
            <w:tcBorders>
              <w:top w:val="nil"/>
              <w:left w:val="nil"/>
              <w:bottom w:val="single" w:sz="4" w:space="0" w:color="auto"/>
              <w:right w:val="nil"/>
            </w:tcBorders>
            <w:shd w:val="clear" w:color="auto" w:fill="auto"/>
            <w:hideMark/>
          </w:tcPr>
          <w:p w14:paraId="52406DDF" w14:textId="499E185E" w:rsidR="00056CBE" w:rsidRPr="00AB6398" w:rsidRDefault="00B152FF" w:rsidP="00B152FF">
            <w:pPr>
              <w:pStyle w:val="TableText"/>
              <w:jc w:val="right"/>
              <w:rPr>
                <w:rStyle w:val="Strong"/>
              </w:rPr>
            </w:pPr>
            <w:r>
              <w:rPr>
                <w:rStyle w:val="Strong"/>
              </w:rPr>
              <w:t>n/a</w:t>
            </w:r>
          </w:p>
        </w:tc>
        <w:tc>
          <w:tcPr>
            <w:tcW w:w="815" w:type="pct"/>
            <w:tcBorders>
              <w:top w:val="nil"/>
              <w:left w:val="nil"/>
              <w:bottom w:val="single" w:sz="4" w:space="0" w:color="auto"/>
              <w:right w:val="nil"/>
            </w:tcBorders>
            <w:shd w:val="clear" w:color="auto" w:fill="auto"/>
            <w:hideMark/>
          </w:tcPr>
          <w:p w14:paraId="0CC3E173" w14:textId="5119A2AB" w:rsidR="00056CBE" w:rsidRPr="00AB6398" w:rsidRDefault="00B152FF" w:rsidP="00B152FF">
            <w:pPr>
              <w:pStyle w:val="TableText"/>
              <w:jc w:val="right"/>
              <w:rPr>
                <w:rStyle w:val="Strong"/>
              </w:rPr>
            </w:pPr>
            <w:r>
              <w:rPr>
                <w:rStyle w:val="Strong"/>
              </w:rPr>
              <w:t>n/a</w:t>
            </w:r>
          </w:p>
        </w:tc>
      </w:tr>
    </w:tbl>
    <w:p w14:paraId="29BBDD7B" w14:textId="253ADD49" w:rsidR="00385F67" w:rsidRDefault="00385F67" w:rsidP="00385F67">
      <w:pPr>
        <w:pStyle w:val="FigureTableNoteSource"/>
      </w:pPr>
      <w:r w:rsidRPr="00385F67">
        <w:t>Note: Numbers in brackets are negative. Total revenue figures are inclusive of other revenue that is not recovered through regulatory fees and charges.</w:t>
      </w:r>
    </w:p>
    <w:p w14:paraId="6A75A8CF" w14:textId="3EE2BDF9" w:rsidR="00764D6A" w:rsidRPr="007E39EF" w:rsidRDefault="00385F67" w:rsidP="00E93778">
      <w:pPr>
        <w:pStyle w:val="Heading3"/>
        <w:numPr>
          <w:ilvl w:val="0"/>
          <w:numId w:val="0"/>
        </w:numPr>
        <w:ind w:left="964" w:hanging="964"/>
      </w:pPr>
      <w:bookmarkStart w:id="16" w:name="_Toc181704932"/>
      <w:r>
        <w:t xml:space="preserve">Securing the future of </w:t>
      </w:r>
      <w:r w:rsidR="00DE0442">
        <w:t>agricultural trade</w:t>
      </w:r>
      <w:bookmarkEnd w:id="16"/>
    </w:p>
    <w:p w14:paraId="04A222E4" w14:textId="33F89F1F" w:rsidR="00072351" w:rsidRPr="00510C42" w:rsidRDefault="00072351" w:rsidP="00510C42">
      <w:r w:rsidRPr="00510C42">
        <w:t xml:space="preserve">The government announced the </w:t>
      </w:r>
      <w:hyperlink r:id="rId24" w:history="1">
        <w:r w:rsidR="00962E4F">
          <w:rPr>
            <w:rStyle w:val="Hyperlink"/>
          </w:rPr>
          <w:t>Busting Congestion for Agricultural Exporters (PDF 211KB)</w:t>
        </w:r>
      </w:hyperlink>
      <w:r w:rsidRPr="00510C42">
        <w:t xml:space="preserve"> package as part of the 2020–21 Budget. The package froze export certification fees and charges in 2020–21 and increased prices in steps to reach full cost recovery in 2023–24. In recent years, the rate of change in Australia’s export trade landscape has accelerated. Our market access requirements are changing, and the global agricultural trade environment is becoming more complex. It has become clear that the modelling and assumptions used to form the prices now in legislation differs from reality.</w:t>
      </w:r>
    </w:p>
    <w:p w14:paraId="5B2126EB" w14:textId="218C162F" w:rsidR="00072351" w:rsidRPr="00510C42" w:rsidRDefault="00072351" w:rsidP="00510C42">
      <w:r w:rsidRPr="00301836">
        <w:t xml:space="preserve">In the Mid-Year Economic </w:t>
      </w:r>
      <w:r w:rsidR="000931FA" w:rsidRPr="00301836">
        <w:t xml:space="preserve">and </w:t>
      </w:r>
      <w:r w:rsidRPr="00301836">
        <w:t>Fiscal Outlook</w:t>
      </w:r>
      <w:r w:rsidR="00B5266D" w:rsidRPr="00301836">
        <w:t xml:space="preserve"> 2023–24</w:t>
      </w:r>
      <w:r w:rsidRPr="00301836">
        <w:t>, the</w:t>
      </w:r>
      <w:r w:rsidRPr="00510C42">
        <w:t xml:space="preserve"> Australian Government committed $91.8 million over 2 years through the </w:t>
      </w:r>
      <w:hyperlink r:id="rId25" w:history="1">
        <w:r w:rsidR="00962E4F">
          <w:rPr>
            <w:rStyle w:val="Hyperlink"/>
          </w:rPr>
          <w:t>Securing the future of agricultural trade (PDF 307KB)</w:t>
        </w:r>
      </w:hyperlink>
      <w:r w:rsidR="00046540" w:rsidRPr="00B45065">
        <w:t xml:space="preserve"> </w:t>
      </w:r>
      <w:r w:rsidRPr="00510C42">
        <w:t xml:space="preserve">measure to sustain delivery of key department export trade and regulatory functions. A further $3.7 million </w:t>
      </w:r>
      <w:r w:rsidR="00F0184D">
        <w:t>was</w:t>
      </w:r>
      <w:r w:rsidRPr="00510C42">
        <w:t xml:space="preserve"> provided over </w:t>
      </w:r>
      <w:r w:rsidR="000931FA">
        <w:t>3</w:t>
      </w:r>
      <w:r w:rsidRPr="00510C42">
        <w:t xml:space="preserve"> years to enable development of an ongoing sustainable funding model</w:t>
      </w:r>
      <w:r w:rsidR="00F0184D">
        <w:t>. This will assist</w:t>
      </w:r>
      <w:r w:rsidRPr="00510C42">
        <w:t xml:space="preserve"> the department</w:t>
      </w:r>
      <w:r w:rsidR="00F0184D">
        <w:t xml:space="preserve"> to</w:t>
      </w:r>
      <w:r w:rsidRPr="00510C42">
        <w:t xml:space="preserve"> remain appropriately resourced through both cost recovery </w:t>
      </w:r>
      <w:r w:rsidRPr="00B5266D">
        <w:t xml:space="preserve">and </w:t>
      </w:r>
      <w:r w:rsidRPr="00562729">
        <w:t>appropriation funding</w:t>
      </w:r>
      <w:r w:rsidRPr="00B5266D">
        <w:t xml:space="preserve"> to carry out its agricultural trade and export functions into the future. The Sustainable Trade Funding Taskforce was established in 2023 to progress the design and implementation</w:t>
      </w:r>
      <w:r w:rsidRPr="00510C42">
        <w:t xml:space="preserve"> of an ongoing sustainable funding model that supports the departments export regulatory and trade activities.</w:t>
      </w:r>
    </w:p>
    <w:p w14:paraId="21DEF803" w14:textId="1CFF2016" w:rsidR="00072351" w:rsidRPr="00510C42" w:rsidRDefault="00072351" w:rsidP="00510C42">
      <w:r w:rsidRPr="00510C42">
        <w:t xml:space="preserve">Sustainable funding will </w:t>
      </w:r>
      <w:r w:rsidR="00F0184D">
        <w:t>provide</w:t>
      </w:r>
      <w:r w:rsidRPr="00510C42">
        <w:t xml:space="preserve"> the availability of a consistent, sufficient funding source that appropriately underpins the delivery of trade and export services and associated enabling activities</w:t>
      </w:r>
      <w:r w:rsidR="003B2E54">
        <w:t>. This</w:t>
      </w:r>
      <w:r w:rsidRPr="00510C42">
        <w:t xml:space="preserve"> includ</w:t>
      </w:r>
      <w:r w:rsidR="003B2E54">
        <w:t>es</w:t>
      </w:r>
      <w:r w:rsidRPr="00510C42">
        <w:t xml:space="preserve"> strategic prioritisation, and importantly the execution of regulatory export functions and the associated supporting international market access and advocacy activities.</w:t>
      </w:r>
    </w:p>
    <w:p w14:paraId="1E0D9FDC" w14:textId="04CE5A97" w:rsidR="00764D6A" w:rsidRDefault="00DE0442" w:rsidP="00562729">
      <w:pPr>
        <w:pStyle w:val="Heading3"/>
        <w:pageBreakBefore/>
        <w:numPr>
          <w:ilvl w:val="0"/>
          <w:numId w:val="0"/>
        </w:numPr>
        <w:ind w:left="964" w:hanging="964"/>
      </w:pPr>
      <w:bookmarkStart w:id="17" w:name="_Toc181704933"/>
      <w:r>
        <w:lastRenderedPageBreak/>
        <w:t>CRIS cost modelling</w:t>
      </w:r>
      <w:bookmarkEnd w:id="17"/>
    </w:p>
    <w:p w14:paraId="1494B9CE" w14:textId="77777777" w:rsidR="00DE0442" w:rsidRPr="00DE0442" w:rsidRDefault="00DE0442" w:rsidP="00DE0442">
      <w:bookmarkStart w:id="18" w:name="_Toc430782154"/>
      <w:r w:rsidRPr="00DE0442">
        <w:t>Key objectives for the departments cost recovery arrangements are to:</w:t>
      </w:r>
    </w:p>
    <w:p w14:paraId="28A8E01D" w14:textId="52620AF6" w:rsidR="00DE0442" w:rsidRPr="00DE0442" w:rsidRDefault="00DE0442" w:rsidP="00DE0442">
      <w:pPr>
        <w:pStyle w:val="ListBullet"/>
      </w:pPr>
      <w:r w:rsidRPr="00DE0442">
        <w:t>safeguard Australia’s animal and plant health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p>
    <w:p w14:paraId="71AA8EED" w14:textId="19459FFE" w:rsidR="00DE0442" w:rsidRPr="00DE0442" w:rsidRDefault="00DE0442" w:rsidP="00DE0442">
      <w:pPr>
        <w:pStyle w:val="ListBullet"/>
      </w:pPr>
      <w:r w:rsidRPr="00DE0442">
        <w:t>support more sustainable, productive, internationally competitive and profitable Australian agricultural, food and fibre industries through policies and initiatives that promote better resource management practices, innovation, self-reliance and improved market access.</w:t>
      </w:r>
    </w:p>
    <w:p w14:paraId="373A047F" w14:textId="77777777" w:rsidR="00DE0442" w:rsidRPr="00DE0442" w:rsidRDefault="00DE0442" w:rsidP="00DE0442">
      <w:r w:rsidRPr="00DE0442">
        <w:t>We use resources such as people, IT, property and equipment to meet these key objectives and undertake the corresponding business processes (regulatory activities), which enable the us to provide outputs that meet the department’s policy objectives.</w:t>
      </w:r>
    </w:p>
    <w:p w14:paraId="47CB5347" w14:textId="4F29E084" w:rsidR="00DE0442" w:rsidRDefault="00DE0442" w:rsidP="00DE0442">
      <w:r w:rsidRPr="00DE0442">
        <w:t xml:space="preserve">The greater part of the department’s regulatory activity cost is employee related. The time and effort spent on regulatory activities, such as </w:t>
      </w:r>
      <w:r w:rsidR="00263B3F" w:rsidRPr="00DE0442">
        <w:t>permits,</w:t>
      </w:r>
      <w:r w:rsidRPr="00DE0442">
        <w:t xml:space="preserve"> and assessment-based output has been reflected in the fees and charges. This, along with external suppliers and operating support for our export IT systems make up other major direct costs.</w:t>
      </w:r>
    </w:p>
    <w:p w14:paraId="2E938F6D" w14:textId="77777777" w:rsidR="000441EC" w:rsidRPr="00B56872" w:rsidRDefault="000441EC" w:rsidP="000441EC">
      <w:r>
        <w:t xml:space="preserve">The </w:t>
      </w:r>
      <w:hyperlink r:id="rId26" w:history="1">
        <w:r w:rsidRPr="00095044">
          <w:rPr>
            <w:rStyle w:val="Hyperlink"/>
          </w:rPr>
          <w:t>Australian Government Charging Framework</w:t>
        </w:r>
      </w:hyperlink>
      <w:r w:rsidRPr="0063282B">
        <w:t xml:space="preserve"> </w:t>
      </w:r>
      <w:r>
        <w:t>(Charging Framework) allows government agencies to plan, implement and review their charging activities. Our charging is spilt between regulatory fees and regulatory levies.</w:t>
      </w:r>
      <w:r w:rsidRPr="00B6435D">
        <w:t xml:space="preserve"> </w:t>
      </w:r>
      <w:r>
        <w:t>F</w:t>
      </w:r>
      <w:r w:rsidRPr="00B6435D">
        <w:t>ee</w:t>
      </w:r>
      <w:r>
        <w:t>s</w:t>
      </w:r>
      <w:r w:rsidRPr="00B6435D">
        <w:t xml:space="preserve"> </w:t>
      </w:r>
      <w:r>
        <w:t>are</w:t>
      </w:r>
      <w:r w:rsidRPr="00B6435D">
        <w:t xml:space="preserve"> </w:t>
      </w:r>
      <w:r>
        <w:t>imposed</w:t>
      </w:r>
      <w:r w:rsidRPr="00B6435D">
        <w:t xml:space="preserve"> when an activity</w:t>
      </w:r>
      <w:r>
        <w:t xml:space="preserve"> and its</w:t>
      </w:r>
      <w:r w:rsidRPr="00B6435D">
        <w:t xml:space="preserve"> costs can be attributed to a specific individual or organisation. A levy is</w:t>
      </w:r>
      <w:r>
        <w:t xml:space="preserve"> imposed </w:t>
      </w:r>
      <w:r w:rsidRPr="00B6435D">
        <w:t>when the activity its costs can be attributed to a group of individuals or organisations as a whole</w:t>
      </w:r>
      <w:r>
        <w:t>.</w:t>
      </w:r>
    </w:p>
    <w:bookmarkEnd w:id="18"/>
    <w:p w14:paraId="46CF469C" w14:textId="4F07A96E" w:rsidR="000441EC" w:rsidRPr="000441EC" w:rsidRDefault="000441EC" w:rsidP="000441EC">
      <w:pPr>
        <w:spacing w:before="120" w:after="120"/>
        <w:rPr>
          <w:lang w:eastAsia="ja-JP"/>
        </w:rPr>
      </w:pPr>
      <w:r w:rsidRPr="000441EC">
        <w:rPr>
          <w:lang w:eastAsia="ja-JP"/>
        </w:rPr>
        <w:t xml:space="preserve">The cost base is modelled to reflect the full costs to </w:t>
      </w:r>
      <w:r w:rsidRPr="000441EC">
        <w:t xml:space="preserve">deliver regulatory services to support the </w:t>
      </w:r>
      <w:r w:rsidR="0025520F">
        <w:t>meat</w:t>
      </w:r>
      <w:r w:rsidRPr="000441EC">
        <w:t xml:space="preserve"> industry</w:t>
      </w:r>
      <w:r w:rsidRPr="000441EC">
        <w:rPr>
          <w:lang w:eastAsia="ja-JP"/>
        </w:rPr>
        <w:t xml:space="preserve">. The departments </w:t>
      </w:r>
      <w:hyperlink r:id="rId27" w:history="1">
        <w:r w:rsidRPr="000441EC">
          <w:rPr>
            <w:color w:val="165788"/>
            <w:u w:val="single"/>
            <w:lang w:eastAsia="ja-JP"/>
          </w:rPr>
          <w:t>CRIS</w:t>
        </w:r>
      </w:hyperlink>
      <w:r w:rsidRPr="000441EC">
        <w:rPr>
          <w:lang w:eastAsia="ja-JP"/>
        </w:rPr>
        <w:t xml:space="preserve"> </w:t>
      </w:r>
      <w:r w:rsidRPr="000441EC">
        <w:t>describes this in further detail.</w:t>
      </w:r>
    </w:p>
    <w:p w14:paraId="18D4A2B5" w14:textId="05196F7D" w:rsidR="000441EC" w:rsidRPr="000441EC" w:rsidRDefault="000441EC" w:rsidP="000441EC">
      <w:pPr>
        <w:spacing w:before="120" w:after="120"/>
        <w:rPr>
          <w:lang w:eastAsia="ja-JP"/>
        </w:rPr>
      </w:pPr>
      <w:r w:rsidRPr="000441EC">
        <w:rPr>
          <w:lang w:eastAsia="ja-JP"/>
        </w:rPr>
        <w:t xml:space="preserve">To provide understanding of what costs are involved in providing our services, </w:t>
      </w:r>
      <w:r w:rsidR="00B807C6">
        <w:rPr>
          <w:lang w:eastAsia="ja-JP"/>
        </w:rPr>
        <w:fldChar w:fldCharType="begin"/>
      </w:r>
      <w:r w:rsidR="00B807C6">
        <w:rPr>
          <w:lang w:eastAsia="ja-JP"/>
        </w:rPr>
        <w:instrText xml:space="preserve"> REF _Ref178847459 \h </w:instrText>
      </w:r>
      <w:r w:rsidR="00B807C6">
        <w:rPr>
          <w:lang w:eastAsia="ja-JP"/>
        </w:rPr>
      </w:r>
      <w:r w:rsidR="00B807C6">
        <w:rPr>
          <w:lang w:eastAsia="ja-JP"/>
        </w:rPr>
        <w:fldChar w:fldCharType="separate"/>
      </w:r>
      <w:r w:rsidR="00351083" w:rsidRPr="009A501D">
        <w:t xml:space="preserve">Table </w:t>
      </w:r>
      <w:r w:rsidR="00351083">
        <w:rPr>
          <w:noProof/>
        </w:rPr>
        <w:t>4</w:t>
      </w:r>
      <w:r w:rsidR="00B807C6">
        <w:rPr>
          <w:lang w:eastAsia="ja-JP"/>
        </w:rPr>
        <w:fldChar w:fldCharType="end"/>
      </w:r>
      <w:r w:rsidRPr="000441EC">
        <w:rPr>
          <w:lang w:eastAsia="ja-JP"/>
        </w:rPr>
        <w:t xml:space="preserve"> provides costs across divisional functions. Descriptions for the services provided by these divisions is outlined at </w:t>
      </w:r>
      <w:bookmarkStart w:id="19" w:name="_Hlk178165884"/>
      <w:r w:rsidR="00A375B0">
        <w:rPr>
          <w:color w:val="165788"/>
          <w:u w:val="single"/>
          <w:lang w:eastAsia="ja-JP"/>
        </w:rPr>
        <w:fldChar w:fldCharType="begin"/>
      </w:r>
      <w:r w:rsidR="00372831">
        <w:rPr>
          <w:color w:val="165788"/>
          <w:u w:val="single"/>
          <w:lang w:eastAsia="ja-JP"/>
        </w:rPr>
        <w:instrText>HYPERLINK  \l "_Appendix_A:_Divisional"</w:instrText>
      </w:r>
      <w:r w:rsidR="00A375B0">
        <w:rPr>
          <w:color w:val="165788"/>
          <w:u w:val="single"/>
          <w:lang w:eastAsia="ja-JP"/>
        </w:rPr>
      </w:r>
      <w:r w:rsidR="00A375B0">
        <w:rPr>
          <w:color w:val="165788"/>
          <w:u w:val="single"/>
          <w:lang w:eastAsia="ja-JP"/>
        </w:rPr>
        <w:fldChar w:fldCharType="separate"/>
      </w:r>
      <w:r w:rsidRPr="00A375B0">
        <w:rPr>
          <w:rStyle w:val="Hyperlink"/>
          <w:lang w:eastAsia="ja-JP"/>
        </w:rPr>
        <w:t>Appendix A.</w:t>
      </w:r>
      <w:r w:rsidR="00A375B0">
        <w:rPr>
          <w:color w:val="165788"/>
          <w:u w:val="single"/>
          <w:lang w:eastAsia="ja-JP"/>
        </w:rPr>
        <w:fldChar w:fldCharType="end"/>
      </w:r>
    </w:p>
    <w:p w14:paraId="6D45BA7C" w14:textId="0A8FCCDC" w:rsidR="00764D6A" w:rsidRDefault="00DE0442" w:rsidP="00E93778">
      <w:pPr>
        <w:pStyle w:val="Heading2"/>
        <w:numPr>
          <w:ilvl w:val="0"/>
          <w:numId w:val="0"/>
        </w:numPr>
        <w:ind w:left="720" w:hanging="720"/>
      </w:pPr>
      <w:bookmarkStart w:id="20" w:name="_Toc181704934"/>
      <w:bookmarkEnd w:id="19"/>
      <w:r>
        <w:lastRenderedPageBreak/>
        <w:t xml:space="preserve">Volume and </w:t>
      </w:r>
      <w:r w:rsidR="009178CA">
        <w:t>r</w:t>
      </w:r>
      <w:r>
        <w:t>evenue</w:t>
      </w:r>
      <w:bookmarkEnd w:id="20"/>
    </w:p>
    <w:p w14:paraId="19C2FA15" w14:textId="39F55403" w:rsidR="00056CBE" w:rsidRPr="009178CA" w:rsidRDefault="00056CBE" w:rsidP="009178CA">
      <w:bookmarkStart w:id="21" w:name="_Toc430782156"/>
      <w:r w:rsidRPr="009178CA">
        <w:t xml:space="preserve">Revenue for the </w:t>
      </w:r>
      <w:r w:rsidR="009178CA">
        <w:t>m</w:t>
      </w:r>
      <w:r w:rsidRPr="009178CA">
        <w:t xml:space="preserve">eat </w:t>
      </w:r>
      <w:r w:rsidR="009178CA">
        <w:t>e</w:t>
      </w:r>
      <w:r w:rsidRPr="009178CA">
        <w:t>xports arrangement was $79.0</w:t>
      </w:r>
      <w:r w:rsidRPr="00F608B2">
        <w:t> </w:t>
      </w:r>
      <w:r w:rsidRPr="009178CA">
        <w:t>million in 2023–2</w:t>
      </w:r>
      <w:r w:rsidRPr="00FD5D73">
        <w:t>4,</w:t>
      </w:r>
      <w:r w:rsidRPr="009178CA">
        <w:t xml:space="preserve"> </w:t>
      </w:r>
      <w:r w:rsidR="00FD5D73">
        <w:t xml:space="preserve">which is </w:t>
      </w:r>
      <w:r w:rsidRPr="009178CA">
        <w:t>$</w:t>
      </w:r>
      <w:r w:rsidR="00FF6AC2">
        <w:t>4</w:t>
      </w:r>
      <w:r w:rsidRPr="009178CA">
        <w:t>.8</w:t>
      </w:r>
      <w:bookmarkStart w:id="22" w:name="_Hlk178849696"/>
      <w:r w:rsidRPr="00F608B2">
        <w:t> </w:t>
      </w:r>
      <w:bookmarkEnd w:id="22"/>
      <w:r w:rsidRPr="009178CA">
        <w:t xml:space="preserve">million </w:t>
      </w:r>
      <w:r w:rsidR="00FF6AC2">
        <w:t xml:space="preserve">lower than budget </w:t>
      </w:r>
      <w:r w:rsidR="00084D2D">
        <w:t>and</w:t>
      </w:r>
      <w:r w:rsidR="00FF6AC2">
        <w:t xml:space="preserve"> $4.8 million </w:t>
      </w:r>
      <w:r w:rsidR="00084D2D">
        <w:t>above</w:t>
      </w:r>
      <w:r w:rsidRPr="009178CA">
        <w:t xml:space="preserve"> CRIS projections.</w:t>
      </w:r>
    </w:p>
    <w:p w14:paraId="6800BB36" w14:textId="78F9EF62" w:rsidR="00056CBE" w:rsidRPr="009178CA" w:rsidRDefault="00056CBE" w:rsidP="009178CA">
      <w:r w:rsidRPr="009178CA">
        <w:t>This increase in revenue was largely driven by export processing volumes</w:t>
      </w:r>
      <w:r w:rsidR="00FF6AC2">
        <w:t>,</w:t>
      </w:r>
      <w:r w:rsidRPr="009178CA">
        <w:t xml:space="preserve"> driven by both domestic and international factors. Domestically, significant numbers of Australian producers reached peak herd and flock recovery after the recent drought and sought to turn off excess or aging stock to match seasonal carrying conditions. Internationally, strong export commodity prices for meat and meat products coupled with market gains, including the recent </w:t>
      </w:r>
      <w:hyperlink r:id="rId28" w:history="1">
        <w:r w:rsidR="003B2E54" w:rsidRPr="003B2E54">
          <w:rPr>
            <w:rStyle w:val="Hyperlink"/>
          </w:rPr>
          <w:t>Australia-</w:t>
        </w:r>
        <w:r w:rsidRPr="003B2E54">
          <w:rPr>
            <w:rStyle w:val="Hyperlink"/>
          </w:rPr>
          <w:t>UK Free Trade Agreement</w:t>
        </w:r>
      </w:hyperlink>
      <w:r w:rsidRPr="009178CA">
        <w:t>, helped drive an increase in export volumes.</w:t>
      </w:r>
    </w:p>
    <w:p w14:paraId="7F1B00AC" w14:textId="4CA37ACF" w:rsidR="00056CBE" w:rsidRPr="009178CA" w:rsidRDefault="00056CBE" w:rsidP="009178CA">
      <w:r w:rsidRPr="009178CA">
        <w:t>This has resulted in an increase in animals available for processing</w:t>
      </w:r>
      <w:r w:rsidR="00FF6AC2">
        <w:t>,</w:t>
      </w:r>
      <w:r w:rsidRPr="009178CA">
        <w:t xml:space="preserve"> increasing volumes above CRIS estimates, with a flow on effect to more establishment openings and demand for on-plant services</w:t>
      </w:r>
      <w:r w:rsidR="00AB45BF" w:rsidRPr="009178CA">
        <w:t>.</w:t>
      </w:r>
    </w:p>
    <w:p w14:paraId="49F5C291" w14:textId="21562A22" w:rsidR="00056CBE" w:rsidRPr="006C7A6B" w:rsidRDefault="00056CBE" w:rsidP="006C7A6B">
      <w:r w:rsidRPr="009178CA">
        <w:t xml:space="preserve">Further, this has meant </w:t>
      </w:r>
      <w:r w:rsidR="000931FA" w:rsidRPr="000931FA">
        <w:t xml:space="preserve">volumes of </w:t>
      </w:r>
      <w:r w:rsidRPr="006C7A6B">
        <w:t xml:space="preserve">electronic certificates, document </w:t>
      </w:r>
      <w:r w:rsidR="00FF6AC2" w:rsidRPr="006C7A6B">
        <w:t>-</w:t>
      </w:r>
      <w:r w:rsidRPr="006C7A6B">
        <w:t xml:space="preserve">certificates and </w:t>
      </w:r>
      <w:r w:rsidR="000931FA" w:rsidRPr="006C7A6B">
        <w:t xml:space="preserve">document </w:t>
      </w:r>
      <w:r w:rsidR="00FF6AC2" w:rsidRPr="006C7A6B">
        <w:t>-</w:t>
      </w:r>
      <w:r w:rsidRPr="006C7A6B">
        <w:t>replacement are higher than projected in the CRIS. Manual documents ended the year with a 43% decrease compared to projected CRIS volumes, this was expected due to the transition to electronic certification.</w:t>
      </w:r>
    </w:p>
    <w:p w14:paraId="743606B8" w14:textId="0CDC5E86" w:rsidR="00056CBE" w:rsidRPr="006C7A6B" w:rsidRDefault="00056CBE" w:rsidP="006C7A6B">
      <w:r w:rsidRPr="006C7A6B">
        <w:t xml:space="preserve">Standard audits exceed CRIS projections by 47%. This increase is due in part to the increase in staffing compared to previous years, along with increased prioritisation of </w:t>
      </w:r>
      <w:r w:rsidR="000931FA" w:rsidRPr="006C7A6B">
        <w:t>f</w:t>
      </w:r>
      <w:r w:rsidRPr="006C7A6B">
        <w:t xml:space="preserve">ood </w:t>
      </w:r>
      <w:r w:rsidR="000931FA" w:rsidRPr="006C7A6B">
        <w:t>e</w:t>
      </w:r>
      <w:r w:rsidRPr="006C7A6B">
        <w:t>xport audit completion.</w:t>
      </w:r>
    </w:p>
    <w:p w14:paraId="3FB76EEC" w14:textId="1EF43F7C" w:rsidR="00013C7C" w:rsidRDefault="006F4EBA" w:rsidP="00BA7B4F">
      <w:pPr>
        <w:spacing w:before="120" w:after="240"/>
      </w:pPr>
      <w:r>
        <w:fldChar w:fldCharType="begin"/>
      </w:r>
      <w:r>
        <w:instrText xml:space="preserve"> REF _Ref178848524 \h </w:instrText>
      </w:r>
      <w:r>
        <w:fldChar w:fldCharType="separate"/>
      </w:r>
      <w:r w:rsidR="00351083" w:rsidRPr="009A501D">
        <w:t xml:space="preserve">Table </w:t>
      </w:r>
      <w:r w:rsidR="00351083">
        <w:rPr>
          <w:noProof/>
        </w:rPr>
        <w:t>2</w:t>
      </w:r>
      <w:r>
        <w:fldChar w:fldCharType="end"/>
      </w:r>
      <w:r w:rsidR="000441EC" w:rsidRPr="00D50291">
        <w:t xml:space="preserve"> and </w:t>
      </w:r>
      <w:r w:rsidR="00256F28">
        <w:fldChar w:fldCharType="begin"/>
      </w:r>
      <w:r w:rsidR="00256F28">
        <w:instrText xml:space="preserve"> REF _Ref178848532 \h </w:instrText>
      </w:r>
      <w:r w:rsidR="00256F28">
        <w:fldChar w:fldCharType="separate"/>
      </w:r>
      <w:r w:rsidR="00351083" w:rsidRPr="00643528">
        <w:t xml:space="preserve">Table </w:t>
      </w:r>
      <w:r w:rsidR="00351083">
        <w:rPr>
          <w:noProof/>
        </w:rPr>
        <w:t>3</w:t>
      </w:r>
      <w:r w:rsidR="00256F28">
        <w:fldChar w:fldCharType="end"/>
      </w:r>
      <w:r w:rsidR="00256F28">
        <w:t xml:space="preserve"> </w:t>
      </w:r>
      <w:r w:rsidR="000441EC" w:rsidRPr="00D50291">
        <w:t>detail the volumes and equivalent revenue generated for each regulatory charge and fee.</w:t>
      </w:r>
      <w:bookmarkStart w:id="23" w:name="_Ref445985084"/>
      <w:bookmarkStart w:id="24" w:name="_Toc409769089"/>
      <w:bookmarkEnd w:id="21"/>
    </w:p>
    <w:p w14:paraId="47A8170D" w14:textId="02B4D0ED" w:rsidR="00764D6A" w:rsidRDefault="00E93778" w:rsidP="00AB45BF">
      <w:pPr>
        <w:pStyle w:val="Caption"/>
      </w:pPr>
      <w:bookmarkStart w:id="25" w:name="_Ref178848524"/>
      <w:bookmarkStart w:id="26" w:name="_Toc178849864"/>
      <w:bookmarkStart w:id="27" w:name="_Toc181704919"/>
      <w:bookmarkEnd w:id="23"/>
      <w:bookmarkEnd w:id="24"/>
      <w:r w:rsidRPr="009A501D">
        <w:t xml:space="preserve">Table </w:t>
      </w:r>
      <w:r w:rsidRPr="009A501D">
        <w:fldChar w:fldCharType="begin"/>
      </w:r>
      <w:r w:rsidRPr="009A501D">
        <w:instrText xml:space="preserve"> SEQ Table \* ARABIC </w:instrText>
      </w:r>
      <w:r w:rsidRPr="009A501D">
        <w:fldChar w:fldCharType="separate"/>
      </w:r>
      <w:r w:rsidR="00351083">
        <w:rPr>
          <w:noProof/>
        </w:rPr>
        <w:t>2</w:t>
      </w:r>
      <w:r w:rsidRPr="009A501D">
        <w:fldChar w:fldCharType="end"/>
      </w:r>
      <w:bookmarkEnd w:id="25"/>
      <w:r>
        <w:t xml:space="preserve"> </w:t>
      </w:r>
      <w:r w:rsidR="000931FA">
        <w:t>V</w:t>
      </w:r>
      <w:r w:rsidR="006964A5" w:rsidRPr="000365F5">
        <w:t xml:space="preserve">olume by charge point, </w:t>
      </w:r>
      <w:r w:rsidR="00D61175">
        <w:t>meat</w:t>
      </w:r>
      <w:r w:rsidR="006964A5" w:rsidRPr="000365F5">
        <w:t xml:space="preserve"> export arrangement for 2023</w:t>
      </w:r>
      <w:r w:rsidR="00256F28">
        <w:t>–</w:t>
      </w:r>
      <w:r w:rsidR="006964A5" w:rsidRPr="000365F5">
        <w:t>24</w:t>
      </w:r>
      <w:bookmarkEnd w:id="26"/>
      <w:bookmarkEnd w:id="27"/>
    </w:p>
    <w:tbl>
      <w:tblPr>
        <w:tblW w:w="5000" w:type="pct"/>
        <w:tblLook w:val="04A0" w:firstRow="1" w:lastRow="0" w:firstColumn="1" w:lastColumn="0" w:noHBand="0" w:noVBand="1"/>
      </w:tblPr>
      <w:tblGrid>
        <w:gridCol w:w="1711"/>
        <w:gridCol w:w="2326"/>
        <w:gridCol w:w="1036"/>
        <w:gridCol w:w="1036"/>
        <w:gridCol w:w="1054"/>
        <w:gridCol w:w="871"/>
        <w:gridCol w:w="1036"/>
      </w:tblGrid>
      <w:tr w:rsidR="00056CBE" w:rsidRPr="00D26F42" w14:paraId="7E2751A3" w14:textId="77777777" w:rsidTr="000931FA">
        <w:trPr>
          <w:cantSplit/>
          <w:tblHeader/>
        </w:trPr>
        <w:tc>
          <w:tcPr>
            <w:tcW w:w="943" w:type="pct"/>
            <w:tcBorders>
              <w:top w:val="single" w:sz="8" w:space="0" w:color="auto"/>
              <w:left w:val="nil"/>
              <w:bottom w:val="single" w:sz="8" w:space="0" w:color="auto"/>
              <w:right w:val="nil"/>
            </w:tcBorders>
            <w:shd w:val="clear" w:color="auto" w:fill="auto"/>
            <w:hideMark/>
          </w:tcPr>
          <w:p w14:paraId="1A235799" w14:textId="5FF9A67B" w:rsidR="00056CBE" w:rsidRPr="000931FA" w:rsidRDefault="00056CBE" w:rsidP="00256F28">
            <w:pPr>
              <w:pStyle w:val="TableHeading"/>
              <w:spacing w:after="120"/>
              <w:rPr>
                <w:lang w:eastAsia="en-AU"/>
              </w:rPr>
            </w:pPr>
            <w:bookmarkStart w:id="28" w:name="Title_2"/>
            <w:bookmarkEnd w:id="28"/>
            <w:r w:rsidRPr="000931FA">
              <w:rPr>
                <w:lang w:eastAsia="en-AU"/>
              </w:rPr>
              <w:t xml:space="preserve">Type of </w:t>
            </w:r>
            <w:r w:rsidR="000931FA" w:rsidRPr="000931FA">
              <w:rPr>
                <w:lang w:eastAsia="en-AU"/>
              </w:rPr>
              <w:t>c</w:t>
            </w:r>
            <w:r w:rsidRPr="000931FA">
              <w:rPr>
                <w:lang w:eastAsia="en-AU"/>
              </w:rPr>
              <w:t>harge</w:t>
            </w:r>
          </w:p>
        </w:tc>
        <w:tc>
          <w:tcPr>
            <w:tcW w:w="1282" w:type="pct"/>
            <w:tcBorders>
              <w:top w:val="single" w:sz="8" w:space="0" w:color="auto"/>
              <w:left w:val="nil"/>
              <w:bottom w:val="single" w:sz="8" w:space="0" w:color="auto"/>
              <w:right w:val="nil"/>
            </w:tcBorders>
            <w:shd w:val="clear" w:color="auto" w:fill="auto"/>
            <w:hideMark/>
          </w:tcPr>
          <w:p w14:paraId="58E45921" w14:textId="77777777" w:rsidR="00056CBE" w:rsidRPr="000931FA" w:rsidRDefault="00056CBE" w:rsidP="00256F28">
            <w:pPr>
              <w:pStyle w:val="TableHeading"/>
              <w:spacing w:after="120"/>
              <w:rPr>
                <w:lang w:eastAsia="en-AU"/>
              </w:rPr>
            </w:pPr>
            <w:r w:rsidRPr="000931FA">
              <w:rPr>
                <w:lang w:eastAsia="en-AU"/>
              </w:rPr>
              <w:t>Cost recovery charges</w:t>
            </w:r>
          </w:p>
        </w:tc>
        <w:tc>
          <w:tcPr>
            <w:tcW w:w="571" w:type="pct"/>
            <w:tcBorders>
              <w:top w:val="single" w:sz="8" w:space="0" w:color="auto"/>
              <w:left w:val="nil"/>
              <w:bottom w:val="single" w:sz="8" w:space="0" w:color="auto"/>
              <w:right w:val="nil"/>
            </w:tcBorders>
            <w:shd w:val="clear" w:color="auto" w:fill="auto"/>
            <w:hideMark/>
          </w:tcPr>
          <w:p w14:paraId="4B3C2AF1" w14:textId="77777777" w:rsidR="00056CBE" w:rsidRPr="000931FA" w:rsidRDefault="00056CBE" w:rsidP="00256F28">
            <w:pPr>
              <w:pStyle w:val="TableHeading"/>
              <w:spacing w:after="120"/>
              <w:jc w:val="right"/>
              <w:rPr>
                <w:lang w:eastAsia="en-AU"/>
              </w:rPr>
            </w:pPr>
            <w:r w:rsidRPr="000931FA">
              <w:rPr>
                <w:lang w:eastAsia="en-AU"/>
              </w:rPr>
              <w:t>Actual (Units)</w:t>
            </w:r>
          </w:p>
        </w:tc>
        <w:tc>
          <w:tcPr>
            <w:tcW w:w="571" w:type="pct"/>
            <w:tcBorders>
              <w:top w:val="single" w:sz="8" w:space="0" w:color="auto"/>
              <w:left w:val="nil"/>
              <w:bottom w:val="single" w:sz="8" w:space="0" w:color="auto"/>
              <w:right w:val="nil"/>
            </w:tcBorders>
            <w:shd w:val="clear" w:color="auto" w:fill="auto"/>
            <w:hideMark/>
          </w:tcPr>
          <w:p w14:paraId="5E48453A" w14:textId="77777777" w:rsidR="00056CBE" w:rsidRPr="000931FA" w:rsidRDefault="00056CBE" w:rsidP="00256F28">
            <w:pPr>
              <w:pStyle w:val="TableHeading"/>
              <w:spacing w:after="120"/>
              <w:jc w:val="right"/>
              <w:rPr>
                <w:lang w:eastAsia="en-AU"/>
              </w:rPr>
            </w:pPr>
            <w:r w:rsidRPr="000931FA">
              <w:rPr>
                <w:lang w:eastAsia="en-AU"/>
              </w:rPr>
              <w:t>CRIS (Units)</w:t>
            </w:r>
          </w:p>
        </w:tc>
        <w:tc>
          <w:tcPr>
            <w:tcW w:w="581" w:type="pct"/>
            <w:tcBorders>
              <w:top w:val="single" w:sz="8" w:space="0" w:color="auto"/>
              <w:left w:val="nil"/>
              <w:bottom w:val="single" w:sz="8" w:space="0" w:color="auto"/>
              <w:right w:val="nil"/>
            </w:tcBorders>
            <w:shd w:val="clear" w:color="auto" w:fill="auto"/>
            <w:hideMark/>
          </w:tcPr>
          <w:p w14:paraId="1594AE92" w14:textId="77777777" w:rsidR="00056CBE" w:rsidRPr="000931FA" w:rsidRDefault="00056CBE" w:rsidP="00256F28">
            <w:pPr>
              <w:pStyle w:val="TableHeading"/>
              <w:spacing w:after="120"/>
              <w:jc w:val="right"/>
              <w:rPr>
                <w:lang w:eastAsia="en-AU"/>
              </w:rPr>
            </w:pPr>
            <w:r w:rsidRPr="000931FA">
              <w:rPr>
                <w:lang w:eastAsia="en-AU"/>
              </w:rPr>
              <w:t>Variance (Units)</w:t>
            </w:r>
          </w:p>
        </w:tc>
        <w:tc>
          <w:tcPr>
            <w:tcW w:w="480" w:type="pct"/>
            <w:tcBorders>
              <w:top w:val="single" w:sz="8" w:space="0" w:color="auto"/>
              <w:left w:val="nil"/>
              <w:bottom w:val="single" w:sz="8" w:space="0" w:color="auto"/>
              <w:right w:val="nil"/>
            </w:tcBorders>
            <w:shd w:val="clear" w:color="auto" w:fill="auto"/>
            <w:hideMark/>
          </w:tcPr>
          <w:p w14:paraId="03F9CB1E" w14:textId="77777777" w:rsidR="00056CBE" w:rsidRPr="000931FA" w:rsidRDefault="00056CBE" w:rsidP="00256F28">
            <w:pPr>
              <w:pStyle w:val="TableHeading"/>
              <w:spacing w:after="120"/>
              <w:jc w:val="right"/>
              <w:rPr>
                <w:lang w:eastAsia="en-AU"/>
              </w:rPr>
            </w:pPr>
            <w:r w:rsidRPr="000931FA">
              <w:rPr>
                <w:lang w:eastAsia="en-AU"/>
              </w:rPr>
              <w:t>Variance (%)</w:t>
            </w:r>
          </w:p>
        </w:tc>
        <w:tc>
          <w:tcPr>
            <w:tcW w:w="571" w:type="pct"/>
            <w:tcBorders>
              <w:top w:val="single" w:sz="8" w:space="0" w:color="auto"/>
              <w:left w:val="nil"/>
              <w:bottom w:val="single" w:sz="8" w:space="0" w:color="auto"/>
              <w:right w:val="nil"/>
            </w:tcBorders>
            <w:shd w:val="clear" w:color="auto" w:fill="auto"/>
            <w:hideMark/>
          </w:tcPr>
          <w:p w14:paraId="20F1FA98" w14:textId="77777777" w:rsidR="00056CBE" w:rsidRPr="000931FA" w:rsidRDefault="00056CBE" w:rsidP="00256F28">
            <w:pPr>
              <w:pStyle w:val="TableHeading"/>
              <w:spacing w:after="120"/>
              <w:jc w:val="right"/>
              <w:rPr>
                <w:lang w:eastAsia="en-AU"/>
              </w:rPr>
            </w:pPr>
            <w:r w:rsidRPr="000931FA">
              <w:rPr>
                <w:lang w:eastAsia="en-AU"/>
              </w:rPr>
              <w:t>Budget (Units)</w:t>
            </w:r>
          </w:p>
        </w:tc>
      </w:tr>
      <w:tr w:rsidR="00056CBE" w:rsidRPr="00D26F42" w14:paraId="6D4D7A7D" w14:textId="77777777" w:rsidTr="00643528">
        <w:tc>
          <w:tcPr>
            <w:tcW w:w="943" w:type="pct"/>
            <w:vMerge w:val="restart"/>
            <w:tcBorders>
              <w:top w:val="nil"/>
              <w:left w:val="nil"/>
              <w:bottom w:val="nil"/>
              <w:right w:val="nil"/>
            </w:tcBorders>
            <w:shd w:val="clear" w:color="auto" w:fill="auto"/>
            <w:hideMark/>
          </w:tcPr>
          <w:p w14:paraId="4573D1CD" w14:textId="77777777" w:rsidR="00056CBE" w:rsidRPr="00D26F42" w:rsidRDefault="00056CBE" w:rsidP="00256F28">
            <w:pPr>
              <w:pStyle w:val="TableText"/>
              <w:rPr>
                <w:lang w:eastAsia="en-AU"/>
              </w:rPr>
            </w:pPr>
            <w:r w:rsidRPr="00D26F42">
              <w:rPr>
                <w:lang w:eastAsia="en-AU"/>
              </w:rPr>
              <w:t>Charges</w:t>
            </w:r>
          </w:p>
        </w:tc>
        <w:tc>
          <w:tcPr>
            <w:tcW w:w="1282" w:type="pct"/>
            <w:tcBorders>
              <w:top w:val="nil"/>
              <w:left w:val="nil"/>
              <w:bottom w:val="single" w:sz="4" w:space="0" w:color="auto"/>
              <w:right w:val="nil"/>
            </w:tcBorders>
            <w:shd w:val="clear" w:color="auto" w:fill="auto"/>
            <w:hideMark/>
          </w:tcPr>
          <w:p w14:paraId="07447B6B" w14:textId="07749674" w:rsidR="00056CBE" w:rsidRPr="00D26F42" w:rsidRDefault="00056CBE" w:rsidP="00256F28">
            <w:pPr>
              <w:pStyle w:val="TableText"/>
              <w:rPr>
                <w:lang w:eastAsia="en-AU"/>
              </w:rPr>
            </w:pPr>
            <w:r w:rsidRPr="00D26F42">
              <w:rPr>
                <w:lang w:eastAsia="en-AU"/>
              </w:rPr>
              <w:t xml:space="preserve">Document – </w:t>
            </w:r>
            <w:r w:rsidR="00F15D2B">
              <w:rPr>
                <w:lang w:eastAsia="en-AU"/>
              </w:rPr>
              <w:t>c</w:t>
            </w:r>
            <w:r w:rsidRPr="00D26F42">
              <w:rPr>
                <w:lang w:eastAsia="en-AU"/>
              </w:rPr>
              <w:t>ertificates</w:t>
            </w:r>
          </w:p>
        </w:tc>
        <w:tc>
          <w:tcPr>
            <w:tcW w:w="571" w:type="pct"/>
            <w:tcBorders>
              <w:top w:val="nil"/>
              <w:left w:val="nil"/>
              <w:bottom w:val="single" w:sz="4" w:space="0" w:color="auto"/>
              <w:right w:val="nil"/>
            </w:tcBorders>
            <w:shd w:val="clear" w:color="auto" w:fill="auto"/>
            <w:vAlign w:val="center"/>
            <w:hideMark/>
          </w:tcPr>
          <w:p w14:paraId="693F7875" w14:textId="77777777" w:rsidR="00056CBE" w:rsidRPr="00D26F42" w:rsidRDefault="00056CBE" w:rsidP="00E24E06">
            <w:pPr>
              <w:pStyle w:val="TableText"/>
              <w:jc w:val="right"/>
              <w:rPr>
                <w:lang w:eastAsia="en-AU"/>
              </w:rPr>
            </w:pPr>
            <w:r w:rsidRPr="00D26F42">
              <w:rPr>
                <w:lang w:eastAsia="en-AU"/>
              </w:rPr>
              <w:t>302,032</w:t>
            </w:r>
          </w:p>
        </w:tc>
        <w:tc>
          <w:tcPr>
            <w:tcW w:w="571" w:type="pct"/>
            <w:tcBorders>
              <w:top w:val="nil"/>
              <w:left w:val="nil"/>
              <w:bottom w:val="single" w:sz="4" w:space="0" w:color="auto"/>
              <w:right w:val="nil"/>
            </w:tcBorders>
            <w:shd w:val="clear" w:color="auto" w:fill="auto"/>
            <w:vAlign w:val="center"/>
            <w:hideMark/>
          </w:tcPr>
          <w:p w14:paraId="42FD105F" w14:textId="77777777" w:rsidR="00056CBE" w:rsidRPr="00D26F42" w:rsidRDefault="00056CBE" w:rsidP="00E24E06">
            <w:pPr>
              <w:pStyle w:val="TableText"/>
              <w:jc w:val="right"/>
              <w:rPr>
                <w:lang w:eastAsia="en-AU"/>
              </w:rPr>
            </w:pPr>
            <w:r w:rsidRPr="00D26F42">
              <w:rPr>
                <w:lang w:eastAsia="en-AU"/>
              </w:rPr>
              <w:t>244,256</w:t>
            </w:r>
          </w:p>
        </w:tc>
        <w:tc>
          <w:tcPr>
            <w:tcW w:w="581" w:type="pct"/>
            <w:tcBorders>
              <w:top w:val="nil"/>
              <w:left w:val="nil"/>
              <w:bottom w:val="single" w:sz="4" w:space="0" w:color="auto"/>
              <w:right w:val="nil"/>
            </w:tcBorders>
            <w:shd w:val="clear" w:color="auto" w:fill="auto"/>
            <w:vAlign w:val="center"/>
            <w:hideMark/>
          </w:tcPr>
          <w:p w14:paraId="0169ED9F" w14:textId="77777777" w:rsidR="00056CBE" w:rsidRPr="00D26F42" w:rsidRDefault="00056CBE" w:rsidP="00E24E06">
            <w:pPr>
              <w:pStyle w:val="TableText"/>
              <w:jc w:val="right"/>
              <w:rPr>
                <w:lang w:eastAsia="en-AU"/>
              </w:rPr>
            </w:pPr>
            <w:r w:rsidRPr="00D26F42">
              <w:rPr>
                <w:lang w:eastAsia="en-AU"/>
              </w:rPr>
              <w:t>57,776</w:t>
            </w:r>
          </w:p>
        </w:tc>
        <w:tc>
          <w:tcPr>
            <w:tcW w:w="480" w:type="pct"/>
            <w:tcBorders>
              <w:top w:val="nil"/>
              <w:left w:val="nil"/>
              <w:bottom w:val="single" w:sz="4" w:space="0" w:color="auto"/>
              <w:right w:val="nil"/>
            </w:tcBorders>
            <w:shd w:val="clear" w:color="auto" w:fill="auto"/>
            <w:vAlign w:val="center"/>
            <w:hideMark/>
          </w:tcPr>
          <w:p w14:paraId="57CDAFD2" w14:textId="77777777" w:rsidR="00056CBE" w:rsidRPr="00D26F42" w:rsidRDefault="00056CBE" w:rsidP="00E24E06">
            <w:pPr>
              <w:pStyle w:val="TableText"/>
              <w:jc w:val="right"/>
              <w:rPr>
                <w:lang w:eastAsia="en-AU"/>
              </w:rPr>
            </w:pPr>
            <w:r w:rsidRPr="00D26F42">
              <w:rPr>
                <w:lang w:eastAsia="en-AU"/>
              </w:rPr>
              <w:t>24</w:t>
            </w:r>
          </w:p>
        </w:tc>
        <w:tc>
          <w:tcPr>
            <w:tcW w:w="571" w:type="pct"/>
            <w:tcBorders>
              <w:top w:val="nil"/>
              <w:left w:val="nil"/>
              <w:bottom w:val="single" w:sz="4" w:space="0" w:color="auto"/>
              <w:right w:val="nil"/>
            </w:tcBorders>
            <w:shd w:val="clear" w:color="auto" w:fill="auto"/>
            <w:vAlign w:val="center"/>
            <w:hideMark/>
          </w:tcPr>
          <w:p w14:paraId="08DEFAF0" w14:textId="77777777" w:rsidR="00056CBE" w:rsidRPr="00D26F42" w:rsidRDefault="00056CBE" w:rsidP="00E24E06">
            <w:pPr>
              <w:pStyle w:val="TableText"/>
              <w:jc w:val="right"/>
              <w:rPr>
                <w:lang w:eastAsia="en-AU"/>
              </w:rPr>
            </w:pPr>
            <w:r w:rsidRPr="00D26F42">
              <w:rPr>
                <w:lang w:eastAsia="en-AU"/>
              </w:rPr>
              <w:t>245,662</w:t>
            </w:r>
          </w:p>
        </w:tc>
      </w:tr>
      <w:tr w:rsidR="00056CBE" w:rsidRPr="00D26F42" w14:paraId="329E535B" w14:textId="77777777" w:rsidTr="00643528">
        <w:tc>
          <w:tcPr>
            <w:tcW w:w="943" w:type="pct"/>
            <w:vMerge/>
            <w:tcBorders>
              <w:top w:val="nil"/>
              <w:left w:val="nil"/>
              <w:bottom w:val="nil"/>
              <w:right w:val="nil"/>
            </w:tcBorders>
            <w:hideMark/>
          </w:tcPr>
          <w:p w14:paraId="5060FB2E" w14:textId="77777777" w:rsidR="00056CBE" w:rsidRPr="00D26F42"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3390F199" w14:textId="41334032" w:rsidR="00056CBE" w:rsidRPr="00D26F42" w:rsidRDefault="00056CBE" w:rsidP="00256F28">
            <w:pPr>
              <w:pStyle w:val="TableText"/>
              <w:rPr>
                <w:lang w:eastAsia="en-AU"/>
              </w:rPr>
            </w:pPr>
            <w:r w:rsidRPr="00D26F42">
              <w:rPr>
                <w:lang w:eastAsia="en-AU"/>
              </w:rPr>
              <w:t xml:space="preserve">Meat </w:t>
            </w:r>
            <w:r w:rsidR="00F15D2B">
              <w:rPr>
                <w:lang w:eastAsia="en-AU"/>
              </w:rPr>
              <w:t>e</w:t>
            </w:r>
            <w:r w:rsidRPr="00D26F42">
              <w:rPr>
                <w:lang w:eastAsia="en-AU"/>
              </w:rPr>
              <w:t xml:space="preserve">xport </w:t>
            </w:r>
            <w:r w:rsidR="00F15D2B">
              <w:rPr>
                <w:lang w:eastAsia="en-AU"/>
              </w:rPr>
              <w:t>l</w:t>
            </w:r>
            <w:r w:rsidRPr="00D26F42">
              <w:rPr>
                <w:lang w:eastAsia="en-AU"/>
              </w:rPr>
              <w:t>icence</w:t>
            </w:r>
          </w:p>
        </w:tc>
        <w:tc>
          <w:tcPr>
            <w:tcW w:w="571" w:type="pct"/>
            <w:tcBorders>
              <w:top w:val="nil"/>
              <w:left w:val="nil"/>
              <w:bottom w:val="single" w:sz="4" w:space="0" w:color="auto"/>
              <w:right w:val="nil"/>
            </w:tcBorders>
            <w:shd w:val="clear" w:color="auto" w:fill="auto"/>
            <w:vAlign w:val="center"/>
            <w:hideMark/>
          </w:tcPr>
          <w:p w14:paraId="5A9144E9" w14:textId="77777777" w:rsidR="00056CBE" w:rsidRPr="00D26F42" w:rsidRDefault="00056CBE" w:rsidP="00E24E06">
            <w:pPr>
              <w:pStyle w:val="TableText"/>
              <w:jc w:val="right"/>
              <w:rPr>
                <w:lang w:eastAsia="en-AU"/>
              </w:rPr>
            </w:pPr>
            <w:r w:rsidRPr="00D26F42">
              <w:rPr>
                <w:lang w:eastAsia="en-AU"/>
              </w:rPr>
              <w:t>328</w:t>
            </w:r>
          </w:p>
        </w:tc>
        <w:tc>
          <w:tcPr>
            <w:tcW w:w="571" w:type="pct"/>
            <w:tcBorders>
              <w:top w:val="nil"/>
              <w:left w:val="nil"/>
              <w:bottom w:val="single" w:sz="4" w:space="0" w:color="auto"/>
              <w:right w:val="nil"/>
            </w:tcBorders>
            <w:shd w:val="clear" w:color="auto" w:fill="auto"/>
            <w:vAlign w:val="center"/>
            <w:hideMark/>
          </w:tcPr>
          <w:p w14:paraId="120D7FAE" w14:textId="77777777" w:rsidR="00056CBE" w:rsidRPr="00D26F42" w:rsidRDefault="00056CBE" w:rsidP="00E24E06">
            <w:pPr>
              <w:pStyle w:val="TableText"/>
              <w:jc w:val="right"/>
              <w:rPr>
                <w:lang w:eastAsia="en-AU"/>
              </w:rPr>
            </w:pPr>
            <w:r w:rsidRPr="00D26F42">
              <w:rPr>
                <w:lang w:eastAsia="en-AU"/>
              </w:rPr>
              <w:t>307</w:t>
            </w:r>
          </w:p>
        </w:tc>
        <w:tc>
          <w:tcPr>
            <w:tcW w:w="581" w:type="pct"/>
            <w:tcBorders>
              <w:top w:val="nil"/>
              <w:left w:val="nil"/>
              <w:bottom w:val="single" w:sz="4" w:space="0" w:color="auto"/>
              <w:right w:val="nil"/>
            </w:tcBorders>
            <w:shd w:val="clear" w:color="auto" w:fill="auto"/>
            <w:vAlign w:val="center"/>
            <w:hideMark/>
          </w:tcPr>
          <w:p w14:paraId="2AE7F24E" w14:textId="77777777" w:rsidR="00056CBE" w:rsidRPr="00D26F42" w:rsidRDefault="00056CBE" w:rsidP="00E24E06">
            <w:pPr>
              <w:pStyle w:val="TableText"/>
              <w:jc w:val="right"/>
              <w:rPr>
                <w:lang w:eastAsia="en-AU"/>
              </w:rPr>
            </w:pPr>
            <w:r w:rsidRPr="00D26F42">
              <w:rPr>
                <w:lang w:eastAsia="en-AU"/>
              </w:rPr>
              <w:t>21</w:t>
            </w:r>
          </w:p>
        </w:tc>
        <w:tc>
          <w:tcPr>
            <w:tcW w:w="480" w:type="pct"/>
            <w:tcBorders>
              <w:top w:val="nil"/>
              <w:left w:val="nil"/>
              <w:bottom w:val="single" w:sz="4" w:space="0" w:color="auto"/>
              <w:right w:val="nil"/>
            </w:tcBorders>
            <w:shd w:val="clear" w:color="auto" w:fill="auto"/>
            <w:vAlign w:val="center"/>
            <w:hideMark/>
          </w:tcPr>
          <w:p w14:paraId="1F4767BD" w14:textId="77777777" w:rsidR="00056CBE" w:rsidRPr="00D26F42" w:rsidRDefault="00056CBE" w:rsidP="00E24E06">
            <w:pPr>
              <w:pStyle w:val="TableText"/>
              <w:jc w:val="right"/>
              <w:rPr>
                <w:lang w:eastAsia="en-AU"/>
              </w:rPr>
            </w:pPr>
            <w:r w:rsidRPr="00D26F42">
              <w:rPr>
                <w:lang w:eastAsia="en-AU"/>
              </w:rPr>
              <w:t>7</w:t>
            </w:r>
          </w:p>
        </w:tc>
        <w:tc>
          <w:tcPr>
            <w:tcW w:w="571" w:type="pct"/>
            <w:tcBorders>
              <w:top w:val="nil"/>
              <w:left w:val="nil"/>
              <w:bottom w:val="single" w:sz="4" w:space="0" w:color="auto"/>
              <w:right w:val="nil"/>
            </w:tcBorders>
            <w:shd w:val="clear" w:color="auto" w:fill="auto"/>
            <w:vAlign w:val="center"/>
            <w:hideMark/>
          </w:tcPr>
          <w:p w14:paraId="1163897E" w14:textId="77777777" w:rsidR="00056CBE" w:rsidRPr="00D26F42" w:rsidRDefault="00056CBE" w:rsidP="00E24E06">
            <w:pPr>
              <w:pStyle w:val="TableText"/>
              <w:jc w:val="right"/>
              <w:rPr>
                <w:lang w:eastAsia="en-AU"/>
              </w:rPr>
            </w:pPr>
            <w:r w:rsidRPr="00D26F42">
              <w:rPr>
                <w:lang w:eastAsia="en-AU"/>
              </w:rPr>
              <w:t>324</w:t>
            </w:r>
          </w:p>
        </w:tc>
      </w:tr>
      <w:tr w:rsidR="00056CBE" w:rsidRPr="00D26F42" w14:paraId="0DAC0B8E" w14:textId="77777777" w:rsidTr="00643528">
        <w:tc>
          <w:tcPr>
            <w:tcW w:w="943" w:type="pct"/>
            <w:vMerge/>
            <w:tcBorders>
              <w:top w:val="nil"/>
              <w:left w:val="nil"/>
              <w:bottom w:val="nil"/>
              <w:right w:val="nil"/>
            </w:tcBorders>
            <w:hideMark/>
          </w:tcPr>
          <w:p w14:paraId="7EF0A6D1" w14:textId="77777777" w:rsidR="00056CBE" w:rsidRPr="00D26F42"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713C9B2E" w14:textId="66328C03" w:rsidR="00056CBE" w:rsidRPr="00D26F42" w:rsidRDefault="00056CBE" w:rsidP="00256F28">
            <w:pPr>
              <w:pStyle w:val="TableText"/>
              <w:rPr>
                <w:lang w:eastAsia="en-AU"/>
              </w:rPr>
            </w:pPr>
            <w:r w:rsidRPr="00D26F42">
              <w:rPr>
                <w:lang w:eastAsia="en-AU"/>
              </w:rPr>
              <w:t xml:space="preserve">Registration </w:t>
            </w:r>
            <w:r w:rsidR="00F15D2B">
              <w:rPr>
                <w:lang w:eastAsia="en-AU"/>
              </w:rPr>
              <w:t>a</w:t>
            </w:r>
            <w:r w:rsidRPr="00D26F42">
              <w:rPr>
                <w:lang w:eastAsia="en-AU"/>
              </w:rPr>
              <w:t>pplication</w:t>
            </w:r>
          </w:p>
        </w:tc>
        <w:tc>
          <w:tcPr>
            <w:tcW w:w="571" w:type="pct"/>
            <w:tcBorders>
              <w:top w:val="nil"/>
              <w:left w:val="nil"/>
              <w:bottom w:val="single" w:sz="4" w:space="0" w:color="auto"/>
              <w:right w:val="nil"/>
            </w:tcBorders>
            <w:shd w:val="clear" w:color="auto" w:fill="auto"/>
            <w:vAlign w:val="center"/>
            <w:hideMark/>
          </w:tcPr>
          <w:p w14:paraId="3D1A2C45" w14:textId="77777777" w:rsidR="00056CBE" w:rsidRPr="00D26F42" w:rsidRDefault="00056CBE" w:rsidP="00E24E06">
            <w:pPr>
              <w:pStyle w:val="TableText"/>
              <w:jc w:val="right"/>
              <w:rPr>
                <w:lang w:eastAsia="en-AU"/>
              </w:rPr>
            </w:pPr>
            <w:r w:rsidRPr="00D26F42">
              <w:rPr>
                <w:lang w:eastAsia="en-AU"/>
              </w:rPr>
              <w:t>30</w:t>
            </w:r>
          </w:p>
        </w:tc>
        <w:tc>
          <w:tcPr>
            <w:tcW w:w="571" w:type="pct"/>
            <w:tcBorders>
              <w:top w:val="nil"/>
              <w:left w:val="nil"/>
              <w:bottom w:val="single" w:sz="4" w:space="0" w:color="auto"/>
              <w:right w:val="nil"/>
            </w:tcBorders>
            <w:shd w:val="clear" w:color="auto" w:fill="auto"/>
            <w:vAlign w:val="center"/>
            <w:hideMark/>
          </w:tcPr>
          <w:p w14:paraId="302136F2" w14:textId="77777777" w:rsidR="00056CBE" w:rsidRPr="00D26F42" w:rsidRDefault="00056CBE" w:rsidP="00E24E06">
            <w:pPr>
              <w:pStyle w:val="TableText"/>
              <w:jc w:val="right"/>
              <w:rPr>
                <w:lang w:eastAsia="en-AU"/>
              </w:rPr>
            </w:pPr>
            <w:r w:rsidRPr="00D26F42">
              <w:rPr>
                <w:lang w:eastAsia="en-AU"/>
              </w:rPr>
              <w:t>37</w:t>
            </w:r>
          </w:p>
        </w:tc>
        <w:tc>
          <w:tcPr>
            <w:tcW w:w="581" w:type="pct"/>
            <w:tcBorders>
              <w:top w:val="nil"/>
              <w:left w:val="nil"/>
              <w:bottom w:val="single" w:sz="4" w:space="0" w:color="auto"/>
              <w:right w:val="nil"/>
            </w:tcBorders>
            <w:shd w:val="clear" w:color="auto" w:fill="auto"/>
            <w:vAlign w:val="center"/>
            <w:hideMark/>
          </w:tcPr>
          <w:p w14:paraId="0545C0A1" w14:textId="77777777" w:rsidR="00056CBE" w:rsidRPr="00D26F42" w:rsidRDefault="00056CBE" w:rsidP="00E24E06">
            <w:pPr>
              <w:pStyle w:val="TableText"/>
              <w:jc w:val="right"/>
              <w:rPr>
                <w:lang w:eastAsia="en-AU"/>
              </w:rPr>
            </w:pPr>
            <w:r w:rsidRPr="00D26F42">
              <w:rPr>
                <w:lang w:eastAsia="en-AU"/>
              </w:rPr>
              <w:t>(7)</w:t>
            </w:r>
          </w:p>
        </w:tc>
        <w:tc>
          <w:tcPr>
            <w:tcW w:w="480" w:type="pct"/>
            <w:tcBorders>
              <w:top w:val="nil"/>
              <w:left w:val="nil"/>
              <w:bottom w:val="single" w:sz="4" w:space="0" w:color="auto"/>
              <w:right w:val="nil"/>
            </w:tcBorders>
            <w:shd w:val="clear" w:color="auto" w:fill="auto"/>
            <w:vAlign w:val="center"/>
            <w:hideMark/>
          </w:tcPr>
          <w:p w14:paraId="5FFB8461" w14:textId="77777777" w:rsidR="00056CBE" w:rsidRPr="00D26F42" w:rsidRDefault="00056CBE" w:rsidP="00E24E06">
            <w:pPr>
              <w:pStyle w:val="TableText"/>
              <w:jc w:val="right"/>
              <w:rPr>
                <w:lang w:eastAsia="en-AU"/>
              </w:rPr>
            </w:pPr>
            <w:r w:rsidRPr="00D26F42">
              <w:rPr>
                <w:lang w:eastAsia="en-AU"/>
              </w:rPr>
              <w:t>(19)</w:t>
            </w:r>
          </w:p>
        </w:tc>
        <w:tc>
          <w:tcPr>
            <w:tcW w:w="571" w:type="pct"/>
            <w:tcBorders>
              <w:top w:val="nil"/>
              <w:left w:val="nil"/>
              <w:bottom w:val="single" w:sz="4" w:space="0" w:color="auto"/>
              <w:right w:val="nil"/>
            </w:tcBorders>
            <w:shd w:val="clear" w:color="auto" w:fill="auto"/>
            <w:vAlign w:val="center"/>
            <w:hideMark/>
          </w:tcPr>
          <w:p w14:paraId="4F12574D" w14:textId="77777777" w:rsidR="00056CBE" w:rsidRPr="00D26F42" w:rsidRDefault="00056CBE" w:rsidP="00E24E06">
            <w:pPr>
              <w:pStyle w:val="TableText"/>
              <w:jc w:val="right"/>
              <w:rPr>
                <w:lang w:eastAsia="en-AU"/>
              </w:rPr>
            </w:pPr>
            <w:r w:rsidRPr="00D26F42">
              <w:rPr>
                <w:lang w:eastAsia="en-AU"/>
              </w:rPr>
              <w:t>38</w:t>
            </w:r>
          </w:p>
        </w:tc>
      </w:tr>
      <w:tr w:rsidR="00056CBE" w:rsidRPr="00D26F42" w14:paraId="2AC41DE3" w14:textId="77777777" w:rsidTr="00643528">
        <w:tc>
          <w:tcPr>
            <w:tcW w:w="943" w:type="pct"/>
            <w:vMerge/>
            <w:tcBorders>
              <w:top w:val="nil"/>
              <w:left w:val="nil"/>
              <w:bottom w:val="nil"/>
              <w:right w:val="nil"/>
            </w:tcBorders>
            <w:hideMark/>
          </w:tcPr>
          <w:p w14:paraId="1C43ED40" w14:textId="77777777" w:rsidR="00056CBE" w:rsidRPr="00D26F42"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74F17F99" w14:textId="3C3244BA" w:rsidR="00056CBE" w:rsidRPr="00D26F42" w:rsidRDefault="00056CBE" w:rsidP="00256F28">
            <w:pPr>
              <w:pStyle w:val="TableText"/>
              <w:rPr>
                <w:lang w:eastAsia="en-AU"/>
              </w:rPr>
            </w:pPr>
            <w:r w:rsidRPr="00D26F42">
              <w:rPr>
                <w:lang w:eastAsia="en-AU"/>
              </w:rPr>
              <w:t xml:space="preserve">Establishment – </w:t>
            </w:r>
            <w:r w:rsidR="00F15D2B">
              <w:rPr>
                <w:lang w:eastAsia="en-AU"/>
              </w:rPr>
              <w:t>p</w:t>
            </w:r>
            <w:r w:rsidRPr="00D26F42">
              <w:rPr>
                <w:lang w:eastAsia="en-AU"/>
              </w:rPr>
              <w:t>oultry</w:t>
            </w:r>
          </w:p>
        </w:tc>
        <w:tc>
          <w:tcPr>
            <w:tcW w:w="571" w:type="pct"/>
            <w:tcBorders>
              <w:top w:val="nil"/>
              <w:left w:val="nil"/>
              <w:bottom w:val="single" w:sz="4" w:space="0" w:color="auto"/>
              <w:right w:val="nil"/>
            </w:tcBorders>
            <w:shd w:val="clear" w:color="auto" w:fill="auto"/>
            <w:vAlign w:val="center"/>
            <w:hideMark/>
          </w:tcPr>
          <w:p w14:paraId="6FB8F821" w14:textId="77777777" w:rsidR="00056CBE" w:rsidRPr="00D26F42" w:rsidRDefault="00056CBE" w:rsidP="00E24E06">
            <w:pPr>
              <w:pStyle w:val="TableText"/>
              <w:jc w:val="right"/>
              <w:rPr>
                <w:lang w:eastAsia="en-AU"/>
              </w:rPr>
            </w:pPr>
            <w:r w:rsidRPr="00D26F42">
              <w:rPr>
                <w:lang w:eastAsia="en-AU"/>
              </w:rPr>
              <w:t>378</w:t>
            </w:r>
          </w:p>
        </w:tc>
        <w:tc>
          <w:tcPr>
            <w:tcW w:w="571" w:type="pct"/>
            <w:tcBorders>
              <w:top w:val="nil"/>
              <w:left w:val="nil"/>
              <w:bottom w:val="single" w:sz="4" w:space="0" w:color="auto"/>
              <w:right w:val="nil"/>
            </w:tcBorders>
            <w:shd w:val="clear" w:color="auto" w:fill="auto"/>
            <w:vAlign w:val="center"/>
            <w:hideMark/>
          </w:tcPr>
          <w:p w14:paraId="26140B64" w14:textId="77777777" w:rsidR="00056CBE" w:rsidRPr="00D26F42" w:rsidRDefault="00056CBE" w:rsidP="00E24E06">
            <w:pPr>
              <w:pStyle w:val="TableText"/>
              <w:jc w:val="right"/>
              <w:rPr>
                <w:lang w:eastAsia="en-AU"/>
              </w:rPr>
            </w:pPr>
            <w:r w:rsidRPr="00D26F42">
              <w:rPr>
                <w:lang w:eastAsia="en-AU"/>
              </w:rPr>
              <w:t>362</w:t>
            </w:r>
          </w:p>
        </w:tc>
        <w:tc>
          <w:tcPr>
            <w:tcW w:w="581" w:type="pct"/>
            <w:tcBorders>
              <w:top w:val="nil"/>
              <w:left w:val="nil"/>
              <w:bottom w:val="single" w:sz="4" w:space="0" w:color="auto"/>
              <w:right w:val="nil"/>
            </w:tcBorders>
            <w:shd w:val="clear" w:color="auto" w:fill="auto"/>
            <w:vAlign w:val="center"/>
            <w:hideMark/>
          </w:tcPr>
          <w:p w14:paraId="6A05C97A" w14:textId="77777777" w:rsidR="00056CBE" w:rsidRPr="00D26F42" w:rsidRDefault="00056CBE" w:rsidP="00E24E06">
            <w:pPr>
              <w:pStyle w:val="TableText"/>
              <w:jc w:val="right"/>
              <w:rPr>
                <w:lang w:eastAsia="en-AU"/>
              </w:rPr>
            </w:pPr>
            <w:r w:rsidRPr="00D26F42">
              <w:rPr>
                <w:lang w:eastAsia="en-AU"/>
              </w:rPr>
              <w:t>16</w:t>
            </w:r>
          </w:p>
        </w:tc>
        <w:tc>
          <w:tcPr>
            <w:tcW w:w="480" w:type="pct"/>
            <w:tcBorders>
              <w:top w:val="nil"/>
              <w:left w:val="nil"/>
              <w:bottom w:val="single" w:sz="4" w:space="0" w:color="auto"/>
              <w:right w:val="nil"/>
            </w:tcBorders>
            <w:shd w:val="clear" w:color="auto" w:fill="auto"/>
            <w:vAlign w:val="center"/>
            <w:hideMark/>
          </w:tcPr>
          <w:p w14:paraId="7B0F3877" w14:textId="77777777" w:rsidR="00056CBE" w:rsidRPr="00D26F42" w:rsidRDefault="00056CBE" w:rsidP="00E24E06">
            <w:pPr>
              <w:pStyle w:val="TableText"/>
              <w:jc w:val="right"/>
              <w:rPr>
                <w:lang w:eastAsia="en-AU"/>
              </w:rPr>
            </w:pPr>
            <w:r w:rsidRPr="00D26F42">
              <w:rPr>
                <w:lang w:eastAsia="en-AU"/>
              </w:rPr>
              <w:t>4</w:t>
            </w:r>
          </w:p>
        </w:tc>
        <w:tc>
          <w:tcPr>
            <w:tcW w:w="571" w:type="pct"/>
            <w:tcBorders>
              <w:top w:val="nil"/>
              <w:left w:val="nil"/>
              <w:bottom w:val="single" w:sz="4" w:space="0" w:color="auto"/>
              <w:right w:val="nil"/>
            </w:tcBorders>
            <w:shd w:val="clear" w:color="auto" w:fill="auto"/>
            <w:vAlign w:val="center"/>
            <w:hideMark/>
          </w:tcPr>
          <w:p w14:paraId="11F623B2" w14:textId="77777777" w:rsidR="00056CBE" w:rsidRPr="00D26F42" w:rsidRDefault="00056CBE" w:rsidP="00E24E06">
            <w:pPr>
              <w:pStyle w:val="TableText"/>
              <w:jc w:val="right"/>
              <w:rPr>
                <w:lang w:eastAsia="en-AU"/>
              </w:rPr>
            </w:pPr>
            <w:r w:rsidRPr="00D26F42">
              <w:rPr>
                <w:lang w:eastAsia="en-AU"/>
              </w:rPr>
              <w:t>371</w:t>
            </w:r>
          </w:p>
        </w:tc>
      </w:tr>
      <w:tr w:rsidR="00056CBE" w:rsidRPr="00D26F42" w14:paraId="4C522A9C" w14:textId="77777777" w:rsidTr="00643528">
        <w:tc>
          <w:tcPr>
            <w:tcW w:w="943" w:type="pct"/>
            <w:vMerge/>
            <w:tcBorders>
              <w:top w:val="nil"/>
              <w:left w:val="nil"/>
              <w:bottom w:val="nil"/>
              <w:right w:val="nil"/>
            </w:tcBorders>
            <w:hideMark/>
          </w:tcPr>
          <w:p w14:paraId="40BB461C" w14:textId="77777777" w:rsidR="00056CBE" w:rsidRPr="00D26F42"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6B7D864C" w14:textId="6F837426" w:rsidR="00056CBE" w:rsidRPr="00D26F42" w:rsidRDefault="00056CBE" w:rsidP="00256F28">
            <w:pPr>
              <w:pStyle w:val="TableText"/>
              <w:rPr>
                <w:lang w:eastAsia="en-AU"/>
              </w:rPr>
            </w:pPr>
            <w:r w:rsidRPr="00D26F42">
              <w:rPr>
                <w:lang w:eastAsia="en-AU"/>
              </w:rPr>
              <w:t xml:space="preserve">Establishment – </w:t>
            </w:r>
            <w:r w:rsidR="00F15D2B">
              <w:rPr>
                <w:lang w:eastAsia="en-AU"/>
              </w:rPr>
              <w:t>f</w:t>
            </w:r>
            <w:r w:rsidRPr="00D26F42">
              <w:rPr>
                <w:lang w:eastAsia="en-AU"/>
              </w:rPr>
              <w:t>urther processing</w:t>
            </w:r>
          </w:p>
        </w:tc>
        <w:tc>
          <w:tcPr>
            <w:tcW w:w="571" w:type="pct"/>
            <w:tcBorders>
              <w:top w:val="nil"/>
              <w:left w:val="nil"/>
              <w:bottom w:val="single" w:sz="4" w:space="0" w:color="auto"/>
              <w:right w:val="nil"/>
            </w:tcBorders>
            <w:shd w:val="clear" w:color="auto" w:fill="auto"/>
            <w:vAlign w:val="center"/>
            <w:hideMark/>
          </w:tcPr>
          <w:p w14:paraId="4996018D" w14:textId="77777777" w:rsidR="00056CBE" w:rsidRPr="00D26F42" w:rsidRDefault="00056CBE" w:rsidP="00E24E06">
            <w:pPr>
              <w:pStyle w:val="TableText"/>
              <w:jc w:val="right"/>
              <w:rPr>
                <w:lang w:eastAsia="en-AU"/>
              </w:rPr>
            </w:pPr>
            <w:r w:rsidRPr="00D26F42">
              <w:rPr>
                <w:lang w:eastAsia="en-AU"/>
              </w:rPr>
              <w:t>926</w:t>
            </w:r>
          </w:p>
        </w:tc>
        <w:tc>
          <w:tcPr>
            <w:tcW w:w="571" w:type="pct"/>
            <w:tcBorders>
              <w:top w:val="nil"/>
              <w:left w:val="nil"/>
              <w:bottom w:val="single" w:sz="4" w:space="0" w:color="auto"/>
              <w:right w:val="nil"/>
            </w:tcBorders>
            <w:shd w:val="clear" w:color="auto" w:fill="auto"/>
            <w:vAlign w:val="center"/>
            <w:hideMark/>
          </w:tcPr>
          <w:p w14:paraId="1AC66673" w14:textId="77777777" w:rsidR="00056CBE" w:rsidRPr="00D26F42" w:rsidRDefault="00056CBE" w:rsidP="00E24E06">
            <w:pPr>
              <w:pStyle w:val="TableText"/>
              <w:jc w:val="right"/>
              <w:rPr>
                <w:lang w:eastAsia="en-AU"/>
              </w:rPr>
            </w:pPr>
            <w:r w:rsidRPr="00D26F42">
              <w:rPr>
                <w:lang w:eastAsia="en-AU"/>
              </w:rPr>
              <w:t>876</w:t>
            </w:r>
          </w:p>
        </w:tc>
        <w:tc>
          <w:tcPr>
            <w:tcW w:w="581" w:type="pct"/>
            <w:tcBorders>
              <w:top w:val="nil"/>
              <w:left w:val="nil"/>
              <w:bottom w:val="single" w:sz="4" w:space="0" w:color="auto"/>
              <w:right w:val="nil"/>
            </w:tcBorders>
            <w:shd w:val="clear" w:color="auto" w:fill="auto"/>
            <w:vAlign w:val="center"/>
            <w:hideMark/>
          </w:tcPr>
          <w:p w14:paraId="485516A7" w14:textId="77777777" w:rsidR="00056CBE" w:rsidRPr="00D26F42" w:rsidRDefault="00056CBE" w:rsidP="00E24E06">
            <w:pPr>
              <w:pStyle w:val="TableText"/>
              <w:jc w:val="right"/>
              <w:rPr>
                <w:lang w:eastAsia="en-AU"/>
              </w:rPr>
            </w:pPr>
            <w:r w:rsidRPr="00D26F42">
              <w:rPr>
                <w:lang w:eastAsia="en-AU"/>
              </w:rPr>
              <w:t>50</w:t>
            </w:r>
          </w:p>
        </w:tc>
        <w:tc>
          <w:tcPr>
            <w:tcW w:w="480" w:type="pct"/>
            <w:tcBorders>
              <w:top w:val="nil"/>
              <w:left w:val="nil"/>
              <w:bottom w:val="single" w:sz="4" w:space="0" w:color="auto"/>
              <w:right w:val="nil"/>
            </w:tcBorders>
            <w:shd w:val="clear" w:color="auto" w:fill="auto"/>
            <w:vAlign w:val="center"/>
            <w:hideMark/>
          </w:tcPr>
          <w:p w14:paraId="0352EC73" w14:textId="77777777" w:rsidR="00056CBE" w:rsidRPr="00D26F42" w:rsidRDefault="00056CBE" w:rsidP="00E24E06">
            <w:pPr>
              <w:pStyle w:val="TableText"/>
              <w:jc w:val="right"/>
              <w:rPr>
                <w:lang w:eastAsia="en-AU"/>
              </w:rPr>
            </w:pPr>
            <w:r w:rsidRPr="00D26F42">
              <w:rPr>
                <w:lang w:eastAsia="en-AU"/>
              </w:rPr>
              <w:t>6</w:t>
            </w:r>
          </w:p>
        </w:tc>
        <w:tc>
          <w:tcPr>
            <w:tcW w:w="571" w:type="pct"/>
            <w:tcBorders>
              <w:top w:val="nil"/>
              <w:left w:val="nil"/>
              <w:bottom w:val="single" w:sz="4" w:space="0" w:color="auto"/>
              <w:right w:val="nil"/>
            </w:tcBorders>
            <w:shd w:val="clear" w:color="auto" w:fill="auto"/>
            <w:vAlign w:val="center"/>
            <w:hideMark/>
          </w:tcPr>
          <w:p w14:paraId="1F459AD9" w14:textId="77777777" w:rsidR="00056CBE" w:rsidRPr="00D26F42" w:rsidRDefault="00056CBE" w:rsidP="00E24E06">
            <w:pPr>
              <w:pStyle w:val="TableText"/>
              <w:jc w:val="right"/>
              <w:rPr>
                <w:lang w:eastAsia="en-AU"/>
              </w:rPr>
            </w:pPr>
            <w:r w:rsidRPr="00D26F42">
              <w:rPr>
                <w:lang w:eastAsia="en-AU"/>
              </w:rPr>
              <w:t>944</w:t>
            </w:r>
          </w:p>
        </w:tc>
      </w:tr>
      <w:tr w:rsidR="00056CBE" w:rsidRPr="00D26F42" w14:paraId="6D20FEB1" w14:textId="77777777" w:rsidTr="00643528">
        <w:tc>
          <w:tcPr>
            <w:tcW w:w="943" w:type="pct"/>
            <w:vMerge/>
            <w:tcBorders>
              <w:top w:val="nil"/>
              <w:left w:val="nil"/>
              <w:bottom w:val="nil"/>
              <w:right w:val="nil"/>
            </w:tcBorders>
            <w:hideMark/>
          </w:tcPr>
          <w:p w14:paraId="073980DC" w14:textId="77777777" w:rsidR="00056CBE" w:rsidRPr="00D26F42"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441137C3" w14:textId="210BDB2E" w:rsidR="00056CBE" w:rsidRPr="00D26F42" w:rsidRDefault="00056CBE" w:rsidP="00256F28">
            <w:pPr>
              <w:pStyle w:val="TableText"/>
              <w:rPr>
                <w:lang w:eastAsia="en-AU"/>
              </w:rPr>
            </w:pPr>
            <w:r w:rsidRPr="00D26F42">
              <w:rPr>
                <w:lang w:eastAsia="en-AU"/>
              </w:rPr>
              <w:t xml:space="preserve">Establishment – </w:t>
            </w:r>
            <w:r w:rsidR="00F15D2B">
              <w:rPr>
                <w:lang w:eastAsia="en-AU"/>
              </w:rPr>
              <w:t>i</w:t>
            </w:r>
            <w:r w:rsidRPr="00D26F42">
              <w:rPr>
                <w:lang w:eastAsia="en-AU"/>
              </w:rPr>
              <w:t>ndependent boning room</w:t>
            </w:r>
          </w:p>
        </w:tc>
        <w:tc>
          <w:tcPr>
            <w:tcW w:w="571" w:type="pct"/>
            <w:tcBorders>
              <w:top w:val="nil"/>
              <w:left w:val="nil"/>
              <w:bottom w:val="single" w:sz="4" w:space="0" w:color="auto"/>
              <w:right w:val="nil"/>
            </w:tcBorders>
            <w:shd w:val="clear" w:color="auto" w:fill="auto"/>
            <w:vAlign w:val="center"/>
            <w:hideMark/>
          </w:tcPr>
          <w:p w14:paraId="63950463" w14:textId="77777777" w:rsidR="00056CBE" w:rsidRPr="00D26F42" w:rsidRDefault="00056CBE" w:rsidP="00E24E06">
            <w:pPr>
              <w:pStyle w:val="TableText"/>
              <w:jc w:val="right"/>
              <w:rPr>
                <w:lang w:eastAsia="en-AU"/>
              </w:rPr>
            </w:pPr>
            <w:r w:rsidRPr="00D26F42">
              <w:rPr>
                <w:lang w:eastAsia="en-AU"/>
              </w:rPr>
              <w:t>168</w:t>
            </w:r>
          </w:p>
        </w:tc>
        <w:tc>
          <w:tcPr>
            <w:tcW w:w="571" w:type="pct"/>
            <w:tcBorders>
              <w:top w:val="nil"/>
              <w:left w:val="nil"/>
              <w:bottom w:val="single" w:sz="4" w:space="0" w:color="auto"/>
              <w:right w:val="nil"/>
            </w:tcBorders>
            <w:shd w:val="clear" w:color="auto" w:fill="auto"/>
            <w:vAlign w:val="center"/>
            <w:hideMark/>
          </w:tcPr>
          <w:p w14:paraId="66D62DEB" w14:textId="77777777" w:rsidR="00056CBE" w:rsidRPr="00D26F42" w:rsidRDefault="00056CBE" w:rsidP="00E24E06">
            <w:pPr>
              <w:pStyle w:val="TableText"/>
              <w:jc w:val="right"/>
              <w:rPr>
                <w:lang w:eastAsia="en-AU"/>
              </w:rPr>
            </w:pPr>
            <w:r w:rsidRPr="00D26F42">
              <w:rPr>
                <w:lang w:eastAsia="en-AU"/>
              </w:rPr>
              <w:t>194</w:t>
            </w:r>
          </w:p>
        </w:tc>
        <w:tc>
          <w:tcPr>
            <w:tcW w:w="581" w:type="pct"/>
            <w:tcBorders>
              <w:top w:val="nil"/>
              <w:left w:val="nil"/>
              <w:bottom w:val="single" w:sz="4" w:space="0" w:color="auto"/>
              <w:right w:val="nil"/>
            </w:tcBorders>
            <w:shd w:val="clear" w:color="auto" w:fill="auto"/>
            <w:vAlign w:val="center"/>
            <w:hideMark/>
          </w:tcPr>
          <w:p w14:paraId="41AC760D" w14:textId="77777777" w:rsidR="00056CBE" w:rsidRPr="00D26F42" w:rsidRDefault="00056CBE" w:rsidP="00E24E06">
            <w:pPr>
              <w:pStyle w:val="TableText"/>
              <w:jc w:val="right"/>
              <w:rPr>
                <w:lang w:eastAsia="en-AU"/>
              </w:rPr>
            </w:pPr>
            <w:r w:rsidRPr="00D26F42">
              <w:rPr>
                <w:lang w:eastAsia="en-AU"/>
              </w:rPr>
              <w:t>(26)</w:t>
            </w:r>
          </w:p>
        </w:tc>
        <w:tc>
          <w:tcPr>
            <w:tcW w:w="480" w:type="pct"/>
            <w:tcBorders>
              <w:top w:val="nil"/>
              <w:left w:val="nil"/>
              <w:bottom w:val="single" w:sz="4" w:space="0" w:color="auto"/>
              <w:right w:val="nil"/>
            </w:tcBorders>
            <w:shd w:val="clear" w:color="auto" w:fill="auto"/>
            <w:vAlign w:val="center"/>
            <w:hideMark/>
          </w:tcPr>
          <w:p w14:paraId="103996DC" w14:textId="77777777" w:rsidR="00056CBE" w:rsidRPr="00D26F42" w:rsidRDefault="00056CBE" w:rsidP="00E24E06">
            <w:pPr>
              <w:pStyle w:val="TableText"/>
              <w:jc w:val="right"/>
              <w:rPr>
                <w:lang w:eastAsia="en-AU"/>
              </w:rPr>
            </w:pPr>
            <w:r w:rsidRPr="00D26F42">
              <w:rPr>
                <w:lang w:eastAsia="en-AU"/>
              </w:rPr>
              <w:t>(13)</w:t>
            </w:r>
          </w:p>
        </w:tc>
        <w:tc>
          <w:tcPr>
            <w:tcW w:w="571" w:type="pct"/>
            <w:tcBorders>
              <w:top w:val="nil"/>
              <w:left w:val="nil"/>
              <w:bottom w:val="single" w:sz="4" w:space="0" w:color="auto"/>
              <w:right w:val="nil"/>
            </w:tcBorders>
            <w:shd w:val="clear" w:color="auto" w:fill="auto"/>
            <w:vAlign w:val="center"/>
            <w:hideMark/>
          </w:tcPr>
          <w:p w14:paraId="0C5D2A00" w14:textId="77777777" w:rsidR="00056CBE" w:rsidRPr="00D26F42" w:rsidRDefault="00056CBE" w:rsidP="00E24E06">
            <w:pPr>
              <w:pStyle w:val="TableText"/>
              <w:jc w:val="right"/>
              <w:rPr>
                <w:lang w:eastAsia="en-AU"/>
              </w:rPr>
            </w:pPr>
            <w:r w:rsidRPr="00D26F42">
              <w:rPr>
                <w:lang w:eastAsia="en-AU"/>
              </w:rPr>
              <w:t>167</w:t>
            </w:r>
          </w:p>
        </w:tc>
      </w:tr>
      <w:tr w:rsidR="00056CBE" w:rsidRPr="00D26F42" w14:paraId="08921339" w14:textId="77777777" w:rsidTr="00643528">
        <w:tc>
          <w:tcPr>
            <w:tcW w:w="943" w:type="pct"/>
            <w:vMerge/>
            <w:tcBorders>
              <w:top w:val="nil"/>
              <w:left w:val="nil"/>
              <w:bottom w:val="nil"/>
              <w:right w:val="nil"/>
            </w:tcBorders>
            <w:hideMark/>
          </w:tcPr>
          <w:p w14:paraId="25D7AB16" w14:textId="77777777" w:rsidR="00056CBE" w:rsidRPr="00D26F42"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5DCB3C4A" w14:textId="5EE43379" w:rsidR="00056CBE" w:rsidRPr="00D26F42" w:rsidRDefault="00056CBE" w:rsidP="00256F28">
            <w:pPr>
              <w:pStyle w:val="TableText"/>
              <w:rPr>
                <w:lang w:eastAsia="en-AU"/>
              </w:rPr>
            </w:pPr>
            <w:r w:rsidRPr="00D26F42">
              <w:rPr>
                <w:lang w:eastAsia="en-AU"/>
              </w:rPr>
              <w:t xml:space="preserve">Establishment – </w:t>
            </w:r>
            <w:r w:rsidR="00F15D2B">
              <w:rPr>
                <w:lang w:eastAsia="en-AU"/>
              </w:rPr>
              <w:t>c</w:t>
            </w:r>
            <w:r w:rsidRPr="00D26F42">
              <w:rPr>
                <w:lang w:eastAsia="en-AU"/>
              </w:rPr>
              <w:t>asings</w:t>
            </w:r>
          </w:p>
        </w:tc>
        <w:tc>
          <w:tcPr>
            <w:tcW w:w="571" w:type="pct"/>
            <w:tcBorders>
              <w:top w:val="nil"/>
              <w:left w:val="nil"/>
              <w:bottom w:val="single" w:sz="4" w:space="0" w:color="auto"/>
              <w:right w:val="nil"/>
            </w:tcBorders>
            <w:shd w:val="clear" w:color="auto" w:fill="auto"/>
            <w:vAlign w:val="center"/>
            <w:hideMark/>
          </w:tcPr>
          <w:p w14:paraId="58D4BFCB" w14:textId="77777777" w:rsidR="00056CBE" w:rsidRPr="00D26F42" w:rsidRDefault="00056CBE" w:rsidP="00E24E06">
            <w:pPr>
              <w:pStyle w:val="TableText"/>
              <w:jc w:val="right"/>
              <w:rPr>
                <w:lang w:eastAsia="en-AU"/>
              </w:rPr>
            </w:pPr>
            <w:r w:rsidRPr="00D26F42">
              <w:rPr>
                <w:lang w:eastAsia="en-AU"/>
              </w:rPr>
              <w:t>84</w:t>
            </w:r>
          </w:p>
        </w:tc>
        <w:tc>
          <w:tcPr>
            <w:tcW w:w="571" w:type="pct"/>
            <w:tcBorders>
              <w:top w:val="nil"/>
              <w:left w:val="nil"/>
              <w:bottom w:val="single" w:sz="4" w:space="0" w:color="auto"/>
              <w:right w:val="nil"/>
            </w:tcBorders>
            <w:shd w:val="clear" w:color="auto" w:fill="auto"/>
            <w:vAlign w:val="center"/>
            <w:hideMark/>
          </w:tcPr>
          <w:p w14:paraId="74CEB193" w14:textId="77777777" w:rsidR="00056CBE" w:rsidRPr="00D26F42" w:rsidRDefault="00056CBE" w:rsidP="00E24E06">
            <w:pPr>
              <w:pStyle w:val="TableText"/>
              <w:jc w:val="right"/>
              <w:rPr>
                <w:lang w:eastAsia="en-AU"/>
              </w:rPr>
            </w:pPr>
            <w:r w:rsidRPr="00D26F42">
              <w:rPr>
                <w:lang w:eastAsia="en-AU"/>
              </w:rPr>
              <w:t>96</w:t>
            </w:r>
          </w:p>
        </w:tc>
        <w:tc>
          <w:tcPr>
            <w:tcW w:w="581" w:type="pct"/>
            <w:tcBorders>
              <w:top w:val="nil"/>
              <w:left w:val="nil"/>
              <w:bottom w:val="single" w:sz="4" w:space="0" w:color="auto"/>
              <w:right w:val="nil"/>
            </w:tcBorders>
            <w:shd w:val="clear" w:color="auto" w:fill="auto"/>
            <w:vAlign w:val="center"/>
            <w:hideMark/>
          </w:tcPr>
          <w:p w14:paraId="387F44A5" w14:textId="77777777" w:rsidR="00056CBE" w:rsidRPr="00D26F42" w:rsidRDefault="00056CBE" w:rsidP="00E24E06">
            <w:pPr>
              <w:pStyle w:val="TableText"/>
              <w:jc w:val="right"/>
              <w:rPr>
                <w:lang w:eastAsia="en-AU"/>
              </w:rPr>
            </w:pPr>
            <w:r w:rsidRPr="00D26F42">
              <w:rPr>
                <w:lang w:eastAsia="en-AU"/>
              </w:rPr>
              <w:t>(12)</w:t>
            </w:r>
          </w:p>
        </w:tc>
        <w:tc>
          <w:tcPr>
            <w:tcW w:w="480" w:type="pct"/>
            <w:tcBorders>
              <w:top w:val="nil"/>
              <w:left w:val="nil"/>
              <w:bottom w:val="single" w:sz="4" w:space="0" w:color="auto"/>
              <w:right w:val="nil"/>
            </w:tcBorders>
            <w:shd w:val="clear" w:color="auto" w:fill="auto"/>
            <w:vAlign w:val="center"/>
            <w:hideMark/>
          </w:tcPr>
          <w:p w14:paraId="05794BAE" w14:textId="77777777" w:rsidR="00056CBE" w:rsidRPr="00D26F42" w:rsidRDefault="00056CBE" w:rsidP="00E24E06">
            <w:pPr>
              <w:pStyle w:val="TableText"/>
              <w:jc w:val="right"/>
              <w:rPr>
                <w:lang w:eastAsia="en-AU"/>
              </w:rPr>
            </w:pPr>
            <w:r w:rsidRPr="00D26F42">
              <w:rPr>
                <w:lang w:eastAsia="en-AU"/>
              </w:rPr>
              <w:t>(13)</w:t>
            </w:r>
          </w:p>
        </w:tc>
        <w:tc>
          <w:tcPr>
            <w:tcW w:w="571" w:type="pct"/>
            <w:tcBorders>
              <w:top w:val="nil"/>
              <w:left w:val="nil"/>
              <w:bottom w:val="single" w:sz="4" w:space="0" w:color="auto"/>
              <w:right w:val="nil"/>
            </w:tcBorders>
            <w:shd w:val="clear" w:color="auto" w:fill="auto"/>
            <w:vAlign w:val="center"/>
            <w:hideMark/>
          </w:tcPr>
          <w:p w14:paraId="19590E9B" w14:textId="77777777" w:rsidR="00056CBE" w:rsidRPr="00D26F42" w:rsidRDefault="00056CBE" w:rsidP="00E24E06">
            <w:pPr>
              <w:pStyle w:val="TableText"/>
              <w:jc w:val="right"/>
              <w:rPr>
                <w:lang w:eastAsia="en-AU"/>
              </w:rPr>
            </w:pPr>
            <w:r w:rsidRPr="00D26F42">
              <w:rPr>
                <w:lang w:eastAsia="en-AU"/>
              </w:rPr>
              <w:t>96</w:t>
            </w:r>
          </w:p>
        </w:tc>
      </w:tr>
      <w:tr w:rsidR="00056CBE" w:rsidRPr="00D26F42" w14:paraId="47B2A830" w14:textId="77777777" w:rsidTr="00643528">
        <w:tc>
          <w:tcPr>
            <w:tcW w:w="943" w:type="pct"/>
            <w:vMerge/>
            <w:tcBorders>
              <w:top w:val="nil"/>
              <w:left w:val="nil"/>
              <w:bottom w:val="nil"/>
              <w:right w:val="nil"/>
            </w:tcBorders>
            <w:hideMark/>
          </w:tcPr>
          <w:p w14:paraId="66F82D0C" w14:textId="77777777" w:rsidR="00056CBE" w:rsidRPr="00D26F42"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59E5202A" w14:textId="739798E6" w:rsidR="00056CBE" w:rsidRPr="00D26F42" w:rsidRDefault="00056CBE" w:rsidP="00256F28">
            <w:pPr>
              <w:pStyle w:val="TableText"/>
              <w:rPr>
                <w:lang w:eastAsia="en-AU"/>
              </w:rPr>
            </w:pPr>
            <w:r w:rsidRPr="00D26F42">
              <w:rPr>
                <w:lang w:eastAsia="en-AU"/>
              </w:rPr>
              <w:t xml:space="preserve">Establishment – </w:t>
            </w:r>
            <w:r w:rsidR="00F15D2B">
              <w:rPr>
                <w:lang w:eastAsia="en-AU"/>
              </w:rPr>
              <w:t>s</w:t>
            </w:r>
            <w:r w:rsidRPr="00D26F42">
              <w:rPr>
                <w:lang w:eastAsia="en-AU"/>
              </w:rPr>
              <w:t>torage and transport</w:t>
            </w:r>
          </w:p>
        </w:tc>
        <w:tc>
          <w:tcPr>
            <w:tcW w:w="571" w:type="pct"/>
            <w:tcBorders>
              <w:top w:val="nil"/>
              <w:left w:val="nil"/>
              <w:bottom w:val="single" w:sz="4" w:space="0" w:color="auto"/>
              <w:right w:val="nil"/>
            </w:tcBorders>
            <w:shd w:val="clear" w:color="auto" w:fill="auto"/>
            <w:vAlign w:val="center"/>
            <w:hideMark/>
          </w:tcPr>
          <w:p w14:paraId="460FE04C" w14:textId="77777777" w:rsidR="00056CBE" w:rsidRPr="00D26F42" w:rsidRDefault="00056CBE" w:rsidP="00E24E06">
            <w:pPr>
              <w:pStyle w:val="TableText"/>
              <w:jc w:val="right"/>
              <w:rPr>
                <w:lang w:eastAsia="en-AU"/>
              </w:rPr>
            </w:pPr>
            <w:r w:rsidRPr="00D26F42">
              <w:rPr>
                <w:lang w:eastAsia="en-AU"/>
              </w:rPr>
              <w:t>1,846</w:t>
            </w:r>
          </w:p>
        </w:tc>
        <w:tc>
          <w:tcPr>
            <w:tcW w:w="571" w:type="pct"/>
            <w:tcBorders>
              <w:top w:val="nil"/>
              <w:left w:val="nil"/>
              <w:bottom w:val="single" w:sz="4" w:space="0" w:color="auto"/>
              <w:right w:val="nil"/>
            </w:tcBorders>
            <w:shd w:val="clear" w:color="auto" w:fill="auto"/>
            <w:vAlign w:val="center"/>
            <w:hideMark/>
          </w:tcPr>
          <w:p w14:paraId="6A1C92CE" w14:textId="77777777" w:rsidR="00056CBE" w:rsidRPr="00D26F42" w:rsidRDefault="00056CBE" w:rsidP="00E24E06">
            <w:pPr>
              <w:pStyle w:val="TableText"/>
              <w:jc w:val="right"/>
              <w:rPr>
                <w:lang w:eastAsia="en-AU"/>
              </w:rPr>
            </w:pPr>
            <w:r w:rsidRPr="00D26F42">
              <w:rPr>
                <w:lang w:eastAsia="en-AU"/>
              </w:rPr>
              <w:t>1,641</w:t>
            </w:r>
          </w:p>
        </w:tc>
        <w:tc>
          <w:tcPr>
            <w:tcW w:w="581" w:type="pct"/>
            <w:tcBorders>
              <w:top w:val="nil"/>
              <w:left w:val="nil"/>
              <w:bottom w:val="single" w:sz="4" w:space="0" w:color="auto"/>
              <w:right w:val="nil"/>
            </w:tcBorders>
            <w:shd w:val="clear" w:color="auto" w:fill="auto"/>
            <w:vAlign w:val="center"/>
            <w:hideMark/>
          </w:tcPr>
          <w:p w14:paraId="6538E8D0" w14:textId="77777777" w:rsidR="00056CBE" w:rsidRPr="00D26F42" w:rsidRDefault="00056CBE" w:rsidP="00E24E06">
            <w:pPr>
              <w:pStyle w:val="TableText"/>
              <w:jc w:val="right"/>
              <w:rPr>
                <w:lang w:eastAsia="en-AU"/>
              </w:rPr>
            </w:pPr>
            <w:r w:rsidRPr="00D26F42">
              <w:rPr>
                <w:lang w:eastAsia="en-AU"/>
              </w:rPr>
              <w:t>205</w:t>
            </w:r>
          </w:p>
        </w:tc>
        <w:tc>
          <w:tcPr>
            <w:tcW w:w="480" w:type="pct"/>
            <w:tcBorders>
              <w:top w:val="nil"/>
              <w:left w:val="nil"/>
              <w:bottom w:val="single" w:sz="4" w:space="0" w:color="auto"/>
              <w:right w:val="nil"/>
            </w:tcBorders>
            <w:shd w:val="clear" w:color="auto" w:fill="auto"/>
            <w:vAlign w:val="center"/>
            <w:hideMark/>
          </w:tcPr>
          <w:p w14:paraId="534856B1" w14:textId="77777777" w:rsidR="00056CBE" w:rsidRPr="00D26F42" w:rsidRDefault="00056CBE" w:rsidP="00E24E06">
            <w:pPr>
              <w:pStyle w:val="TableText"/>
              <w:jc w:val="right"/>
              <w:rPr>
                <w:lang w:eastAsia="en-AU"/>
              </w:rPr>
            </w:pPr>
            <w:r w:rsidRPr="00D26F42">
              <w:rPr>
                <w:lang w:eastAsia="en-AU"/>
              </w:rPr>
              <w:t>12</w:t>
            </w:r>
          </w:p>
        </w:tc>
        <w:tc>
          <w:tcPr>
            <w:tcW w:w="571" w:type="pct"/>
            <w:tcBorders>
              <w:top w:val="nil"/>
              <w:left w:val="nil"/>
              <w:bottom w:val="single" w:sz="4" w:space="0" w:color="auto"/>
              <w:right w:val="nil"/>
            </w:tcBorders>
            <w:shd w:val="clear" w:color="auto" w:fill="auto"/>
            <w:vAlign w:val="center"/>
            <w:hideMark/>
          </w:tcPr>
          <w:p w14:paraId="1932AA0E" w14:textId="77777777" w:rsidR="00056CBE" w:rsidRPr="00D26F42" w:rsidRDefault="00056CBE" w:rsidP="00E24E06">
            <w:pPr>
              <w:pStyle w:val="TableText"/>
              <w:jc w:val="right"/>
              <w:rPr>
                <w:lang w:eastAsia="en-AU"/>
              </w:rPr>
            </w:pPr>
            <w:r w:rsidRPr="00D26F42">
              <w:rPr>
                <w:lang w:eastAsia="en-AU"/>
              </w:rPr>
              <w:t>1,772</w:t>
            </w:r>
          </w:p>
        </w:tc>
      </w:tr>
      <w:tr w:rsidR="00056CBE" w:rsidRPr="00D26F42" w14:paraId="23996E5E" w14:textId="77777777" w:rsidTr="00643528">
        <w:tc>
          <w:tcPr>
            <w:tcW w:w="943" w:type="pct"/>
            <w:vMerge/>
            <w:tcBorders>
              <w:top w:val="nil"/>
              <w:left w:val="nil"/>
              <w:bottom w:val="nil"/>
              <w:right w:val="nil"/>
            </w:tcBorders>
            <w:hideMark/>
          </w:tcPr>
          <w:p w14:paraId="2BEB0FC2" w14:textId="77777777" w:rsidR="00056CBE" w:rsidRPr="00D26F42"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73C8428A" w14:textId="19D197A2" w:rsidR="00056CBE" w:rsidRPr="00D26F42" w:rsidRDefault="00056CBE" w:rsidP="00256F28">
            <w:pPr>
              <w:pStyle w:val="TableText"/>
              <w:rPr>
                <w:lang w:eastAsia="en-AU"/>
              </w:rPr>
            </w:pPr>
            <w:r w:rsidRPr="00D26F42">
              <w:rPr>
                <w:lang w:eastAsia="en-AU"/>
              </w:rPr>
              <w:t xml:space="preserve">Establishment – </w:t>
            </w:r>
            <w:r w:rsidR="00F15D2B">
              <w:rPr>
                <w:lang w:eastAsia="en-AU"/>
              </w:rPr>
              <w:t>a</w:t>
            </w:r>
            <w:r w:rsidRPr="00D26F42">
              <w:rPr>
                <w:lang w:eastAsia="en-AU"/>
              </w:rPr>
              <w:t>battoir</w:t>
            </w:r>
          </w:p>
        </w:tc>
        <w:tc>
          <w:tcPr>
            <w:tcW w:w="571" w:type="pct"/>
            <w:tcBorders>
              <w:top w:val="nil"/>
              <w:left w:val="nil"/>
              <w:bottom w:val="single" w:sz="4" w:space="0" w:color="auto"/>
              <w:right w:val="nil"/>
            </w:tcBorders>
            <w:shd w:val="clear" w:color="auto" w:fill="auto"/>
            <w:vAlign w:val="center"/>
            <w:hideMark/>
          </w:tcPr>
          <w:p w14:paraId="64ADA9C2" w14:textId="77777777" w:rsidR="00056CBE" w:rsidRPr="00D26F42" w:rsidRDefault="00056CBE" w:rsidP="00E24E06">
            <w:pPr>
              <w:pStyle w:val="TableText"/>
              <w:jc w:val="right"/>
              <w:rPr>
                <w:lang w:eastAsia="en-AU"/>
              </w:rPr>
            </w:pPr>
            <w:r w:rsidRPr="00D26F42">
              <w:rPr>
                <w:lang w:eastAsia="en-AU"/>
              </w:rPr>
              <w:t>1,136</w:t>
            </w:r>
          </w:p>
        </w:tc>
        <w:tc>
          <w:tcPr>
            <w:tcW w:w="571" w:type="pct"/>
            <w:tcBorders>
              <w:top w:val="nil"/>
              <w:left w:val="nil"/>
              <w:bottom w:val="single" w:sz="4" w:space="0" w:color="auto"/>
              <w:right w:val="nil"/>
            </w:tcBorders>
            <w:shd w:val="clear" w:color="auto" w:fill="auto"/>
            <w:vAlign w:val="center"/>
            <w:hideMark/>
          </w:tcPr>
          <w:p w14:paraId="75565A9B" w14:textId="77777777" w:rsidR="00056CBE" w:rsidRPr="00D26F42" w:rsidRDefault="00056CBE" w:rsidP="00E24E06">
            <w:pPr>
              <w:pStyle w:val="TableText"/>
              <w:jc w:val="right"/>
              <w:rPr>
                <w:lang w:eastAsia="en-AU"/>
              </w:rPr>
            </w:pPr>
            <w:r w:rsidRPr="00D26F42">
              <w:rPr>
                <w:lang w:eastAsia="en-AU"/>
              </w:rPr>
              <w:t>880</w:t>
            </w:r>
          </w:p>
        </w:tc>
        <w:tc>
          <w:tcPr>
            <w:tcW w:w="581" w:type="pct"/>
            <w:tcBorders>
              <w:top w:val="nil"/>
              <w:left w:val="nil"/>
              <w:bottom w:val="single" w:sz="4" w:space="0" w:color="auto"/>
              <w:right w:val="nil"/>
            </w:tcBorders>
            <w:shd w:val="clear" w:color="auto" w:fill="auto"/>
            <w:vAlign w:val="center"/>
            <w:hideMark/>
          </w:tcPr>
          <w:p w14:paraId="0CDED211" w14:textId="77777777" w:rsidR="00056CBE" w:rsidRPr="00D26F42" w:rsidRDefault="00056CBE" w:rsidP="00E24E06">
            <w:pPr>
              <w:pStyle w:val="TableText"/>
              <w:jc w:val="right"/>
              <w:rPr>
                <w:lang w:eastAsia="en-AU"/>
              </w:rPr>
            </w:pPr>
            <w:r w:rsidRPr="00D26F42">
              <w:rPr>
                <w:lang w:eastAsia="en-AU"/>
              </w:rPr>
              <w:t>256</w:t>
            </w:r>
          </w:p>
        </w:tc>
        <w:tc>
          <w:tcPr>
            <w:tcW w:w="480" w:type="pct"/>
            <w:tcBorders>
              <w:top w:val="nil"/>
              <w:left w:val="nil"/>
              <w:bottom w:val="single" w:sz="4" w:space="0" w:color="auto"/>
              <w:right w:val="nil"/>
            </w:tcBorders>
            <w:shd w:val="clear" w:color="auto" w:fill="auto"/>
            <w:vAlign w:val="center"/>
            <w:hideMark/>
          </w:tcPr>
          <w:p w14:paraId="5B2D7D10" w14:textId="77777777" w:rsidR="00056CBE" w:rsidRPr="00D26F42" w:rsidRDefault="00056CBE" w:rsidP="00E24E06">
            <w:pPr>
              <w:pStyle w:val="TableText"/>
              <w:jc w:val="right"/>
              <w:rPr>
                <w:lang w:eastAsia="en-AU"/>
              </w:rPr>
            </w:pPr>
            <w:r w:rsidRPr="00D26F42">
              <w:rPr>
                <w:lang w:eastAsia="en-AU"/>
              </w:rPr>
              <w:t>29</w:t>
            </w:r>
          </w:p>
        </w:tc>
        <w:tc>
          <w:tcPr>
            <w:tcW w:w="571" w:type="pct"/>
            <w:tcBorders>
              <w:top w:val="nil"/>
              <w:left w:val="nil"/>
              <w:bottom w:val="single" w:sz="4" w:space="0" w:color="auto"/>
              <w:right w:val="nil"/>
            </w:tcBorders>
            <w:shd w:val="clear" w:color="auto" w:fill="auto"/>
            <w:vAlign w:val="center"/>
            <w:hideMark/>
          </w:tcPr>
          <w:p w14:paraId="7B23B310" w14:textId="77777777" w:rsidR="00056CBE" w:rsidRPr="00D26F42" w:rsidRDefault="00056CBE" w:rsidP="00E24E06">
            <w:pPr>
              <w:pStyle w:val="TableText"/>
              <w:jc w:val="right"/>
              <w:rPr>
                <w:lang w:eastAsia="en-AU"/>
              </w:rPr>
            </w:pPr>
            <w:r w:rsidRPr="00D26F42">
              <w:rPr>
                <w:lang w:eastAsia="en-AU"/>
              </w:rPr>
              <w:t>1,107</w:t>
            </w:r>
          </w:p>
        </w:tc>
      </w:tr>
      <w:tr w:rsidR="00056CBE" w:rsidRPr="00D26F42" w14:paraId="297F893A" w14:textId="77777777" w:rsidTr="00643528">
        <w:tc>
          <w:tcPr>
            <w:tcW w:w="943" w:type="pct"/>
            <w:vMerge/>
            <w:tcBorders>
              <w:top w:val="nil"/>
              <w:left w:val="nil"/>
              <w:bottom w:val="nil"/>
              <w:right w:val="nil"/>
            </w:tcBorders>
            <w:hideMark/>
          </w:tcPr>
          <w:p w14:paraId="502BC1DF" w14:textId="77777777" w:rsidR="00056CBE" w:rsidRPr="00D26F42"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39B96AEB" w14:textId="7031635C" w:rsidR="00056CBE" w:rsidRPr="00D26F42" w:rsidRDefault="00056CBE" w:rsidP="00256F28">
            <w:pPr>
              <w:pStyle w:val="TableText"/>
              <w:rPr>
                <w:lang w:eastAsia="en-AU"/>
              </w:rPr>
            </w:pPr>
            <w:r w:rsidRPr="00D26F42">
              <w:rPr>
                <w:lang w:eastAsia="en-AU"/>
              </w:rPr>
              <w:t>Through</w:t>
            </w:r>
            <w:r w:rsidR="009738CA">
              <w:rPr>
                <w:lang w:eastAsia="en-AU"/>
              </w:rPr>
              <w:t>p</w:t>
            </w:r>
            <w:r w:rsidRPr="00D26F42">
              <w:rPr>
                <w:lang w:eastAsia="en-AU"/>
              </w:rPr>
              <w:t xml:space="preserve">ut – </w:t>
            </w:r>
            <w:r w:rsidR="00F15D2B">
              <w:rPr>
                <w:lang w:eastAsia="en-AU"/>
              </w:rPr>
              <w:t>f</w:t>
            </w:r>
            <w:r w:rsidRPr="00D26F42">
              <w:rPr>
                <w:lang w:eastAsia="en-AU"/>
              </w:rPr>
              <w:t xml:space="preserve">ull </w:t>
            </w:r>
            <w:r w:rsidR="00F15D2B">
              <w:rPr>
                <w:lang w:eastAsia="en-AU"/>
              </w:rPr>
              <w:t>u</w:t>
            </w:r>
            <w:r w:rsidRPr="00D26F42">
              <w:rPr>
                <w:lang w:eastAsia="en-AU"/>
              </w:rPr>
              <w:t>nit (</w:t>
            </w:r>
            <w:r w:rsidR="00F15D2B">
              <w:rPr>
                <w:lang w:eastAsia="en-AU"/>
              </w:rPr>
              <w:t>c</w:t>
            </w:r>
            <w:r w:rsidRPr="00D26F42">
              <w:rPr>
                <w:lang w:eastAsia="en-AU"/>
              </w:rPr>
              <w:t>attle/</w:t>
            </w:r>
            <w:r w:rsidR="00F15D2B">
              <w:rPr>
                <w:lang w:eastAsia="en-AU"/>
              </w:rPr>
              <w:t>b</w:t>
            </w:r>
            <w:r w:rsidRPr="00D26F42">
              <w:rPr>
                <w:lang w:eastAsia="en-AU"/>
              </w:rPr>
              <w:t>uffalo/</w:t>
            </w:r>
            <w:r w:rsidR="00F15D2B">
              <w:rPr>
                <w:lang w:eastAsia="en-AU"/>
              </w:rPr>
              <w:t>c</w:t>
            </w:r>
            <w:r w:rsidRPr="00D26F42">
              <w:rPr>
                <w:lang w:eastAsia="en-AU"/>
              </w:rPr>
              <w:t>amel)</w:t>
            </w:r>
          </w:p>
        </w:tc>
        <w:tc>
          <w:tcPr>
            <w:tcW w:w="571" w:type="pct"/>
            <w:tcBorders>
              <w:top w:val="nil"/>
              <w:left w:val="nil"/>
              <w:bottom w:val="single" w:sz="4" w:space="0" w:color="auto"/>
              <w:right w:val="nil"/>
            </w:tcBorders>
            <w:shd w:val="clear" w:color="auto" w:fill="auto"/>
            <w:vAlign w:val="center"/>
            <w:hideMark/>
          </w:tcPr>
          <w:p w14:paraId="19478A39" w14:textId="77777777" w:rsidR="00056CBE" w:rsidRPr="00D26F42" w:rsidRDefault="00056CBE" w:rsidP="00E24E06">
            <w:pPr>
              <w:pStyle w:val="TableText"/>
              <w:jc w:val="right"/>
              <w:rPr>
                <w:lang w:eastAsia="en-AU"/>
              </w:rPr>
            </w:pPr>
            <w:r w:rsidRPr="00D26F42">
              <w:rPr>
                <w:lang w:eastAsia="en-AU"/>
              </w:rPr>
              <w:t>7,381,435</w:t>
            </w:r>
          </w:p>
        </w:tc>
        <w:tc>
          <w:tcPr>
            <w:tcW w:w="571" w:type="pct"/>
            <w:tcBorders>
              <w:top w:val="nil"/>
              <w:left w:val="nil"/>
              <w:bottom w:val="single" w:sz="4" w:space="0" w:color="auto"/>
              <w:right w:val="nil"/>
            </w:tcBorders>
            <w:shd w:val="clear" w:color="auto" w:fill="auto"/>
            <w:vAlign w:val="center"/>
            <w:hideMark/>
          </w:tcPr>
          <w:p w14:paraId="688E5FCE" w14:textId="77777777" w:rsidR="00056CBE" w:rsidRPr="00D26F42" w:rsidRDefault="00056CBE" w:rsidP="00E24E06">
            <w:pPr>
              <w:pStyle w:val="TableText"/>
              <w:jc w:val="right"/>
              <w:rPr>
                <w:lang w:eastAsia="en-AU"/>
              </w:rPr>
            </w:pPr>
            <w:r w:rsidRPr="00D26F42">
              <w:rPr>
                <w:lang w:eastAsia="en-AU"/>
              </w:rPr>
              <w:t>6,393,188</w:t>
            </w:r>
          </w:p>
        </w:tc>
        <w:tc>
          <w:tcPr>
            <w:tcW w:w="581" w:type="pct"/>
            <w:tcBorders>
              <w:top w:val="nil"/>
              <w:left w:val="nil"/>
              <w:bottom w:val="single" w:sz="4" w:space="0" w:color="auto"/>
              <w:right w:val="nil"/>
            </w:tcBorders>
            <w:shd w:val="clear" w:color="auto" w:fill="auto"/>
            <w:vAlign w:val="center"/>
            <w:hideMark/>
          </w:tcPr>
          <w:p w14:paraId="38FE5D65" w14:textId="77777777" w:rsidR="00056CBE" w:rsidRPr="00D26F42" w:rsidRDefault="00056CBE" w:rsidP="00E24E06">
            <w:pPr>
              <w:pStyle w:val="TableText"/>
              <w:jc w:val="right"/>
              <w:rPr>
                <w:lang w:eastAsia="en-AU"/>
              </w:rPr>
            </w:pPr>
            <w:r w:rsidRPr="00D26F42">
              <w:rPr>
                <w:lang w:eastAsia="en-AU"/>
              </w:rPr>
              <w:t>988,247</w:t>
            </w:r>
          </w:p>
        </w:tc>
        <w:tc>
          <w:tcPr>
            <w:tcW w:w="480" w:type="pct"/>
            <w:tcBorders>
              <w:top w:val="nil"/>
              <w:left w:val="nil"/>
              <w:bottom w:val="single" w:sz="4" w:space="0" w:color="auto"/>
              <w:right w:val="nil"/>
            </w:tcBorders>
            <w:shd w:val="clear" w:color="auto" w:fill="auto"/>
            <w:vAlign w:val="center"/>
            <w:hideMark/>
          </w:tcPr>
          <w:p w14:paraId="1151B353" w14:textId="77777777" w:rsidR="00056CBE" w:rsidRPr="00D26F42" w:rsidRDefault="00056CBE" w:rsidP="00E24E06">
            <w:pPr>
              <w:pStyle w:val="TableText"/>
              <w:jc w:val="right"/>
              <w:rPr>
                <w:lang w:eastAsia="en-AU"/>
              </w:rPr>
            </w:pPr>
            <w:r w:rsidRPr="00D26F42">
              <w:rPr>
                <w:lang w:eastAsia="en-AU"/>
              </w:rPr>
              <w:t>15</w:t>
            </w:r>
          </w:p>
        </w:tc>
        <w:tc>
          <w:tcPr>
            <w:tcW w:w="571" w:type="pct"/>
            <w:tcBorders>
              <w:top w:val="nil"/>
              <w:left w:val="nil"/>
              <w:bottom w:val="single" w:sz="4" w:space="0" w:color="auto"/>
              <w:right w:val="nil"/>
            </w:tcBorders>
            <w:shd w:val="clear" w:color="auto" w:fill="auto"/>
            <w:vAlign w:val="center"/>
            <w:hideMark/>
          </w:tcPr>
          <w:p w14:paraId="06594382" w14:textId="77777777" w:rsidR="00056CBE" w:rsidRPr="00D26F42" w:rsidRDefault="00056CBE" w:rsidP="00E24E06">
            <w:pPr>
              <w:pStyle w:val="TableText"/>
              <w:jc w:val="right"/>
              <w:rPr>
                <w:lang w:eastAsia="en-AU"/>
              </w:rPr>
            </w:pPr>
            <w:r w:rsidRPr="00D26F42">
              <w:rPr>
                <w:lang w:eastAsia="en-AU"/>
              </w:rPr>
              <w:t>6,160,450</w:t>
            </w:r>
          </w:p>
        </w:tc>
      </w:tr>
      <w:tr w:rsidR="00056CBE" w:rsidRPr="00643528" w14:paraId="4EF65504" w14:textId="77777777" w:rsidTr="00643528">
        <w:tc>
          <w:tcPr>
            <w:tcW w:w="943" w:type="pct"/>
            <w:vMerge/>
            <w:tcBorders>
              <w:top w:val="nil"/>
              <w:left w:val="nil"/>
              <w:bottom w:val="nil"/>
              <w:right w:val="nil"/>
            </w:tcBorders>
            <w:hideMark/>
          </w:tcPr>
          <w:p w14:paraId="1CC035FD" w14:textId="77777777" w:rsidR="00056CBE" w:rsidRPr="00D26F42"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14E3DC11" w14:textId="3C33ED48" w:rsidR="00056CBE" w:rsidRPr="00643528" w:rsidRDefault="00056CBE" w:rsidP="00256F28">
            <w:pPr>
              <w:pStyle w:val="TableText"/>
              <w:rPr>
                <w:lang w:eastAsia="en-AU"/>
              </w:rPr>
            </w:pPr>
            <w:r w:rsidRPr="00643528">
              <w:rPr>
                <w:lang w:eastAsia="en-AU"/>
              </w:rPr>
              <w:t>Through</w:t>
            </w:r>
            <w:r w:rsidR="003B2E54">
              <w:rPr>
                <w:lang w:eastAsia="en-AU"/>
              </w:rPr>
              <w:t>p</w:t>
            </w:r>
            <w:r w:rsidRPr="00643528">
              <w:rPr>
                <w:lang w:eastAsia="en-AU"/>
              </w:rPr>
              <w:t xml:space="preserve">ut – </w:t>
            </w:r>
            <w:r w:rsidR="00F15D2B" w:rsidRPr="00643528">
              <w:rPr>
                <w:lang w:eastAsia="en-AU"/>
              </w:rPr>
              <w:t>p</w:t>
            </w:r>
            <w:r w:rsidRPr="00643528">
              <w:rPr>
                <w:lang w:eastAsia="en-AU"/>
              </w:rPr>
              <w:t>ig</w:t>
            </w:r>
          </w:p>
        </w:tc>
        <w:tc>
          <w:tcPr>
            <w:tcW w:w="571" w:type="pct"/>
            <w:tcBorders>
              <w:top w:val="nil"/>
              <w:left w:val="nil"/>
              <w:bottom w:val="single" w:sz="4" w:space="0" w:color="auto"/>
              <w:right w:val="nil"/>
            </w:tcBorders>
            <w:shd w:val="clear" w:color="auto" w:fill="auto"/>
            <w:vAlign w:val="center"/>
            <w:hideMark/>
          </w:tcPr>
          <w:p w14:paraId="047E31A6" w14:textId="77777777" w:rsidR="00056CBE" w:rsidRPr="00643528" w:rsidRDefault="00056CBE" w:rsidP="00E24E06">
            <w:pPr>
              <w:pStyle w:val="TableText"/>
              <w:jc w:val="right"/>
              <w:rPr>
                <w:lang w:eastAsia="en-AU"/>
              </w:rPr>
            </w:pPr>
            <w:r w:rsidRPr="00643528">
              <w:rPr>
                <w:lang w:eastAsia="en-AU"/>
              </w:rPr>
              <w:t>5,108,195</w:t>
            </w:r>
          </w:p>
        </w:tc>
        <w:tc>
          <w:tcPr>
            <w:tcW w:w="571" w:type="pct"/>
            <w:tcBorders>
              <w:top w:val="nil"/>
              <w:left w:val="nil"/>
              <w:bottom w:val="single" w:sz="4" w:space="0" w:color="auto"/>
              <w:right w:val="nil"/>
            </w:tcBorders>
            <w:shd w:val="clear" w:color="auto" w:fill="auto"/>
            <w:vAlign w:val="center"/>
            <w:hideMark/>
          </w:tcPr>
          <w:p w14:paraId="78436CFE" w14:textId="77777777" w:rsidR="00056CBE" w:rsidRPr="00643528" w:rsidRDefault="00056CBE" w:rsidP="00E24E06">
            <w:pPr>
              <w:pStyle w:val="TableText"/>
              <w:jc w:val="right"/>
              <w:rPr>
                <w:lang w:eastAsia="en-AU"/>
              </w:rPr>
            </w:pPr>
            <w:r w:rsidRPr="00643528">
              <w:rPr>
                <w:lang w:eastAsia="en-AU"/>
              </w:rPr>
              <w:t>3,788,152</w:t>
            </w:r>
          </w:p>
        </w:tc>
        <w:tc>
          <w:tcPr>
            <w:tcW w:w="581" w:type="pct"/>
            <w:tcBorders>
              <w:top w:val="nil"/>
              <w:left w:val="nil"/>
              <w:bottom w:val="single" w:sz="4" w:space="0" w:color="auto"/>
              <w:right w:val="nil"/>
            </w:tcBorders>
            <w:shd w:val="clear" w:color="auto" w:fill="auto"/>
            <w:vAlign w:val="center"/>
            <w:hideMark/>
          </w:tcPr>
          <w:p w14:paraId="4DB9353F" w14:textId="77777777" w:rsidR="00056CBE" w:rsidRPr="00643528" w:rsidRDefault="00056CBE" w:rsidP="00E24E06">
            <w:pPr>
              <w:pStyle w:val="TableText"/>
              <w:jc w:val="right"/>
              <w:rPr>
                <w:lang w:eastAsia="en-AU"/>
              </w:rPr>
            </w:pPr>
            <w:r w:rsidRPr="00643528">
              <w:rPr>
                <w:lang w:eastAsia="en-AU"/>
              </w:rPr>
              <w:t>1,320,043</w:t>
            </w:r>
          </w:p>
        </w:tc>
        <w:tc>
          <w:tcPr>
            <w:tcW w:w="480" w:type="pct"/>
            <w:tcBorders>
              <w:top w:val="nil"/>
              <w:left w:val="nil"/>
              <w:bottom w:val="single" w:sz="4" w:space="0" w:color="auto"/>
              <w:right w:val="nil"/>
            </w:tcBorders>
            <w:shd w:val="clear" w:color="auto" w:fill="auto"/>
            <w:vAlign w:val="center"/>
            <w:hideMark/>
          </w:tcPr>
          <w:p w14:paraId="553C9E28" w14:textId="77777777" w:rsidR="00056CBE" w:rsidRPr="00643528" w:rsidRDefault="00056CBE" w:rsidP="00E24E06">
            <w:pPr>
              <w:pStyle w:val="TableText"/>
              <w:jc w:val="right"/>
              <w:rPr>
                <w:lang w:eastAsia="en-AU"/>
              </w:rPr>
            </w:pPr>
            <w:r w:rsidRPr="00643528">
              <w:rPr>
                <w:lang w:eastAsia="en-AU"/>
              </w:rPr>
              <w:t>35</w:t>
            </w:r>
          </w:p>
        </w:tc>
        <w:tc>
          <w:tcPr>
            <w:tcW w:w="571" w:type="pct"/>
            <w:tcBorders>
              <w:top w:val="nil"/>
              <w:left w:val="nil"/>
              <w:bottom w:val="single" w:sz="4" w:space="0" w:color="auto"/>
              <w:right w:val="nil"/>
            </w:tcBorders>
            <w:shd w:val="clear" w:color="auto" w:fill="auto"/>
            <w:vAlign w:val="center"/>
            <w:hideMark/>
          </w:tcPr>
          <w:p w14:paraId="118C506E" w14:textId="77777777" w:rsidR="00056CBE" w:rsidRPr="00643528" w:rsidRDefault="00056CBE" w:rsidP="00E24E06">
            <w:pPr>
              <w:pStyle w:val="TableText"/>
              <w:jc w:val="right"/>
              <w:rPr>
                <w:lang w:eastAsia="en-AU"/>
              </w:rPr>
            </w:pPr>
            <w:r w:rsidRPr="00643528">
              <w:rPr>
                <w:lang w:eastAsia="en-AU"/>
              </w:rPr>
              <w:t>4,703,883</w:t>
            </w:r>
          </w:p>
        </w:tc>
      </w:tr>
      <w:tr w:rsidR="00056CBE" w:rsidRPr="00643528" w14:paraId="2152AC12" w14:textId="77777777" w:rsidTr="00643528">
        <w:tc>
          <w:tcPr>
            <w:tcW w:w="943" w:type="pct"/>
            <w:vMerge/>
            <w:tcBorders>
              <w:top w:val="nil"/>
              <w:left w:val="nil"/>
              <w:bottom w:val="nil"/>
              <w:right w:val="nil"/>
            </w:tcBorders>
            <w:hideMark/>
          </w:tcPr>
          <w:p w14:paraId="5B28581D" w14:textId="77777777" w:rsidR="00056CBE" w:rsidRPr="00643528"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35C92C53" w14:textId="030182DA" w:rsidR="00056CBE" w:rsidRPr="00643528" w:rsidRDefault="00056CBE" w:rsidP="00256F28">
            <w:pPr>
              <w:pStyle w:val="TableText"/>
              <w:rPr>
                <w:lang w:eastAsia="en-AU"/>
              </w:rPr>
            </w:pPr>
            <w:r w:rsidRPr="00643528">
              <w:rPr>
                <w:lang w:eastAsia="en-AU"/>
              </w:rPr>
              <w:t>Through</w:t>
            </w:r>
            <w:r w:rsidR="003B2E54">
              <w:rPr>
                <w:lang w:eastAsia="en-AU"/>
              </w:rPr>
              <w:t>p</w:t>
            </w:r>
            <w:r w:rsidRPr="00643528">
              <w:rPr>
                <w:lang w:eastAsia="en-AU"/>
              </w:rPr>
              <w:t xml:space="preserve">ut – </w:t>
            </w:r>
            <w:r w:rsidR="003B2E54">
              <w:rPr>
                <w:lang w:eastAsia="en-AU"/>
              </w:rPr>
              <w:t>g</w:t>
            </w:r>
            <w:r w:rsidRPr="00643528">
              <w:rPr>
                <w:lang w:eastAsia="en-AU"/>
              </w:rPr>
              <w:t xml:space="preserve">oat, </w:t>
            </w:r>
            <w:r w:rsidR="003B2E54">
              <w:rPr>
                <w:lang w:eastAsia="en-AU"/>
              </w:rPr>
              <w:t>l</w:t>
            </w:r>
            <w:r w:rsidRPr="00643528">
              <w:rPr>
                <w:lang w:eastAsia="en-AU"/>
              </w:rPr>
              <w:t xml:space="preserve">amb, </w:t>
            </w:r>
            <w:r w:rsidR="003B2E54">
              <w:rPr>
                <w:lang w:eastAsia="en-AU"/>
              </w:rPr>
              <w:t>s</w:t>
            </w:r>
            <w:r w:rsidRPr="00643528">
              <w:rPr>
                <w:lang w:eastAsia="en-AU"/>
              </w:rPr>
              <w:t>heep</w:t>
            </w:r>
          </w:p>
        </w:tc>
        <w:tc>
          <w:tcPr>
            <w:tcW w:w="571" w:type="pct"/>
            <w:tcBorders>
              <w:top w:val="nil"/>
              <w:left w:val="nil"/>
              <w:bottom w:val="single" w:sz="4" w:space="0" w:color="auto"/>
              <w:right w:val="nil"/>
            </w:tcBorders>
            <w:shd w:val="clear" w:color="auto" w:fill="auto"/>
            <w:vAlign w:val="center"/>
            <w:hideMark/>
          </w:tcPr>
          <w:p w14:paraId="01B63330" w14:textId="77777777" w:rsidR="00056CBE" w:rsidRPr="00643528" w:rsidRDefault="00056CBE" w:rsidP="00E24E06">
            <w:pPr>
              <w:pStyle w:val="TableText"/>
              <w:jc w:val="right"/>
              <w:rPr>
                <w:lang w:eastAsia="en-AU"/>
              </w:rPr>
            </w:pPr>
            <w:r w:rsidRPr="00643528">
              <w:rPr>
                <w:lang w:eastAsia="en-AU"/>
              </w:rPr>
              <w:t>37,461,308</w:t>
            </w:r>
          </w:p>
        </w:tc>
        <w:tc>
          <w:tcPr>
            <w:tcW w:w="571" w:type="pct"/>
            <w:tcBorders>
              <w:top w:val="nil"/>
              <w:left w:val="nil"/>
              <w:bottom w:val="single" w:sz="4" w:space="0" w:color="auto"/>
              <w:right w:val="nil"/>
            </w:tcBorders>
            <w:shd w:val="clear" w:color="auto" w:fill="auto"/>
            <w:vAlign w:val="center"/>
            <w:hideMark/>
          </w:tcPr>
          <w:p w14:paraId="45D67368" w14:textId="77777777" w:rsidR="00056CBE" w:rsidRPr="00643528" w:rsidRDefault="00056CBE" w:rsidP="00E24E06">
            <w:pPr>
              <w:pStyle w:val="TableText"/>
              <w:jc w:val="right"/>
              <w:rPr>
                <w:lang w:eastAsia="en-AU"/>
              </w:rPr>
            </w:pPr>
            <w:r w:rsidRPr="00643528">
              <w:rPr>
                <w:lang w:eastAsia="en-AU"/>
              </w:rPr>
              <w:t>25,109,356</w:t>
            </w:r>
          </w:p>
        </w:tc>
        <w:tc>
          <w:tcPr>
            <w:tcW w:w="581" w:type="pct"/>
            <w:tcBorders>
              <w:top w:val="nil"/>
              <w:left w:val="nil"/>
              <w:bottom w:val="single" w:sz="4" w:space="0" w:color="auto"/>
              <w:right w:val="nil"/>
            </w:tcBorders>
            <w:shd w:val="clear" w:color="auto" w:fill="auto"/>
            <w:vAlign w:val="center"/>
            <w:hideMark/>
          </w:tcPr>
          <w:p w14:paraId="4F1634C0" w14:textId="77777777" w:rsidR="00056CBE" w:rsidRPr="00643528" w:rsidRDefault="00056CBE" w:rsidP="00E24E06">
            <w:pPr>
              <w:pStyle w:val="TableText"/>
              <w:jc w:val="right"/>
              <w:rPr>
                <w:lang w:eastAsia="en-AU"/>
              </w:rPr>
            </w:pPr>
            <w:r w:rsidRPr="00643528">
              <w:rPr>
                <w:lang w:eastAsia="en-AU"/>
              </w:rPr>
              <w:t>12,351,952</w:t>
            </w:r>
          </w:p>
        </w:tc>
        <w:tc>
          <w:tcPr>
            <w:tcW w:w="480" w:type="pct"/>
            <w:tcBorders>
              <w:top w:val="nil"/>
              <w:left w:val="nil"/>
              <w:bottom w:val="single" w:sz="4" w:space="0" w:color="auto"/>
              <w:right w:val="nil"/>
            </w:tcBorders>
            <w:shd w:val="clear" w:color="auto" w:fill="auto"/>
            <w:vAlign w:val="center"/>
            <w:hideMark/>
          </w:tcPr>
          <w:p w14:paraId="21F27DAC" w14:textId="77777777" w:rsidR="00056CBE" w:rsidRPr="00643528" w:rsidRDefault="00056CBE" w:rsidP="00E24E06">
            <w:pPr>
              <w:pStyle w:val="TableText"/>
              <w:jc w:val="right"/>
              <w:rPr>
                <w:lang w:eastAsia="en-AU"/>
              </w:rPr>
            </w:pPr>
            <w:r w:rsidRPr="00643528">
              <w:rPr>
                <w:lang w:eastAsia="en-AU"/>
              </w:rPr>
              <w:t>49</w:t>
            </w:r>
          </w:p>
        </w:tc>
        <w:tc>
          <w:tcPr>
            <w:tcW w:w="571" w:type="pct"/>
            <w:tcBorders>
              <w:top w:val="nil"/>
              <w:left w:val="nil"/>
              <w:bottom w:val="single" w:sz="4" w:space="0" w:color="auto"/>
              <w:right w:val="nil"/>
            </w:tcBorders>
            <w:shd w:val="clear" w:color="auto" w:fill="auto"/>
            <w:vAlign w:val="center"/>
            <w:hideMark/>
          </w:tcPr>
          <w:p w14:paraId="6ECBF3BE" w14:textId="77777777" w:rsidR="00056CBE" w:rsidRPr="00643528" w:rsidRDefault="00056CBE" w:rsidP="00E24E06">
            <w:pPr>
              <w:pStyle w:val="TableText"/>
              <w:jc w:val="right"/>
              <w:rPr>
                <w:lang w:eastAsia="en-AU"/>
              </w:rPr>
            </w:pPr>
            <w:r w:rsidRPr="00643528">
              <w:rPr>
                <w:lang w:eastAsia="en-AU"/>
              </w:rPr>
              <w:t>28,186,218</w:t>
            </w:r>
          </w:p>
        </w:tc>
      </w:tr>
      <w:tr w:rsidR="00056CBE" w:rsidRPr="00643528" w14:paraId="1CBF00F3" w14:textId="77777777" w:rsidTr="00643528">
        <w:tc>
          <w:tcPr>
            <w:tcW w:w="943" w:type="pct"/>
            <w:vMerge/>
            <w:tcBorders>
              <w:top w:val="nil"/>
              <w:left w:val="nil"/>
              <w:bottom w:val="nil"/>
              <w:right w:val="nil"/>
            </w:tcBorders>
            <w:hideMark/>
          </w:tcPr>
          <w:p w14:paraId="7BA005AD" w14:textId="77777777" w:rsidR="00056CBE" w:rsidRPr="00643528"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4506C791" w14:textId="2E255857" w:rsidR="00056CBE" w:rsidRPr="00643528" w:rsidRDefault="00056CBE" w:rsidP="00256F28">
            <w:pPr>
              <w:pStyle w:val="TableText"/>
              <w:rPr>
                <w:lang w:eastAsia="en-AU"/>
              </w:rPr>
            </w:pPr>
            <w:r w:rsidRPr="00643528">
              <w:rPr>
                <w:lang w:eastAsia="en-AU"/>
              </w:rPr>
              <w:t>Through</w:t>
            </w:r>
            <w:r w:rsidR="003B2E54">
              <w:rPr>
                <w:lang w:eastAsia="en-AU"/>
              </w:rPr>
              <w:t>p</w:t>
            </w:r>
            <w:r w:rsidRPr="00643528">
              <w:rPr>
                <w:lang w:eastAsia="en-AU"/>
              </w:rPr>
              <w:t xml:space="preserve">ut – </w:t>
            </w:r>
            <w:r w:rsidR="003B2E54">
              <w:rPr>
                <w:lang w:eastAsia="en-AU"/>
              </w:rPr>
              <w:t>d</w:t>
            </w:r>
            <w:r w:rsidRPr="00643528">
              <w:rPr>
                <w:lang w:eastAsia="en-AU"/>
              </w:rPr>
              <w:t xml:space="preserve">eer, </w:t>
            </w:r>
            <w:r w:rsidR="003B2E54">
              <w:rPr>
                <w:lang w:eastAsia="en-AU"/>
              </w:rPr>
              <w:t>g</w:t>
            </w:r>
            <w:r w:rsidRPr="00643528">
              <w:rPr>
                <w:lang w:eastAsia="en-AU"/>
              </w:rPr>
              <w:t xml:space="preserve">ame </w:t>
            </w:r>
            <w:r w:rsidR="003B2E54">
              <w:rPr>
                <w:lang w:eastAsia="en-AU"/>
              </w:rPr>
              <w:t>d</w:t>
            </w:r>
            <w:r w:rsidRPr="00643528">
              <w:rPr>
                <w:lang w:eastAsia="en-AU"/>
              </w:rPr>
              <w:t>eer</w:t>
            </w:r>
          </w:p>
        </w:tc>
        <w:tc>
          <w:tcPr>
            <w:tcW w:w="571" w:type="pct"/>
            <w:tcBorders>
              <w:top w:val="nil"/>
              <w:left w:val="nil"/>
              <w:bottom w:val="single" w:sz="4" w:space="0" w:color="auto"/>
              <w:right w:val="nil"/>
            </w:tcBorders>
            <w:shd w:val="clear" w:color="auto" w:fill="auto"/>
            <w:vAlign w:val="center"/>
            <w:hideMark/>
          </w:tcPr>
          <w:p w14:paraId="3022DA1F" w14:textId="77777777" w:rsidR="00056CBE" w:rsidRPr="00643528" w:rsidRDefault="00056CBE" w:rsidP="00E24E06">
            <w:pPr>
              <w:pStyle w:val="TableText"/>
              <w:jc w:val="right"/>
              <w:rPr>
                <w:lang w:eastAsia="en-AU"/>
              </w:rPr>
            </w:pPr>
            <w:r w:rsidRPr="00643528">
              <w:rPr>
                <w:lang w:eastAsia="en-AU"/>
              </w:rPr>
              <w:t>9,405</w:t>
            </w:r>
          </w:p>
        </w:tc>
        <w:tc>
          <w:tcPr>
            <w:tcW w:w="571" w:type="pct"/>
            <w:tcBorders>
              <w:top w:val="nil"/>
              <w:left w:val="nil"/>
              <w:bottom w:val="single" w:sz="4" w:space="0" w:color="auto"/>
              <w:right w:val="nil"/>
            </w:tcBorders>
            <w:shd w:val="clear" w:color="auto" w:fill="auto"/>
            <w:vAlign w:val="center"/>
            <w:hideMark/>
          </w:tcPr>
          <w:p w14:paraId="4416A5F0" w14:textId="77777777" w:rsidR="00056CBE" w:rsidRPr="00643528" w:rsidRDefault="00056CBE" w:rsidP="00E24E06">
            <w:pPr>
              <w:pStyle w:val="TableText"/>
              <w:jc w:val="right"/>
              <w:rPr>
                <w:lang w:eastAsia="en-AU"/>
              </w:rPr>
            </w:pPr>
            <w:r w:rsidRPr="00643528">
              <w:rPr>
                <w:lang w:eastAsia="en-AU"/>
              </w:rPr>
              <w:t>2,925</w:t>
            </w:r>
          </w:p>
        </w:tc>
        <w:tc>
          <w:tcPr>
            <w:tcW w:w="581" w:type="pct"/>
            <w:tcBorders>
              <w:top w:val="nil"/>
              <w:left w:val="nil"/>
              <w:bottom w:val="single" w:sz="4" w:space="0" w:color="auto"/>
              <w:right w:val="nil"/>
            </w:tcBorders>
            <w:shd w:val="clear" w:color="auto" w:fill="auto"/>
            <w:vAlign w:val="center"/>
            <w:hideMark/>
          </w:tcPr>
          <w:p w14:paraId="33E8B763" w14:textId="77777777" w:rsidR="00056CBE" w:rsidRPr="00643528" w:rsidRDefault="00056CBE" w:rsidP="00E24E06">
            <w:pPr>
              <w:pStyle w:val="TableText"/>
              <w:jc w:val="right"/>
              <w:rPr>
                <w:lang w:eastAsia="en-AU"/>
              </w:rPr>
            </w:pPr>
            <w:r w:rsidRPr="00643528">
              <w:rPr>
                <w:lang w:eastAsia="en-AU"/>
              </w:rPr>
              <w:t>6,480</w:t>
            </w:r>
          </w:p>
        </w:tc>
        <w:tc>
          <w:tcPr>
            <w:tcW w:w="480" w:type="pct"/>
            <w:tcBorders>
              <w:top w:val="nil"/>
              <w:left w:val="nil"/>
              <w:bottom w:val="single" w:sz="4" w:space="0" w:color="auto"/>
              <w:right w:val="nil"/>
            </w:tcBorders>
            <w:shd w:val="clear" w:color="auto" w:fill="auto"/>
            <w:vAlign w:val="center"/>
            <w:hideMark/>
          </w:tcPr>
          <w:p w14:paraId="01D02A95" w14:textId="77777777" w:rsidR="00056CBE" w:rsidRPr="00643528" w:rsidRDefault="00056CBE" w:rsidP="00E24E06">
            <w:pPr>
              <w:pStyle w:val="TableText"/>
              <w:jc w:val="right"/>
              <w:rPr>
                <w:lang w:eastAsia="en-AU"/>
              </w:rPr>
            </w:pPr>
            <w:r w:rsidRPr="00643528">
              <w:rPr>
                <w:lang w:eastAsia="en-AU"/>
              </w:rPr>
              <w:t>&gt;100</w:t>
            </w:r>
          </w:p>
        </w:tc>
        <w:tc>
          <w:tcPr>
            <w:tcW w:w="571" w:type="pct"/>
            <w:tcBorders>
              <w:top w:val="nil"/>
              <w:left w:val="nil"/>
              <w:bottom w:val="single" w:sz="4" w:space="0" w:color="auto"/>
              <w:right w:val="nil"/>
            </w:tcBorders>
            <w:shd w:val="clear" w:color="auto" w:fill="auto"/>
            <w:vAlign w:val="center"/>
            <w:hideMark/>
          </w:tcPr>
          <w:p w14:paraId="29FE52E6" w14:textId="77777777" w:rsidR="00056CBE" w:rsidRPr="00643528" w:rsidRDefault="00056CBE" w:rsidP="00E24E06">
            <w:pPr>
              <w:pStyle w:val="TableText"/>
              <w:jc w:val="right"/>
              <w:rPr>
                <w:lang w:eastAsia="en-AU"/>
              </w:rPr>
            </w:pPr>
            <w:r w:rsidRPr="00643528">
              <w:rPr>
                <w:lang w:eastAsia="en-AU"/>
              </w:rPr>
              <w:t>7,055</w:t>
            </w:r>
          </w:p>
        </w:tc>
      </w:tr>
      <w:tr w:rsidR="00056CBE" w:rsidRPr="00643528" w14:paraId="6E28B7B3" w14:textId="77777777" w:rsidTr="00643528">
        <w:tc>
          <w:tcPr>
            <w:tcW w:w="943" w:type="pct"/>
            <w:vMerge/>
            <w:tcBorders>
              <w:top w:val="nil"/>
              <w:left w:val="nil"/>
              <w:bottom w:val="nil"/>
              <w:right w:val="nil"/>
            </w:tcBorders>
            <w:hideMark/>
          </w:tcPr>
          <w:p w14:paraId="66942804" w14:textId="77777777" w:rsidR="00056CBE" w:rsidRPr="00643528"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5CD01511" w14:textId="6CF52990" w:rsidR="00056CBE" w:rsidRPr="00643528" w:rsidRDefault="00056CBE" w:rsidP="00256F28">
            <w:pPr>
              <w:pStyle w:val="TableText"/>
              <w:rPr>
                <w:lang w:eastAsia="en-AU"/>
              </w:rPr>
            </w:pPr>
            <w:r w:rsidRPr="00643528">
              <w:rPr>
                <w:lang w:eastAsia="en-AU"/>
              </w:rPr>
              <w:t>Through</w:t>
            </w:r>
            <w:r w:rsidR="003B2E54">
              <w:rPr>
                <w:lang w:eastAsia="en-AU"/>
              </w:rPr>
              <w:t>p</w:t>
            </w:r>
            <w:r w:rsidRPr="00643528">
              <w:rPr>
                <w:lang w:eastAsia="en-AU"/>
              </w:rPr>
              <w:t xml:space="preserve">ut – </w:t>
            </w:r>
            <w:r w:rsidR="003B2E54">
              <w:rPr>
                <w:lang w:eastAsia="en-AU"/>
              </w:rPr>
              <w:t>e</w:t>
            </w:r>
            <w:r w:rsidRPr="00643528">
              <w:rPr>
                <w:lang w:eastAsia="en-AU"/>
              </w:rPr>
              <w:t xml:space="preserve">mu, </w:t>
            </w:r>
            <w:r w:rsidR="003B2E54">
              <w:rPr>
                <w:lang w:eastAsia="en-AU"/>
              </w:rPr>
              <w:t>o</w:t>
            </w:r>
            <w:r w:rsidRPr="00643528">
              <w:rPr>
                <w:lang w:eastAsia="en-AU"/>
              </w:rPr>
              <w:t>strich</w:t>
            </w:r>
          </w:p>
        </w:tc>
        <w:tc>
          <w:tcPr>
            <w:tcW w:w="571" w:type="pct"/>
            <w:tcBorders>
              <w:top w:val="nil"/>
              <w:left w:val="nil"/>
              <w:bottom w:val="single" w:sz="4" w:space="0" w:color="auto"/>
              <w:right w:val="nil"/>
            </w:tcBorders>
            <w:shd w:val="clear" w:color="auto" w:fill="auto"/>
            <w:vAlign w:val="center"/>
            <w:hideMark/>
          </w:tcPr>
          <w:p w14:paraId="35C5116E" w14:textId="77777777" w:rsidR="00056CBE" w:rsidRPr="00643528" w:rsidRDefault="00056CBE" w:rsidP="00E24E06">
            <w:pPr>
              <w:pStyle w:val="TableText"/>
              <w:jc w:val="right"/>
              <w:rPr>
                <w:lang w:eastAsia="en-AU"/>
              </w:rPr>
            </w:pPr>
            <w:r w:rsidRPr="00643528">
              <w:rPr>
                <w:lang w:eastAsia="en-AU"/>
              </w:rPr>
              <w:t>0</w:t>
            </w:r>
          </w:p>
        </w:tc>
        <w:tc>
          <w:tcPr>
            <w:tcW w:w="571" w:type="pct"/>
            <w:tcBorders>
              <w:top w:val="nil"/>
              <w:left w:val="nil"/>
              <w:bottom w:val="single" w:sz="4" w:space="0" w:color="auto"/>
              <w:right w:val="nil"/>
            </w:tcBorders>
            <w:shd w:val="clear" w:color="auto" w:fill="auto"/>
            <w:vAlign w:val="center"/>
            <w:hideMark/>
          </w:tcPr>
          <w:p w14:paraId="643A8426" w14:textId="77777777" w:rsidR="00056CBE" w:rsidRPr="00643528" w:rsidRDefault="00056CBE" w:rsidP="00E24E06">
            <w:pPr>
              <w:pStyle w:val="TableText"/>
              <w:jc w:val="right"/>
              <w:rPr>
                <w:lang w:eastAsia="en-AU"/>
              </w:rPr>
            </w:pPr>
            <w:r w:rsidRPr="00643528">
              <w:rPr>
                <w:lang w:eastAsia="en-AU"/>
              </w:rPr>
              <w:t>1,523</w:t>
            </w:r>
          </w:p>
        </w:tc>
        <w:tc>
          <w:tcPr>
            <w:tcW w:w="581" w:type="pct"/>
            <w:tcBorders>
              <w:top w:val="nil"/>
              <w:left w:val="nil"/>
              <w:bottom w:val="single" w:sz="4" w:space="0" w:color="auto"/>
              <w:right w:val="nil"/>
            </w:tcBorders>
            <w:shd w:val="clear" w:color="auto" w:fill="auto"/>
            <w:vAlign w:val="center"/>
            <w:hideMark/>
          </w:tcPr>
          <w:p w14:paraId="33EC81D1" w14:textId="77777777" w:rsidR="00056CBE" w:rsidRPr="00643528" w:rsidRDefault="00056CBE" w:rsidP="00E24E06">
            <w:pPr>
              <w:pStyle w:val="TableText"/>
              <w:jc w:val="right"/>
              <w:rPr>
                <w:lang w:eastAsia="en-AU"/>
              </w:rPr>
            </w:pPr>
            <w:r w:rsidRPr="00643528">
              <w:rPr>
                <w:lang w:eastAsia="en-AU"/>
              </w:rPr>
              <w:t>(1,523)</w:t>
            </w:r>
          </w:p>
        </w:tc>
        <w:tc>
          <w:tcPr>
            <w:tcW w:w="480" w:type="pct"/>
            <w:tcBorders>
              <w:top w:val="nil"/>
              <w:left w:val="nil"/>
              <w:bottom w:val="single" w:sz="4" w:space="0" w:color="auto"/>
              <w:right w:val="nil"/>
            </w:tcBorders>
            <w:shd w:val="clear" w:color="auto" w:fill="auto"/>
            <w:vAlign w:val="center"/>
            <w:hideMark/>
          </w:tcPr>
          <w:p w14:paraId="133D0ADE" w14:textId="77777777" w:rsidR="00056CBE" w:rsidRPr="00643528" w:rsidRDefault="00056CBE" w:rsidP="00E24E06">
            <w:pPr>
              <w:pStyle w:val="TableText"/>
              <w:jc w:val="right"/>
              <w:rPr>
                <w:lang w:eastAsia="en-AU"/>
              </w:rPr>
            </w:pPr>
            <w:r w:rsidRPr="00643528">
              <w:rPr>
                <w:lang w:eastAsia="en-AU"/>
              </w:rPr>
              <w:t>(100)</w:t>
            </w:r>
          </w:p>
        </w:tc>
        <w:tc>
          <w:tcPr>
            <w:tcW w:w="571" w:type="pct"/>
            <w:tcBorders>
              <w:top w:val="nil"/>
              <w:left w:val="nil"/>
              <w:bottom w:val="single" w:sz="4" w:space="0" w:color="auto"/>
              <w:right w:val="nil"/>
            </w:tcBorders>
            <w:shd w:val="clear" w:color="auto" w:fill="auto"/>
            <w:vAlign w:val="center"/>
            <w:hideMark/>
          </w:tcPr>
          <w:p w14:paraId="27D69541" w14:textId="77777777" w:rsidR="00056CBE" w:rsidRPr="00643528" w:rsidRDefault="00056CBE" w:rsidP="00E24E06">
            <w:pPr>
              <w:pStyle w:val="TableText"/>
              <w:jc w:val="right"/>
              <w:rPr>
                <w:lang w:eastAsia="en-AU"/>
              </w:rPr>
            </w:pPr>
            <w:r w:rsidRPr="00643528">
              <w:rPr>
                <w:lang w:eastAsia="en-AU"/>
              </w:rPr>
              <w:t>31</w:t>
            </w:r>
          </w:p>
        </w:tc>
      </w:tr>
      <w:tr w:rsidR="00056CBE" w:rsidRPr="00643528" w14:paraId="573D5A23" w14:textId="77777777" w:rsidTr="00643528">
        <w:tc>
          <w:tcPr>
            <w:tcW w:w="943" w:type="pct"/>
            <w:vMerge/>
            <w:tcBorders>
              <w:top w:val="nil"/>
              <w:left w:val="nil"/>
              <w:bottom w:val="nil"/>
              <w:right w:val="nil"/>
            </w:tcBorders>
            <w:hideMark/>
          </w:tcPr>
          <w:p w14:paraId="2B1C4D1B" w14:textId="77777777" w:rsidR="00056CBE" w:rsidRPr="00643528"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77C6E10B" w14:textId="7B1543AE" w:rsidR="00056CBE" w:rsidRPr="00643528" w:rsidRDefault="00056CBE" w:rsidP="00256F28">
            <w:pPr>
              <w:pStyle w:val="TableText"/>
              <w:rPr>
                <w:lang w:eastAsia="en-AU"/>
              </w:rPr>
            </w:pPr>
            <w:r w:rsidRPr="00643528">
              <w:rPr>
                <w:lang w:eastAsia="en-AU"/>
              </w:rPr>
              <w:t>Through</w:t>
            </w:r>
            <w:r w:rsidR="003B2E54">
              <w:rPr>
                <w:lang w:eastAsia="en-AU"/>
              </w:rPr>
              <w:t>p</w:t>
            </w:r>
            <w:r w:rsidRPr="00643528">
              <w:rPr>
                <w:lang w:eastAsia="en-AU"/>
              </w:rPr>
              <w:t xml:space="preserve">ut – </w:t>
            </w:r>
            <w:r w:rsidR="003B2E54">
              <w:rPr>
                <w:lang w:eastAsia="en-AU"/>
              </w:rPr>
              <w:t>c</w:t>
            </w:r>
            <w:r w:rsidRPr="00643528">
              <w:rPr>
                <w:lang w:eastAsia="en-AU"/>
              </w:rPr>
              <w:t>alf</w:t>
            </w:r>
          </w:p>
        </w:tc>
        <w:tc>
          <w:tcPr>
            <w:tcW w:w="571" w:type="pct"/>
            <w:tcBorders>
              <w:top w:val="nil"/>
              <w:left w:val="nil"/>
              <w:bottom w:val="single" w:sz="4" w:space="0" w:color="auto"/>
              <w:right w:val="nil"/>
            </w:tcBorders>
            <w:shd w:val="clear" w:color="auto" w:fill="auto"/>
            <w:vAlign w:val="center"/>
            <w:hideMark/>
          </w:tcPr>
          <w:p w14:paraId="23B453D7" w14:textId="77777777" w:rsidR="00056CBE" w:rsidRPr="00643528" w:rsidRDefault="00056CBE" w:rsidP="00E24E06">
            <w:pPr>
              <w:pStyle w:val="TableText"/>
              <w:jc w:val="right"/>
              <w:rPr>
                <w:lang w:eastAsia="en-AU"/>
              </w:rPr>
            </w:pPr>
            <w:r w:rsidRPr="00643528">
              <w:rPr>
                <w:lang w:eastAsia="en-AU"/>
              </w:rPr>
              <w:t>335,659</w:t>
            </w:r>
          </w:p>
        </w:tc>
        <w:tc>
          <w:tcPr>
            <w:tcW w:w="571" w:type="pct"/>
            <w:tcBorders>
              <w:top w:val="nil"/>
              <w:left w:val="nil"/>
              <w:bottom w:val="single" w:sz="4" w:space="0" w:color="auto"/>
              <w:right w:val="nil"/>
            </w:tcBorders>
            <w:shd w:val="clear" w:color="auto" w:fill="auto"/>
            <w:vAlign w:val="center"/>
            <w:hideMark/>
          </w:tcPr>
          <w:p w14:paraId="580127DC" w14:textId="77777777" w:rsidR="00056CBE" w:rsidRPr="00643528" w:rsidRDefault="00056CBE" w:rsidP="00E24E06">
            <w:pPr>
              <w:pStyle w:val="TableText"/>
              <w:jc w:val="right"/>
              <w:rPr>
                <w:lang w:eastAsia="en-AU"/>
              </w:rPr>
            </w:pPr>
            <w:r w:rsidRPr="00643528">
              <w:rPr>
                <w:lang w:eastAsia="en-AU"/>
              </w:rPr>
              <w:t>282,376</w:t>
            </w:r>
          </w:p>
        </w:tc>
        <w:tc>
          <w:tcPr>
            <w:tcW w:w="581" w:type="pct"/>
            <w:tcBorders>
              <w:top w:val="nil"/>
              <w:left w:val="nil"/>
              <w:bottom w:val="single" w:sz="4" w:space="0" w:color="auto"/>
              <w:right w:val="nil"/>
            </w:tcBorders>
            <w:shd w:val="clear" w:color="auto" w:fill="auto"/>
            <w:vAlign w:val="center"/>
            <w:hideMark/>
          </w:tcPr>
          <w:p w14:paraId="3F630B13" w14:textId="77777777" w:rsidR="00056CBE" w:rsidRPr="00643528" w:rsidRDefault="00056CBE" w:rsidP="00E24E06">
            <w:pPr>
              <w:pStyle w:val="TableText"/>
              <w:jc w:val="right"/>
              <w:rPr>
                <w:lang w:eastAsia="en-AU"/>
              </w:rPr>
            </w:pPr>
            <w:r w:rsidRPr="00643528">
              <w:rPr>
                <w:lang w:eastAsia="en-AU"/>
              </w:rPr>
              <w:t>53,283</w:t>
            </w:r>
          </w:p>
        </w:tc>
        <w:tc>
          <w:tcPr>
            <w:tcW w:w="480" w:type="pct"/>
            <w:tcBorders>
              <w:top w:val="nil"/>
              <w:left w:val="nil"/>
              <w:bottom w:val="single" w:sz="4" w:space="0" w:color="auto"/>
              <w:right w:val="nil"/>
            </w:tcBorders>
            <w:shd w:val="clear" w:color="auto" w:fill="auto"/>
            <w:vAlign w:val="center"/>
            <w:hideMark/>
          </w:tcPr>
          <w:p w14:paraId="55AC9DCF" w14:textId="77777777" w:rsidR="00056CBE" w:rsidRPr="00643528" w:rsidRDefault="00056CBE" w:rsidP="00E24E06">
            <w:pPr>
              <w:pStyle w:val="TableText"/>
              <w:jc w:val="right"/>
              <w:rPr>
                <w:lang w:eastAsia="en-AU"/>
              </w:rPr>
            </w:pPr>
            <w:r w:rsidRPr="00643528">
              <w:rPr>
                <w:lang w:eastAsia="en-AU"/>
              </w:rPr>
              <w:t>19</w:t>
            </w:r>
          </w:p>
        </w:tc>
        <w:tc>
          <w:tcPr>
            <w:tcW w:w="571" w:type="pct"/>
            <w:tcBorders>
              <w:top w:val="nil"/>
              <w:left w:val="nil"/>
              <w:bottom w:val="single" w:sz="4" w:space="0" w:color="auto"/>
              <w:right w:val="nil"/>
            </w:tcBorders>
            <w:shd w:val="clear" w:color="auto" w:fill="auto"/>
            <w:vAlign w:val="center"/>
            <w:hideMark/>
          </w:tcPr>
          <w:p w14:paraId="5A2EFA18" w14:textId="77777777" w:rsidR="00056CBE" w:rsidRPr="00643528" w:rsidRDefault="00056CBE" w:rsidP="00E24E06">
            <w:pPr>
              <w:pStyle w:val="TableText"/>
              <w:jc w:val="right"/>
              <w:rPr>
                <w:lang w:eastAsia="en-AU"/>
              </w:rPr>
            </w:pPr>
            <w:r w:rsidRPr="00643528">
              <w:rPr>
                <w:lang w:eastAsia="en-AU"/>
              </w:rPr>
              <w:t>271,739</w:t>
            </w:r>
          </w:p>
        </w:tc>
      </w:tr>
      <w:tr w:rsidR="00056CBE" w:rsidRPr="00643528" w14:paraId="0CA7F002" w14:textId="77777777" w:rsidTr="00643528">
        <w:tc>
          <w:tcPr>
            <w:tcW w:w="943" w:type="pct"/>
            <w:vMerge/>
            <w:tcBorders>
              <w:top w:val="nil"/>
              <w:left w:val="nil"/>
              <w:bottom w:val="nil"/>
              <w:right w:val="nil"/>
            </w:tcBorders>
            <w:hideMark/>
          </w:tcPr>
          <w:p w14:paraId="67B7CE60" w14:textId="77777777" w:rsidR="00056CBE" w:rsidRPr="00643528"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117514AA" w14:textId="730EBCB2" w:rsidR="00056CBE" w:rsidRPr="00643528" w:rsidRDefault="00056CBE" w:rsidP="00256F28">
            <w:pPr>
              <w:pStyle w:val="TableText"/>
              <w:rPr>
                <w:lang w:eastAsia="en-AU"/>
              </w:rPr>
            </w:pPr>
            <w:r w:rsidRPr="00643528">
              <w:rPr>
                <w:lang w:eastAsia="en-AU"/>
              </w:rPr>
              <w:t>Through</w:t>
            </w:r>
            <w:r w:rsidR="003B2E54">
              <w:rPr>
                <w:lang w:eastAsia="en-AU"/>
              </w:rPr>
              <w:t>p</w:t>
            </w:r>
            <w:r w:rsidRPr="00643528">
              <w:rPr>
                <w:lang w:eastAsia="en-AU"/>
              </w:rPr>
              <w:t xml:space="preserve">ut – </w:t>
            </w:r>
            <w:r w:rsidR="003B2E54">
              <w:rPr>
                <w:lang w:eastAsia="en-AU"/>
              </w:rPr>
              <w:t>k</w:t>
            </w:r>
            <w:r w:rsidRPr="00643528">
              <w:rPr>
                <w:lang w:eastAsia="en-AU"/>
              </w:rPr>
              <w:t xml:space="preserve">angaroo, </w:t>
            </w:r>
            <w:r w:rsidR="003B2E54">
              <w:rPr>
                <w:lang w:eastAsia="en-AU"/>
              </w:rPr>
              <w:t>w</w:t>
            </w:r>
            <w:r w:rsidRPr="00643528">
              <w:rPr>
                <w:lang w:eastAsia="en-AU"/>
              </w:rPr>
              <w:t xml:space="preserve">ild </w:t>
            </w:r>
            <w:r w:rsidR="003B2E54">
              <w:rPr>
                <w:lang w:eastAsia="en-AU"/>
              </w:rPr>
              <w:t>b</w:t>
            </w:r>
            <w:r w:rsidRPr="00643528">
              <w:rPr>
                <w:lang w:eastAsia="en-AU"/>
              </w:rPr>
              <w:t>oar</w:t>
            </w:r>
          </w:p>
        </w:tc>
        <w:tc>
          <w:tcPr>
            <w:tcW w:w="571" w:type="pct"/>
            <w:tcBorders>
              <w:top w:val="nil"/>
              <w:left w:val="nil"/>
              <w:bottom w:val="single" w:sz="4" w:space="0" w:color="auto"/>
              <w:right w:val="nil"/>
            </w:tcBorders>
            <w:shd w:val="clear" w:color="auto" w:fill="auto"/>
            <w:vAlign w:val="center"/>
            <w:hideMark/>
          </w:tcPr>
          <w:p w14:paraId="53A684CA" w14:textId="77777777" w:rsidR="00056CBE" w:rsidRPr="00643528" w:rsidRDefault="00056CBE" w:rsidP="00E24E06">
            <w:pPr>
              <w:pStyle w:val="TableText"/>
              <w:jc w:val="right"/>
              <w:rPr>
                <w:lang w:eastAsia="en-AU"/>
              </w:rPr>
            </w:pPr>
            <w:r w:rsidRPr="00643528">
              <w:rPr>
                <w:lang w:eastAsia="en-AU"/>
              </w:rPr>
              <w:t>529,935</w:t>
            </w:r>
          </w:p>
        </w:tc>
        <w:tc>
          <w:tcPr>
            <w:tcW w:w="571" w:type="pct"/>
            <w:tcBorders>
              <w:top w:val="nil"/>
              <w:left w:val="nil"/>
              <w:bottom w:val="single" w:sz="4" w:space="0" w:color="auto"/>
              <w:right w:val="nil"/>
            </w:tcBorders>
            <w:shd w:val="clear" w:color="auto" w:fill="auto"/>
            <w:vAlign w:val="center"/>
            <w:hideMark/>
          </w:tcPr>
          <w:p w14:paraId="36411AB7" w14:textId="77777777" w:rsidR="00056CBE" w:rsidRPr="00643528" w:rsidRDefault="00056CBE" w:rsidP="00E24E06">
            <w:pPr>
              <w:pStyle w:val="TableText"/>
              <w:jc w:val="right"/>
              <w:rPr>
                <w:lang w:eastAsia="en-AU"/>
              </w:rPr>
            </w:pPr>
            <w:r w:rsidRPr="00643528">
              <w:rPr>
                <w:lang w:eastAsia="en-AU"/>
              </w:rPr>
              <w:t>771,268</w:t>
            </w:r>
          </w:p>
        </w:tc>
        <w:tc>
          <w:tcPr>
            <w:tcW w:w="581" w:type="pct"/>
            <w:tcBorders>
              <w:top w:val="nil"/>
              <w:left w:val="nil"/>
              <w:bottom w:val="single" w:sz="4" w:space="0" w:color="auto"/>
              <w:right w:val="nil"/>
            </w:tcBorders>
            <w:shd w:val="clear" w:color="auto" w:fill="auto"/>
            <w:vAlign w:val="center"/>
            <w:hideMark/>
          </w:tcPr>
          <w:p w14:paraId="7AAAB671" w14:textId="77777777" w:rsidR="00056CBE" w:rsidRPr="00643528" w:rsidRDefault="00056CBE" w:rsidP="00E24E06">
            <w:pPr>
              <w:pStyle w:val="TableText"/>
              <w:jc w:val="right"/>
              <w:rPr>
                <w:lang w:eastAsia="en-AU"/>
              </w:rPr>
            </w:pPr>
            <w:r w:rsidRPr="00643528">
              <w:rPr>
                <w:lang w:eastAsia="en-AU"/>
              </w:rPr>
              <w:t>(241,333)</w:t>
            </w:r>
          </w:p>
        </w:tc>
        <w:tc>
          <w:tcPr>
            <w:tcW w:w="480" w:type="pct"/>
            <w:tcBorders>
              <w:top w:val="nil"/>
              <w:left w:val="nil"/>
              <w:bottom w:val="single" w:sz="4" w:space="0" w:color="auto"/>
              <w:right w:val="nil"/>
            </w:tcBorders>
            <w:shd w:val="clear" w:color="auto" w:fill="auto"/>
            <w:vAlign w:val="center"/>
            <w:hideMark/>
          </w:tcPr>
          <w:p w14:paraId="022616B3" w14:textId="77777777" w:rsidR="00056CBE" w:rsidRPr="00643528" w:rsidRDefault="00056CBE" w:rsidP="00E24E06">
            <w:pPr>
              <w:pStyle w:val="TableText"/>
              <w:jc w:val="right"/>
              <w:rPr>
                <w:lang w:eastAsia="en-AU"/>
              </w:rPr>
            </w:pPr>
            <w:r w:rsidRPr="00643528">
              <w:rPr>
                <w:lang w:eastAsia="en-AU"/>
              </w:rPr>
              <w:t>(31)</w:t>
            </w:r>
          </w:p>
        </w:tc>
        <w:tc>
          <w:tcPr>
            <w:tcW w:w="571" w:type="pct"/>
            <w:tcBorders>
              <w:top w:val="nil"/>
              <w:left w:val="nil"/>
              <w:bottom w:val="single" w:sz="4" w:space="0" w:color="auto"/>
              <w:right w:val="nil"/>
            </w:tcBorders>
            <w:shd w:val="clear" w:color="auto" w:fill="auto"/>
            <w:vAlign w:val="center"/>
            <w:hideMark/>
          </w:tcPr>
          <w:p w14:paraId="0A417812" w14:textId="77777777" w:rsidR="00056CBE" w:rsidRPr="00643528" w:rsidRDefault="00056CBE" w:rsidP="00E24E06">
            <w:pPr>
              <w:pStyle w:val="TableText"/>
              <w:jc w:val="right"/>
              <w:rPr>
                <w:lang w:eastAsia="en-AU"/>
              </w:rPr>
            </w:pPr>
            <w:r w:rsidRPr="00643528">
              <w:rPr>
                <w:lang w:eastAsia="en-AU"/>
              </w:rPr>
              <w:t>593,036</w:t>
            </w:r>
          </w:p>
        </w:tc>
      </w:tr>
      <w:tr w:rsidR="00056CBE" w:rsidRPr="00643528" w14:paraId="434AA4C7" w14:textId="77777777" w:rsidTr="00643528">
        <w:tc>
          <w:tcPr>
            <w:tcW w:w="943" w:type="pct"/>
            <w:vMerge/>
            <w:tcBorders>
              <w:top w:val="nil"/>
              <w:left w:val="nil"/>
              <w:bottom w:val="nil"/>
              <w:right w:val="nil"/>
            </w:tcBorders>
            <w:hideMark/>
          </w:tcPr>
          <w:p w14:paraId="21AF404E" w14:textId="77777777" w:rsidR="00056CBE" w:rsidRPr="00643528"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5B42B4C6" w14:textId="1DB183F8" w:rsidR="00056CBE" w:rsidRPr="00643528" w:rsidRDefault="00056CBE" w:rsidP="00256F28">
            <w:pPr>
              <w:pStyle w:val="TableText"/>
              <w:rPr>
                <w:lang w:eastAsia="en-AU"/>
              </w:rPr>
            </w:pPr>
            <w:r w:rsidRPr="00643528">
              <w:rPr>
                <w:lang w:eastAsia="en-AU"/>
              </w:rPr>
              <w:t>Through</w:t>
            </w:r>
            <w:r w:rsidR="003B2E54">
              <w:rPr>
                <w:lang w:eastAsia="en-AU"/>
              </w:rPr>
              <w:t>p</w:t>
            </w:r>
            <w:r w:rsidRPr="00643528">
              <w:rPr>
                <w:lang w:eastAsia="en-AU"/>
              </w:rPr>
              <w:t xml:space="preserve">ut – </w:t>
            </w:r>
            <w:r w:rsidR="003B2E54">
              <w:rPr>
                <w:lang w:eastAsia="en-AU"/>
              </w:rPr>
              <w:t>r</w:t>
            </w:r>
            <w:r w:rsidRPr="00643528">
              <w:rPr>
                <w:lang w:eastAsia="en-AU"/>
              </w:rPr>
              <w:t>abbit/</w:t>
            </w:r>
            <w:r w:rsidR="003B2E54">
              <w:rPr>
                <w:lang w:eastAsia="en-AU"/>
              </w:rPr>
              <w:t>p</w:t>
            </w:r>
            <w:r w:rsidRPr="00643528">
              <w:rPr>
                <w:lang w:eastAsia="en-AU"/>
              </w:rPr>
              <w:t>ossum/</w:t>
            </w:r>
            <w:r w:rsidR="003B2E54">
              <w:rPr>
                <w:lang w:eastAsia="en-AU"/>
              </w:rPr>
              <w:t>h</w:t>
            </w:r>
            <w:r w:rsidRPr="00643528">
              <w:rPr>
                <w:lang w:eastAsia="en-AU"/>
              </w:rPr>
              <w:t>are</w:t>
            </w:r>
          </w:p>
        </w:tc>
        <w:tc>
          <w:tcPr>
            <w:tcW w:w="571" w:type="pct"/>
            <w:tcBorders>
              <w:top w:val="nil"/>
              <w:left w:val="nil"/>
              <w:bottom w:val="single" w:sz="4" w:space="0" w:color="auto"/>
              <w:right w:val="nil"/>
            </w:tcBorders>
            <w:shd w:val="clear" w:color="auto" w:fill="auto"/>
            <w:vAlign w:val="center"/>
            <w:hideMark/>
          </w:tcPr>
          <w:p w14:paraId="291DEAF8" w14:textId="77777777" w:rsidR="00056CBE" w:rsidRPr="00643528" w:rsidRDefault="00056CBE" w:rsidP="00E24E06">
            <w:pPr>
              <w:pStyle w:val="TableText"/>
              <w:jc w:val="right"/>
              <w:rPr>
                <w:lang w:eastAsia="en-AU"/>
              </w:rPr>
            </w:pPr>
            <w:r w:rsidRPr="00643528">
              <w:rPr>
                <w:lang w:eastAsia="en-AU"/>
              </w:rPr>
              <w:t>1,833</w:t>
            </w:r>
          </w:p>
        </w:tc>
        <w:tc>
          <w:tcPr>
            <w:tcW w:w="571" w:type="pct"/>
            <w:tcBorders>
              <w:top w:val="nil"/>
              <w:left w:val="nil"/>
              <w:bottom w:val="single" w:sz="4" w:space="0" w:color="auto"/>
              <w:right w:val="nil"/>
            </w:tcBorders>
            <w:shd w:val="clear" w:color="auto" w:fill="auto"/>
            <w:vAlign w:val="center"/>
            <w:hideMark/>
          </w:tcPr>
          <w:p w14:paraId="7BCBFA2A" w14:textId="77777777" w:rsidR="00056CBE" w:rsidRPr="00643528" w:rsidRDefault="00056CBE" w:rsidP="00E24E06">
            <w:pPr>
              <w:pStyle w:val="TableText"/>
              <w:jc w:val="right"/>
              <w:rPr>
                <w:lang w:eastAsia="en-AU"/>
              </w:rPr>
            </w:pPr>
            <w:r w:rsidRPr="00643528">
              <w:rPr>
                <w:lang w:eastAsia="en-AU"/>
              </w:rPr>
              <w:t>0</w:t>
            </w:r>
          </w:p>
        </w:tc>
        <w:tc>
          <w:tcPr>
            <w:tcW w:w="581" w:type="pct"/>
            <w:tcBorders>
              <w:top w:val="nil"/>
              <w:left w:val="nil"/>
              <w:bottom w:val="single" w:sz="4" w:space="0" w:color="auto"/>
              <w:right w:val="nil"/>
            </w:tcBorders>
            <w:shd w:val="clear" w:color="auto" w:fill="auto"/>
            <w:vAlign w:val="center"/>
            <w:hideMark/>
          </w:tcPr>
          <w:p w14:paraId="5B4927CD" w14:textId="77777777" w:rsidR="00056CBE" w:rsidRPr="00643528" w:rsidRDefault="00056CBE" w:rsidP="00E24E06">
            <w:pPr>
              <w:pStyle w:val="TableText"/>
              <w:jc w:val="right"/>
              <w:rPr>
                <w:lang w:eastAsia="en-AU"/>
              </w:rPr>
            </w:pPr>
            <w:r w:rsidRPr="00643528">
              <w:rPr>
                <w:lang w:eastAsia="en-AU"/>
              </w:rPr>
              <w:t>1,833</w:t>
            </w:r>
          </w:p>
        </w:tc>
        <w:tc>
          <w:tcPr>
            <w:tcW w:w="480" w:type="pct"/>
            <w:tcBorders>
              <w:top w:val="nil"/>
              <w:left w:val="nil"/>
              <w:bottom w:val="single" w:sz="4" w:space="0" w:color="auto"/>
              <w:right w:val="nil"/>
            </w:tcBorders>
            <w:shd w:val="clear" w:color="auto" w:fill="auto"/>
            <w:vAlign w:val="center"/>
            <w:hideMark/>
          </w:tcPr>
          <w:p w14:paraId="2088B7C5" w14:textId="77777777" w:rsidR="00056CBE" w:rsidRPr="00643528" w:rsidRDefault="00056CBE" w:rsidP="00E24E06">
            <w:pPr>
              <w:pStyle w:val="TableText"/>
              <w:jc w:val="right"/>
              <w:rPr>
                <w:lang w:eastAsia="en-AU"/>
              </w:rPr>
            </w:pPr>
            <w:r w:rsidRPr="00643528">
              <w:rPr>
                <w:lang w:eastAsia="en-AU"/>
              </w:rPr>
              <w:t>–</w:t>
            </w:r>
          </w:p>
        </w:tc>
        <w:tc>
          <w:tcPr>
            <w:tcW w:w="571" w:type="pct"/>
            <w:tcBorders>
              <w:top w:val="nil"/>
              <w:left w:val="nil"/>
              <w:bottom w:val="single" w:sz="4" w:space="0" w:color="auto"/>
              <w:right w:val="nil"/>
            </w:tcBorders>
            <w:shd w:val="clear" w:color="auto" w:fill="auto"/>
            <w:vAlign w:val="center"/>
            <w:hideMark/>
          </w:tcPr>
          <w:p w14:paraId="37FEC14E" w14:textId="77777777" w:rsidR="00056CBE" w:rsidRPr="00643528" w:rsidRDefault="00056CBE" w:rsidP="00E24E06">
            <w:pPr>
              <w:pStyle w:val="TableText"/>
              <w:jc w:val="right"/>
              <w:rPr>
                <w:lang w:eastAsia="en-AU"/>
              </w:rPr>
            </w:pPr>
            <w:r w:rsidRPr="00643528">
              <w:rPr>
                <w:lang w:eastAsia="en-AU"/>
              </w:rPr>
              <w:t>0</w:t>
            </w:r>
          </w:p>
        </w:tc>
      </w:tr>
      <w:tr w:rsidR="00056CBE" w:rsidRPr="00643528" w14:paraId="34A9C029" w14:textId="77777777" w:rsidTr="00643528">
        <w:tc>
          <w:tcPr>
            <w:tcW w:w="943" w:type="pct"/>
            <w:vMerge/>
            <w:tcBorders>
              <w:top w:val="nil"/>
              <w:left w:val="nil"/>
              <w:bottom w:val="nil"/>
              <w:right w:val="nil"/>
            </w:tcBorders>
            <w:hideMark/>
          </w:tcPr>
          <w:p w14:paraId="21A03F29" w14:textId="77777777" w:rsidR="00056CBE" w:rsidRPr="00643528"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1BA3CBB5" w14:textId="36CD6FBE" w:rsidR="00056CBE" w:rsidRPr="00643528" w:rsidRDefault="00056CBE" w:rsidP="00256F28">
            <w:pPr>
              <w:pStyle w:val="TableText"/>
              <w:rPr>
                <w:lang w:eastAsia="en-AU"/>
              </w:rPr>
            </w:pPr>
            <w:r w:rsidRPr="00643528">
              <w:rPr>
                <w:lang w:eastAsia="en-AU"/>
              </w:rPr>
              <w:t xml:space="preserve">Establishment – </w:t>
            </w:r>
            <w:r w:rsidR="00530A5D">
              <w:rPr>
                <w:lang w:eastAsia="en-AU"/>
              </w:rPr>
              <w:t>t</w:t>
            </w:r>
            <w:r w:rsidRPr="00643528">
              <w:rPr>
                <w:lang w:eastAsia="en-AU"/>
              </w:rPr>
              <w:t>ier 1</w:t>
            </w:r>
          </w:p>
        </w:tc>
        <w:tc>
          <w:tcPr>
            <w:tcW w:w="571" w:type="pct"/>
            <w:tcBorders>
              <w:top w:val="nil"/>
              <w:left w:val="nil"/>
              <w:bottom w:val="single" w:sz="4" w:space="0" w:color="auto"/>
              <w:right w:val="nil"/>
            </w:tcBorders>
            <w:shd w:val="clear" w:color="auto" w:fill="auto"/>
            <w:vAlign w:val="center"/>
            <w:hideMark/>
          </w:tcPr>
          <w:p w14:paraId="75CAA0FD" w14:textId="77777777" w:rsidR="00056CBE" w:rsidRPr="00643528" w:rsidRDefault="00056CBE" w:rsidP="00E24E06">
            <w:pPr>
              <w:pStyle w:val="TableText"/>
              <w:jc w:val="right"/>
              <w:rPr>
                <w:lang w:eastAsia="en-AU"/>
              </w:rPr>
            </w:pPr>
            <w:r w:rsidRPr="00643528">
              <w:rPr>
                <w:lang w:eastAsia="en-AU"/>
              </w:rPr>
              <w:t>0</w:t>
            </w:r>
          </w:p>
        </w:tc>
        <w:tc>
          <w:tcPr>
            <w:tcW w:w="571" w:type="pct"/>
            <w:tcBorders>
              <w:top w:val="nil"/>
              <w:left w:val="nil"/>
              <w:bottom w:val="single" w:sz="4" w:space="0" w:color="auto"/>
              <w:right w:val="nil"/>
            </w:tcBorders>
            <w:shd w:val="clear" w:color="auto" w:fill="auto"/>
            <w:vAlign w:val="center"/>
            <w:hideMark/>
          </w:tcPr>
          <w:p w14:paraId="798EF9A0" w14:textId="77777777" w:rsidR="00056CBE" w:rsidRPr="00643528" w:rsidRDefault="00056CBE" w:rsidP="00E24E06">
            <w:pPr>
              <w:pStyle w:val="TableText"/>
              <w:jc w:val="right"/>
              <w:rPr>
                <w:lang w:eastAsia="en-AU"/>
              </w:rPr>
            </w:pPr>
            <w:r w:rsidRPr="00643528">
              <w:rPr>
                <w:lang w:eastAsia="en-AU"/>
              </w:rPr>
              <w:t>200</w:t>
            </w:r>
          </w:p>
        </w:tc>
        <w:tc>
          <w:tcPr>
            <w:tcW w:w="581" w:type="pct"/>
            <w:tcBorders>
              <w:top w:val="nil"/>
              <w:left w:val="nil"/>
              <w:bottom w:val="single" w:sz="4" w:space="0" w:color="auto"/>
              <w:right w:val="nil"/>
            </w:tcBorders>
            <w:shd w:val="clear" w:color="auto" w:fill="auto"/>
            <w:vAlign w:val="center"/>
            <w:hideMark/>
          </w:tcPr>
          <w:p w14:paraId="7D0B68BB" w14:textId="77777777" w:rsidR="00056CBE" w:rsidRPr="00643528" w:rsidRDefault="00056CBE" w:rsidP="00E24E06">
            <w:pPr>
              <w:pStyle w:val="TableText"/>
              <w:jc w:val="right"/>
              <w:rPr>
                <w:lang w:eastAsia="en-AU"/>
              </w:rPr>
            </w:pPr>
            <w:r w:rsidRPr="00643528">
              <w:rPr>
                <w:lang w:eastAsia="en-AU"/>
              </w:rPr>
              <w:t>(200)</w:t>
            </w:r>
          </w:p>
        </w:tc>
        <w:tc>
          <w:tcPr>
            <w:tcW w:w="480" w:type="pct"/>
            <w:tcBorders>
              <w:top w:val="nil"/>
              <w:left w:val="nil"/>
              <w:bottom w:val="single" w:sz="4" w:space="0" w:color="auto"/>
              <w:right w:val="nil"/>
            </w:tcBorders>
            <w:shd w:val="clear" w:color="auto" w:fill="auto"/>
            <w:vAlign w:val="center"/>
            <w:hideMark/>
          </w:tcPr>
          <w:p w14:paraId="39BDC6A5" w14:textId="77777777" w:rsidR="00056CBE" w:rsidRPr="00643528" w:rsidRDefault="00056CBE" w:rsidP="00E24E06">
            <w:pPr>
              <w:pStyle w:val="TableText"/>
              <w:jc w:val="right"/>
              <w:rPr>
                <w:lang w:eastAsia="en-AU"/>
              </w:rPr>
            </w:pPr>
            <w:r w:rsidRPr="00643528">
              <w:rPr>
                <w:lang w:eastAsia="en-AU"/>
              </w:rPr>
              <w:t>(100)</w:t>
            </w:r>
          </w:p>
        </w:tc>
        <w:tc>
          <w:tcPr>
            <w:tcW w:w="571" w:type="pct"/>
            <w:tcBorders>
              <w:top w:val="nil"/>
              <w:left w:val="nil"/>
              <w:bottom w:val="single" w:sz="4" w:space="0" w:color="auto"/>
              <w:right w:val="nil"/>
            </w:tcBorders>
            <w:shd w:val="clear" w:color="auto" w:fill="auto"/>
            <w:vAlign w:val="center"/>
            <w:hideMark/>
          </w:tcPr>
          <w:p w14:paraId="407A7365" w14:textId="77777777" w:rsidR="00056CBE" w:rsidRPr="00643528" w:rsidRDefault="00056CBE" w:rsidP="00E24E06">
            <w:pPr>
              <w:pStyle w:val="TableText"/>
              <w:jc w:val="right"/>
              <w:rPr>
                <w:lang w:eastAsia="en-AU"/>
              </w:rPr>
            </w:pPr>
            <w:r w:rsidRPr="00643528">
              <w:rPr>
                <w:lang w:eastAsia="en-AU"/>
              </w:rPr>
              <w:t>200</w:t>
            </w:r>
          </w:p>
        </w:tc>
      </w:tr>
      <w:tr w:rsidR="00056CBE" w:rsidRPr="00643528" w14:paraId="7A5B7832" w14:textId="77777777" w:rsidTr="00643528">
        <w:tc>
          <w:tcPr>
            <w:tcW w:w="943" w:type="pct"/>
            <w:vMerge/>
            <w:tcBorders>
              <w:top w:val="nil"/>
              <w:left w:val="nil"/>
              <w:bottom w:val="nil"/>
              <w:right w:val="nil"/>
            </w:tcBorders>
            <w:hideMark/>
          </w:tcPr>
          <w:p w14:paraId="6F3DAFE5" w14:textId="77777777" w:rsidR="00056CBE" w:rsidRPr="00643528"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2C91DD94" w14:textId="20FC31C3" w:rsidR="00056CBE" w:rsidRPr="00643528" w:rsidRDefault="00056CBE" w:rsidP="00256F28">
            <w:pPr>
              <w:pStyle w:val="TableText"/>
              <w:rPr>
                <w:lang w:eastAsia="en-AU"/>
              </w:rPr>
            </w:pPr>
            <w:r w:rsidRPr="00643528">
              <w:rPr>
                <w:lang w:eastAsia="en-AU"/>
              </w:rPr>
              <w:t>T1 – Through</w:t>
            </w:r>
            <w:r w:rsidR="00530A5D">
              <w:rPr>
                <w:lang w:eastAsia="en-AU"/>
              </w:rPr>
              <w:t>p</w:t>
            </w:r>
            <w:r w:rsidRPr="00643528">
              <w:rPr>
                <w:lang w:eastAsia="en-AU"/>
              </w:rPr>
              <w:t xml:space="preserve">ut </w:t>
            </w:r>
            <w:r w:rsidR="00530A5D" w:rsidRPr="00643528">
              <w:rPr>
                <w:lang w:eastAsia="en-AU"/>
              </w:rPr>
              <w:t xml:space="preserve">– </w:t>
            </w:r>
            <w:r w:rsidR="00530A5D">
              <w:rPr>
                <w:lang w:eastAsia="en-AU"/>
              </w:rPr>
              <w:t>full</w:t>
            </w:r>
            <w:r w:rsidRPr="00643528">
              <w:rPr>
                <w:lang w:eastAsia="en-AU"/>
              </w:rPr>
              <w:t xml:space="preserve"> </w:t>
            </w:r>
            <w:r w:rsidR="00530A5D">
              <w:rPr>
                <w:lang w:eastAsia="en-AU"/>
              </w:rPr>
              <w:t>u</w:t>
            </w:r>
            <w:r w:rsidRPr="00643528">
              <w:rPr>
                <w:lang w:eastAsia="en-AU"/>
              </w:rPr>
              <w:t>nit (</w:t>
            </w:r>
            <w:r w:rsidR="00530A5D">
              <w:rPr>
                <w:lang w:eastAsia="en-AU"/>
              </w:rPr>
              <w:t>c</w:t>
            </w:r>
            <w:r w:rsidRPr="00643528">
              <w:rPr>
                <w:lang w:eastAsia="en-AU"/>
              </w:rPr>
              <w:t>attle/</w:t>
            </w:r>
            <w:r w:rsidR="00530A5D">
              <w:rPr>
                <w:lang w:eastAsia="en-AU"/>
              </w:rPr>
              <w:t>b</w:t>
            </w:r>
            <w:r w:rsidRPr="00643528">
              <w:rPr>
                <w:lang w:eastAsia="en-AU"/>
              </w:rPr>
              <w:t>uffalo/</w:t>
            </w:r>
            <w:r w:rsidR="00530A5D">
              <w:rPr>
                <w:lang w:eastAsia="en-AU"/>
              </w:rPr>
              <w:t>c</w:t>
            </w:r>
            <w:r w:rsidRPr="00643528">
              <w:rPr>
                <w:lang w:eastAsia="en-AU"/>
              </w:rPr>
              <w:t>amel) a</w:t>
            </w:r>
          </w:p>
        </w:tc>
        <w:tc>
          <w:tcPr>
            <w:tcW w:w="571" w:type="pct"/>
            <w:tcBorders>
              <w:top w:val="nil"/>
              <w:left w:val="nil"/>
              <w:bottom w:val="single" w:sz="4" w:space="0" w:color="auto"/>
              <w:right w:val="nil"/>
            </w:tcBorders>
            <w:shd w:val="clear" w:color="auto" w:fill="auto"/>
            <w:vAlign w:val="center"/>
            <w:hideMark/>
          </w:tcPr>
          <w:p w14:paraId="72EE3421" w14:textId="77777777" w:rsidR="00056CBE" w:rsidRPr="00643528" w:rsidRDefault="00056CBE" w:rsidP="00E24E06">
            <w:pPr>
              <w:pStyle w:val="TableText"/>
              <w:jc w:val="right"/>
              <w:rPr>
                <w:lang w:eastAsia="en-AU"/>
              </w:rPr>
            </w:pPr>
            <w:r w:rsidRPr="00643528">
              <w:rPr>
                <w:lang w:eastAsia="en-AU"/>
              </w:rPr>
              <w:t>70,328</w:t>
            </w:r>
          </w:p>
        </w:tc>
        <w:tc>
          <w:tcPr>
            <w:tcW w:w="571" w:type="pct"/>
            <w:tcBorders>
              <w:top w:val="nil"/>
              <w:left w:val="nil"/>
              <w:bottom w:val="single" w:sz="4" w:space="0" w:color="auto"/>
              <w:right w:val="nil"/>
            </w:tcBorders>
            <w:shd w:val="clear" w:color="auto" w:fill="auto"/>
            <w:vAlign w:val="center"/>
            <w:hideMark/>
          </w:tcPr>
          <w:p w14:paraId="3752CD20" w14:textId="77777777" w:rsidR="00056CBE" w:rsidRPr="00643528" w:rsidRDefault="00056CBE" w:rsidP="00E24E06">
            <w:pPr>
              <w:pStyle w:val="TableText"/>
              <w:jc w:val="right"/>
              <w:rPr>
                <w:lang w:eastAsia="en-AU"/>
              </w:rPr>
            </w:pPr>
            <w:r w:rsidRPr="00643528">
              <w:rPr>
                <w:lang w:eastAsia="en-AU"/>
              </w:rPr>
              <w:t>146,528</w:t>
            </w:r>
          </w:p>
        </w:tc>
        <w:tc>
          <w:tcPr>
            <w:tcW w:w="581" w:type="pct"/>
            <w:tcBorders>
              <w:top w:val="nil"/>
              <w:left w:val="nil"/>
              <w:bottom w:val="single" w:sz="4" w:space="0" w:color="auto"/>
              <w:right w:val="nil"/>
            </w:tcBorders>
            <w:shd w:val="clear" w:color="auto" w:fill="auto"/>
            <w:vAlign w:val="center"/>
            <w:hideMark/>
          </w:tcPr>
          <w:p w14:paraId="7E941744" w14:textId="77777777" w:rsidR="00056CBE" w:rsidRPr="00643528" w:rsidRDefault="00056CBE" w:rsidP="00E24E06">
            <w:pPr>
              <w:pStyle w:val="TableText"/>
              <w:jc w:val="right"/>
              <w:rPr>
                <w:lang w:eastAsia="en-AU"/>
              </w:rPr>
            </w:pPr>
            <w:r w:rsidRPr="00643528">
              <w:rPr>
                <w:lang w:eastAsia="en-AU"/>
              </w:rPr>
              <w:t>(76,200)</w:t>
            </w:r>
          </w:p>
        </w:tc>
        <w:tc>
          <w:tcPr>
            <w:tcW w:w="480" w:type="pct"/>
            <w:tcBorders>
              <w:top w:val="nil"/>
              <w:left w:val="nil"/>
              <w:bottom w:val="single" w:sz="4" w:space="0" w:color="auto"/>
              <w:right w:val="nil"/>
            </w:tcBorders>
            <w:shd w:val="clear" w:color="auto" w:fill="auto"/>
            <w:vAlign w:val="center"/>
            <w:hideMark/>
          </w:tcPr>
          <w:p w14:paraId="124D9952" w14:textId="77777777" w:rsidR="00056CBE" w:rsidRPr="00643528" w:rsidRDefault="00056CBE" w:rsidP="00E24E06">
            <w:pPr>
              <w:pStyle w:val="TableText"/>
              <w:jc w:val="right"/>
              <w:rPr>
                <w:lang w:eastAsia="en-AU"/>
              </w:rPr>
            </w:pPr>
            <w:r w:rsidRPr="00643528">
              <w:rPr>
                <w:lang w:eastAsia="en-AU"/>
              </w:rPr>
              <w:t>(52)</w:t>
            </w:r>
          </w:p>
        </w:tc>
        <w:tc>
          <w:tcPr>
            <w:tcW w:w="571" w:type="pct"/>
            <w:tcBorders>
              <w:top w:val="nil"/>
              <w:left w:val="nil"/>
              <w:bottom w:val="single" w:sz="4" w:space="0" w:color="auto"/>
              <w:right w:val="nil"/>
            </w:tcBorders>
            <w:shd w:val="clear" w:color="auto" w:fill="auto"/>
            <w:vAlign w:val="center"/>
            <w:hideMark/>
          </w:tcPr>
          <w:p w14:paraId="45FF9DF4" w14:textId="77777777" w:rsidR="00056CBE" w:rsidRPr="00643528" w:rsidRDefault="00056CBE" w:rsidP="00E24E06">
            <w:pPr>
              <w:pStyle w:val="TableText"/>
              <w:jc w:val="right"/>
              <w:rPr>
                <w:lang w:eastAsia="en-AU"/>
              </w:rPr>
            </w:pPr>
            <w:r w:rsidRPr="00643528">
              <w:rPr>
                <w:lang w:eastAsia="en-AU"/>
              </w:rPr>
              <w:t>139,396</w:t>
            </w:r>
          </w:p>
        </w:tc>
      </w:tr>
      <w:tr w:rsidR="00056CBE" w:rsidRPr="00643528" w14:paraId="12FECA67" w14:textId="77777777" w:rsidTr="00643528">
        <w:tc>
          <w:tcPr>
            <w:tcW w:w="943" w:type="pct"/>
            <w:vMerge/>
            <w:tcBorders>
              <w:top w:val="nil"/>
              <w:left w:val="nil"/>
              <w:bottom w:val="nil"/>
              <w:right w:val="nil"/>
            </w:tcBorders>
            <w:hideMark/>
          </w:tcPr>
          <w:p w14:paraId="221F1F36" w14:textId="77777777" w:rsidR="00056CBE" w:rsidRPr="00643528"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1EFD16A3" w14:textId="2D1A2D5E" w:rsidR="00056CBE" w:rsidRPr="00643528" w:rsidRDefault="00056CBE" w:rsidP="00256F28">
            <w:pPr>
              <w:pStyle w:val="TableText"/>
              <w:rPr>
                <w:lang w:eastAsia="en-AU"/>
              </w:rPr>
            </w:pPr>
            <w:r w:rsidRPr="00643528">
              <w:rPr>
                <w:lang w:eastAsia="en-AU"/>
              </w:rPr>
              <w:t xml:space="preserve">T1 – Through </w:t>
            </w:r>
            <w:r w:rsidR="00530A5D">
              <w:rPr>
                <w:lang w:eastAsia="en-AU"/>
              </w:rPr>
              <w:t>p</w:t>
            </w:r>
            <w:r w:rsidRPr="00643528">
              <w:rPr>
                <w:lang w:eastAsia="en-AU"/>
              </w:rPr>
              <w:t>ut – Pig</w:t>
            </w:r>
          </w:p>
        </w:tc>
        <w:tc>
          <w:tcPr>
            <w:tcW w:w="571" w:type="pct"/>
            <w:tcBorders>
              <w:top w:val="nil"/>
              <w:left w:val="nil"/>
              <w:bottom w:val="single" w:sz="4" w:space="0" w:color="auto"/>
              <w:right w:val="nil"/>
            </w:tcBorders>
            <w:shd w:val="clear" w:color="auto" w:fill="auto"/>
            <w:vAlign w:val="center"/>
            <w:hideMark/>
          </w:tcPr>
          <w:p w14:paraId="6E5A31A5" w14:textId="77777777" w:rsidR="00056CBE" w:rsidRPr="00643528" w:rsidRDefault="00056CBE" w:rsidP="00E24E06">
            <w:pPr>
              <w:pStyle w:val="TableText"/>
              <w:jc w:val="right"/>
              <w:rPr>
                <w:lang w:eastAsia="en-AU"/>
              </w:rPr>
            </w:pPr>
            <w:r w:rsidRPr="00643528">
              <w:rPr>
                <w:lang w:eastAsia="en-AU"/>
              </w:rPr>
              <w:t>781</w:t>
            </w:r>
          </w:p>
        </w:tc>
        <w:tc>
          <w:tcPr>
            <w:tcW w:w="571" w:type="pct"/>
            <w:tcBorders>
              <w:top w:val="nil"/>
              <w:left w:val="nil"/>
              <w:bottom w:val="single" w:sz="4" w:space="0" w:color="auto"/>
              <w:right w:val="nil"/>
            </w:tcBorders>
            <w:shd w:val="clear" w:color="auto" w:fill="auto"/>
            <w:vAlign w:val="center"/>
            <w:hideMark/>
          </w:tcPr>
          <w:p w14:paraId="152F7D42" w14:textId="77777777" w:rsidR="00056CBE" w:rsidRPr="00643528" w:rsidRDefault="00056CBE" w:rsidP="00E24E06">
            <w:pPr>
              <w:pStyle w:val="TableText"/>
              <w:jc w:val="right"/>
              <w:rPr>
                <w:lang w:eastAsia="en-AU"/>
              </w:rPr>
            </w:pPr>
            <w:r w:rsidRPr="00643528">
              <w:rPr>
                <w:lang w:eastAsia="en-AU"/>
              </w:rPr>
              <w:t>0</w:t>
            </w:r>
          </w:p>
        </w:tc>
        <w:tc>
          <w:tcPr>
            <w:tcW w:w="581" w:type="pct"/>
            <w:tcBorders>
              <w:top w:val="nil"/>
              <w:left w:val="nil"/>
              <w:bottom w:val="single" w:sz="4" w:space="0" w:color="auto"/>
              <w:right w:val="nil"/>
            </w:tcBorders>
            <w:shd w:val="clear" w:color="auto" w:fill="auto"/>
            <w:vAlign w:val="center"/>
            <w:hideMark/>
          </w:tcPr>
          <w:p w14:paraId="59E4F942" w14:textId="77777777" w:rsidR="00056CBE" w:rsidRPr="00643528" w:rsidRDefault="00056CBE" w:rsidP="00E24E06">
            <w:pPr>
              <w:pStyle w:val="TableText"/>
              <w:jc w:val="right"/>
              <w:rPr>
                <w:lang w:eastAsia="en-AU"/>
              </w:rPr>
            </w:pPr>
            <w:r w:rsidRPr="00643528">
              <w:rPr>
                <w:lang w:eastAsia="en-AU"/>
              </w:rPr>
              <w:t>781</w:t>
            </w:r>
          </w:p>
        </w:tc>
        <w:tc>
          <w:tcPr>
            <w:tcW w:w="480" w:type="pct"/>
            <w:tcBorders>
              <w:top w:val="nil"/>
              <w:left w:val="nil"/>
              <w:bottom w:val="single" w:sz="4" w:space="0" w:color="auto"/>
              <w:right w:val="nil"/>
            </w:tcBorders>
            <w:shd w:val="clear" w:color="auto" w:fill="auto"/>
            <w:vAlign w:val="center"/>
            <w:hideMark/>
          </w:tcPr>
          <w:p w14:paraId="403B403A" w14:textId="77777777" w:rsidR="00056CBE" w:rsidRPr="00643528" w:rsidRDefault="00056CBE" w:rsidP="00E24E06">
            <w:pPr>
              <w:pStyle w:val="TableText"/>
              <w:jc w:val="right"/>
              <w:rPr>
                <w:lang w:eastAsia="en-AU"/>
              </w:rPr>
            </w:pPr>
            <w:r w:rsidRPr="00643528">
              <w:rPr>
                <w:lang w:eastAsia="en-AU"/>
              </w:rPr>
              <w:t>–</w:t>
            </w:r>
          </w:p>
        </w:tc>
        <w:tc>
          <w:tcPr>
            <w:tcW w:w="571" w:type="pct"/>
            <w:tcBorders>
              <w:top w:val="nil"/>
              <w:left w:val="nil"/>
              <w:bottom w:val="single" w:sz="4" w:space="0" w:color="auto"/>
              <w:right w:val="nil"/>
            </w:tcBorders>
            <w:shd w:val="clear" w:color="auto" w:fill="auto"/>
            <w:vAlign w:val="center"/>
            <w:hideMark/>
          </w:tcPr>
          <w:p w14:paraId="3C1BD673" w14:textId="77777777" w:rsidR="00056CBE" w:rsidRPr="00643528" w:rsidRDefault="00056CBE" w:rsidP="00E24E06">
            <w:pPr>
              <w:pStyle w:val="TableText"/>
              <w:jc w:val="right"/>
              <w:rPr>
                <w:lang w:eastAsia="en-AU"/>
              </w:rPr>
            </w:pPr>
            <w:r w:rsidRPr="00643528">
              <w:rPr>
                <w:lang w:eastAsia="en-AU"/>
              </w:rPr>
              <w:t>64</w:t>
            </w:r>
          </w:p>
        </w:tc>
      </w:tr>
      <w:tr w:rsidR="00056CBE" w:rsidRPr="00643528" w14:paraId="6226C1A8" w14:textId="77777777" w:rsidTr="00643528">
        <w:tc>
          <w:tcPr>
            <w:tcW w:w="943" w:type="pct"/>
            <w:vMerge/>
            <w:tcBorders>
              <w:top w:val="nil"/>
              <w:left w:val="nil"/>
              <w:bottom w:val="nil"/>
              <w:right w:val="nil"/>
            </w:tcBorders>
            <w:hideMark/>
          </w:tcPr>
          <w:p w14:paraId="53A795FA" w14:textId="77777777" w:rsidR="00056CBE" w:rsidRPr="00643528"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5F317960" w14:textId="7288AD05" w:rsidR="00056CBE" w:rsidRPr="00643528" w:rsidRDefault="00056CBE" w:rsidP="00256F28">
            <w:pPr>
              <w:pStyle w:val="TableText"/>
              <w:rPr>
                <w:lang w:eastAsia="en-AU"/>
              </w:rPr>
            </w:pPr>
            <w:r w:rsidRPr="00643528">
              <w:rPr>
                <w:lang w:eastAsia="en-AU"/>
              </w:rPr>
              <w:t>T1 – Through</w:t>
            </w:r>
            <w:r w:rsidR="00530A5D">
              <w:rPr>
                <w:lang w:eastAsia="en-AU"/>
              </w:rPr>
              <w:t>p</w:t>
            </w:r>
            <w:r w:rsidRPr="00643528">
              <w:rPr>
                <w:lang w:eastAsia="en-AU"/>
              </w:rPr>
              <w:t xml:space="preserve">ut – </w:t>
            </w:r>
            <w:r w:rsidR="00530A5D">
              <w:rPr>
                <w:lang w:eastAsia="en-AU"/>
              </w:rPr>
              <w:t>g</w:t>
            </w:r>
            <w:r w:rsidRPr="00643528">
              <w:rPr>
                <w:lang w:eastAsia="en-AU"/>
              </w:rPr>
              <w:t xml:space="preserve">oat, </w:t>
            </w:r>
            <w:r w:rsidR="00530A5D">
              <w:rPr>
                <w:lang w:eastAsia="en-AU"/>
              </w:rPr>
              <w:t>l</w:t>
            </w:r>
            <w:r w:rsidRPr="00643528">
              <w:rPr>
                <w:lang w:eastAsia="en-AU"/>
              </w:rPr>
              <w:t xml:space="preserve">amb, </w:t>
            </w:r>
            <w:r w:rsidR="00530A5D">
              <w:rPr>
                <w:lang w:eastAsia="en-AU"/>
              </w:rPr>
              <w:t>s</w:t>
            </w:r>
            <w:r w:rsidRPr="00643528">
              <w:rPr>
                <w:lang w:eastAsia="en-AU"/>
              </w:rPr>
              <w:t>heep</w:t>
            </w:r>
          </w:p>
        </w:tc>
        <w:tc>
          <w:tcPr>
            <w:tcW w:w="571" w:type="pct"/>
            <w:tcBorders>
              <w:top w:val="nil"/>
              <w:left w:val="nil"/>
              <w:bottom w:val="single" w:sz="4" w:space="0" w:color="auto"/>
              <w:right w:val="nil"/>
            </w:tcBorders>
            <w:shd w:val="clear" w:color="auto" w:fill="auto"/>
            <w:vAlign w:val="center"/>
            <w:hideMark/>
          </w:tcPr>
          <w:p w14:paraId="080A44C0" w14:textId="77777777" w:rsidR="00056CBE" w:rsidRPr="00643528" w:rsidRDefault="00056CBE" w:rsidP="00E24E06">
            <w:pPr>
              <w:pStyle w:val="TableText"/>
              <w:jc w:val="right"/>
              <w:rPr>
                <w:lang w:eastAsia="en-AU"/>
              </w:rPr>
            </w:pPr>
            <w:r w:rsidRPr="00643528">
              <w:rPr>
                <w:lang w:eastAsia="en-AU"/>
              </w:rPr>
              <w:t>282,854</w:t>
            </w:r>
          </w:p>
        </w:tc>
        <w:tc>
          <w:tcPr>
            <w:tcW w:w="571" w:type="pct"/>
            <w:tcBorders>
              <w:top w:val="nil"/>
              <w:left w:val="nil"/>
              <w:bottom w:val="single" w:sz="4" w:space="0" w:color="auto"/>
              <w:right w:val="nil"/>
            </w:tcBorders>
            <w:shd w:val="clear" w:color="auto" w:fill="auto"/>
            <w:vAlign w:val="center"/>
            <w:hideMark/>
          </w:tcPr>
          <w:p w14:paraId="0CFC2A4F" w14:textId="77777777" w:rsidR="00056CBE" w:rsidRPr="00643528" w:rsidRDefault="00056CBE" w:rsidP="00E24E06">
            <w:pPr>
              <w:pStyle w:val="TableText"/>
              <w:jc w:val="right"/>
              <w:rPr>
                <w:lang w:eastAsia="en-AU"/>
              </w:rPr>
            </w:pPr>
            <w:r w:rsidRPr="00643528">
              <w:rPr>
                <w:lang w:eastAsia="en-AU"/>
              </w:rPr>
              <w:t>3,278,076</w:t>
            </w:r>
          </w:p>
        </w:tc>
        <w:tc>
          <w:tcPr>
            <w:tcW w:w="581" w:type="pct"/>
            <w:tcBorders>
              <w:top w:val="nil"/>
              <w:left w:val="nil"/>
              <w:bottom w:val="single" w:sz="4" w:space="0" w:color="auto"/>
              <w:right w:val="nil"/>
            </w:tcBorders>
            <w:shd w:val="clear" w:color="auto" w:fill="auto"/>
            <w:vAlign w:val="center"/>
            <w:hideMark/>
          </w:tcPr>
          <w:p w14:paraId="40EFC0C9" w14:textId="77777777" w:rsidR="00056CBE" w:rsidRPr="00643528" w:rsidRDefault="00056CBE" w:rsidP="00E24E06">
            <w:pPr>
              <w:pStyle w:val="TableText"/>
              <w:jc w:val="right"/>
              <w:rPr>
                <w:lang w:eastAsia="en-AU"/>
              </w:rPr>
            </w:pPr>
            <w:r w:rsidRPr="00643528">
              <w:rPr>
                <w:lang w:eastAsia="en-AU"/>
              </w:rPr>
              <w:t>(2,995,222)</w:t>
            </w:r>
          </w:p>
        </w:tc>
        <w:tc>
          <w:tcPr>
            <w:tcW w:w="480" w:type="pct"/>
            <w:tcBorders>
              <w:top w:val="nil"/>
              <w:left w:val="nil"/>
              <w:bottom w:val="single" w:sz="4" w:space="0" w:color="auto"/>
              <w:right w:val="nil"/>
            </w:tcBorders>
            <w:shd w:val="clear" w:color="auto" w:fill="auto"/>
            <w:vAlign w:val="center"/>
            <w:hideMark/>
          </w:tcPr>
          <w:p w14:paraId="48C3BFAD" w14:textId="77777777" w:rsidR="00056CBE" w:rsidRPr="00643528" w:rsidRDefault="00056CBE" w:rsidP="00E24E06">
            <w:pPr>
              <w:pStyle w:val="TableText"/>
              <w:jc w:val="right"/>
              <w:rPr>
                <w:lang w:eastAsia="en-AU"/>
              </w:rPr>
            </w:pPr>
            <w:r w:rsidRPr="00643528">
              <w:rPr>
                <w:lang w:eastAsia="en-AU"/>
              </w:rPr>
              <w:t>(91)</w:t>
            </w:r>
          </w:p>
        </w:tc>
        <w:tc>
          <w:tcPr>
            <w:tcW w:w="571" w:type="pct"/>
            <w:tcBorders>
              <w:top w:val="nil"/>
              <w:left w:val="nil"/>
              <w:bottom w:val="single" w:sz="4" w:space="0" w:color="auto"/>
              <w:right w:val="nil"/>
            </w:tcBorders>
            <w:shd w:val="clear" w:color="auto" w:fill="auto"/>
            <w:vAlign w:val="center"/>
            <w:hideMark/>
          </w:tcPr>
          <w:p w14:paraId="189D35D4" w14:textId="77777777" w:rsidR="00056CBE" w:rsidRPr="00643528" w:rsidRDefault="00056CBE" w:rsidP="00E24E06">
            <w:pPr>
              <w:pStyle w:val="TableText"/>
              <w:jc w:val="right"/>
              <w:rPr>
                <w:lang w:eastAsia="en-AU"/>
              </w:rPr>
            </w:pPr>
            <w:r w:rsidRPr="00643528">
              <w:rPr>
                <w:lang w:eastAsia="en-AU"/>
              </w:rPr>
              <w:t>2,280,643</w:t>
            </w:r>
          </w:p>
        </w:tc>
      </w:tr>
      <w:tr w:rsidR="00056CBE" w:rsidRPr="00643528" w14:paraId="734394A1" w14:textId="77777777" w:rsidTr="00643528">
        <w:tc>
          <w:tcPr>
            <w:tcW w:w="943" w:type="pct"/>
            <w:vMerge/>
            <w:tcBorders>
              <w:top w:val="nil"/>
              <w:left w:val="nil"/>
              <w:bottom w:val="nil"/>
              <w:right w:val="nil"/>
            </w:tcBorders>
            <w:hideMark/>
          </w:tcPr>
          <w:p w14:paraId="03E03A5A" w14:textId="77777777" w:rsidR="00056CBE" w:rsidRPr="00643528"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4C2B4CE3" w14:textId="7A77190A" w:rsidR="00056CBE" w:rsidRPr="00643528" w:rsidRDefault="00056CBE" w:rsidP="00256F28">
            <w:pPr>
              <w:pStyle w:val="TableText"/>
              <w:rPr>
                <w:lang w:eastAsia="en-AU"/>
              </w:rPr>
            </w:pPr>
            <w:r w:rsidRPr="00643528">
              <w:rPr>
                <w:lang w:eastAsia="en-AU"/>
              </w:rPr>
              <w:t>T1 – Through</w:t>
            </w:r>
            <w:r w:rsidR="00530A5D">
              <w:rPr>
                <w:lang w:eastAsia="en-AU"/>
              </w:rPr>
              <w:t>p</w:t>
            </w:r>
            <w:r w:rsidRPr="00643528">
              <w:rPr>
                <w:lang w:eastAsia="en-AU"/>
              </w:rPr>
              <w:t xml:space="preserve">ut – </w:t>
            </w:r>
            <w:r w:rsidR="00530A5D">
              <w:rPr>
                <w:lang w:eastAsia="en-AU"/>
              </w:rPr>
              <w:t>d</w:t>
            </w:r>
            <w:r w:rsidRPr="00643528">
              <w:rPr>
                <w:lang w:eastAsia="en-AU"/>
              </w:rPr>
              <w:t xml:space="preserve">eer, </w:t>
            </w:r>
            <w:r w:rsidR="00530A5D">
              <w:rPr>
                <w:lang w:eastAsia="en-AU"/>
              </w:rPr>
              <w:t>g</w:t>
            </w:r>
            <w:r w:rsidRPr="00643528">
              <w:rPr>
                <w:lang w:eastAsia="en-AU"/>
              </w:rPr>
              <w:t xml:space="preserve">ame </w:t>
            </w:r>
            <w:r w:rsidR="00530A5D">
              <w:rPr>
                <w:lang w:eastAsia="en-AU"/>
              </w:rPr>
              <w:t>d</w:t>
            </w:r>
            <w:r w:rsidRPr="00643528">
              <w:rPr>
                <w:lang w:eastAsia="en-AU"/>
              </w:rPr>
              <w:t>eer</w:t>
            </w:r>
          </w:p>
        </w:tc>
        <w:tc>
          <w:tcPr>
            <w:tcW w:w="571" w:type="pct"/>
            <w:tcBorders>
              <w:top w:val="nil"/>
              <w:left w:val="nil"/>
              <w:bottom w:val="single" w:sz="4" w:space="0" w:color="auto"/>
              <w:right w:val="nil"/>
            </w:tcBorders>
            <w:shd w:val="clear" w:color="auto" w:fill="auto"/>
            <w:vAlign w:val="center"/>
            <w:hideMark/>
          </w:tcPr>
          <w:p w14:paraId="3431712A" w14:textId="77777777" w:rsidR="00056CBE" w:rsidRPr="00643528" w:rsidRDefault="00056CBE" w:rsidP="00E24E06">
            <w:pPr>
              <w:pStyle w:val="TableText"/>
              <w:jc w:val="right"/>
              <w:rPr>
                <w:lang w:eastAsia="en-AU"/>
              </w:rPr>
            </w:pPr>
            <w:r w:rsidRPr="00643528">
              <w:rPr>
                <w:lang w:eastAsia="en-AU"/>
              </w:rPr>
              <w:t>2,050</w:t>
            </w:r>
          </w:p>
        </w:tc>
        <w:tc>
          <w:tcPr>
            <w:tcW w:w="571" w:type="pct"/>
            <w:tcBorders>
              <w:top w:val="nil"/>
              <w:left w:val="nil"/>
              <w:bottom w:val="single" w:sz="4" w:space="0" w:color="auto"/>
              <w:right w:val="nil"/>
            </w:tcBorders>
            <w:shd w:val="clear" w:color="auto" w:fill="auto"/>
            <w:vAlign w:val="center"/>
            <w:hideMark/>
          </w:tcPr>
          <w:p w14:paraId="67CF23C9" w14:textId="77777777" w:rsidR="00056CBE" w:rsidRPr="00643528" w:rsidRDefault="00056CBE" w:rsidP="00E24E06">
            <w:pPr>
              <w:pStyle w:val="TableText"/>
              <w:jc w:val="right"/>
              <w:rPr>
                <w:lang w:eastAsia="en-AU"/>
              </w:rPr>
            </w:pPr>
            <w:r w:rsidRPr="00643528">
              <w:rPr>
                <w:lang w:eastAsia="en-AU"/>
              </w:rPr>
              <w:t>77</w:t>
            </w:r>
          </w:p>
        </w:tc>
        <w:tc>
          <w:tcPr>
            <w:tcW w:w="581" w:type="pct"/>
            <w:tcBorders>
              <w:top w:val="nil"/>
              <w:left w:val="nil"/>
              <w:bottom w:val="single" w:sz="4" w:space="0" w:color="auto"/>
              <w:right w:val="nil"/>
            </w:tcBorders>
            <w:shd w:val="clear" w:color="auto" w:fill="auto"/>
            <w:vAlign w:val="center"/>
            <w:hideMark/>
          </w:tcPr>
          <w:p w14:paraId="109CB375" w14:textId="77777777" w:rsidR="00056CBE" w:rsidRPr="00643528" w:rsidRDefault="00056CBE" w:rsidP="00E24E06">
            <w:pPr>
              <w:pStyle w:val="TableText"/>
              <w:jc w:val="right"/>
              <w:rPr>
                <w:lang w:eastAsia="en-AU"/>
              </w:rPr>
            </w:pPr>
            <w:r w:rsidRPr="00643528">
              <w:rPr>
                <w:lang w:eastAsia="en-AU"/>
              </w:rPr>
              <w:t>1,973</w:t>
            </w:r>
          </w:p>
        </w:tc>
        <w:tc>
          <w:tcPr>
            <w:tcW w:w="480" w:type="pct"/>
            <w:tcBorders>
              <w:top w:val="nil"/>
              <w:left w:val="nil"/>
              <w:bottom w:val="single" w:sz="4" w:space="0" w:color="auto"/>
              <w:right w:val="nil"/>
            </w:tcBorders>
            <w:shd w:val="clear" w:color="auto" w:fill="auto"/>
            <w:vAlign w:val="center"/>
            <w:hideMark/>
          </w:tcPr>
          <w:p w14:paraId="669D5662" w14:textId="77777777" w:rsidR="00056CBE" w:rsidRPr="00643528" w:rsidRDefault="00056CBE" w:rsidP="00E24E06">
            <w:pPr>
              <w:pStyle w:val="TableText"/>
              <w:jc w:val="right"/>
              <w:rPr>
                <w:lang w:eastAsia="en-AU"/>
              </w:rPr>
            </w:pPr>
            <w:r w:rsidRPr="00643528">
              <w:rPr>
                <w:lang w:eastAsia="en-AU"/>
              </w:rPr>
              <w:t>&gt;100</w:t>
            </w:r>
          </w:p>
        </w:tc>
        <w:tc>
          <w:tcPr>
            <w:tcW w:w="571" w:type="pct"/>
            <w:tcBorders>
              <w:top w:val="nil"/>
              <w:left w:val="nil"/>
              <w:bottom w:val="single" w:sz="4" w:space="0" w:color="auto"/>
              <w:right w:val="nil"/>
            </w:tcBorders>
            <w:shd w:val="clear" w:color="auto" w:fill="auto"/>
            <w:vAlign w:val="center"/>
            <w:hideMark/>
          </w:tcPr>
          <w:p w14:paraId="3D07E75C" w14:textId="77777777" w:rsidR="00056CBE" w:rsidRPr="00643528" w:rsidRDefault="00056CBE" w:rsidP="00E24E06">
            <w:pPr>
              <w:pStyle w:val="TableText"/>
              <w:jc w:val="right"/>
              <w:rPr>
                <w:lang w:eastAsia="en-AU"/>
              </w:rPr>
            </w:pPr>
            <w:r w:rsidRPr="00643528">
              <w:rPr>
                <w:lang w:eastAsia="en-AU"/>
              </w:rPr>
              <w:t>1,544</w:t>
            </w:r>
          </w:p>
        </w:tc>
      </w:tr>
      <w:tr w:rsidR="00056CBE" w:rsidRPr="00643528" w14:paraId="02AFD78F" w14:textId="77777777" w:rsidTr="00643528">
        <w:tc>
          <w:tcPr>
            <w:tcW w:w="943" w:type="pct"/>
            <w:vMerge/>
            <w:tcBorders>
              <w:top w:val="nil"/>
              <w:left w:val="nil"/>
              <w:bottom w:val="nil"/>
              <w:right w:val="nil"/>
            </w:tcBorders>
            <w:hideMark/>
          </w:tcPr>
          <w:p w14:paraId="02A9C706" w14:textId="77777777" w:rsidR="00056CBE" w:rsidRPr="00643528"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4644DF43" w14:textId="360F23B9" w:rsidR="00056CBE" w:rsidRPr="00643528" w:rsidRDefault="00056CBE" w:rsidP="00256F28">
            <w:pPr>
              <w:pStyle w:val="TableText"/>
              <w:rPr>
                <w:lang w:eastAsia="en-AU"/>
              </w:rPr>
            </w:pPr>
            <w:r w:rsidRPr="00643528">
              <w:rPr>
                <w:lang w:eastAsia="en-AU"/>
              </w:rPr>
              <w:t>T1 – Through</w:t>
            </w:r>
            <w:r w:rsidR="00530A5D">
              <w:rPr>
                <w:lang w:eastAsia="en-AU"/>
              </w:rPr>
              <w:t>put</w:t>
            </w:r>
            <w:r w:rsidRPr="00643528">
              <w:rPr>
                <w:lang w:eastAsia="en-AU"/>
              </w:rPr>
              <w:t xml:space="preserve"> – </w:t>
            </w:r>
            <w:r w:rsidR="00530A5D">
              <w:rPr>
                <w:lang w:eastAsia="en-AU"/>
              </w:rPr>
              <w:t>e</w:t>
            </w:r>
            <w:r w:rsidRPr="00643528">
              <w:rPr>
                <w:lang w:eastAsia="en-AU"/>
              </w:rPr>
              <w:t xml:space="preserve">mu, </w:t>
            </w:r>
            <w:r w:rsidR="00530A5D">
              <w:rPr>
                <w:lang w:eastAsia="en-AU"/>
              </w:rPr>
              <w:t>o</w:t>
            </w:r>
            <w:r w:rsidRPr="00643528">
              <w:rPr>
                <w:lang w:eastAsia="en-AU"/>
              </w:rPr>
              <w:t>strich</w:t>
            </w:r>
          </w:p>
        </w:tc>
        <w:tc>
          <w:tcPr>
            <w:tcW w:w="571" w:type="pct"/>
            <w:tcBorders>
              <w:top w:val="nil"/>
              <w:left w:val="nil"/>
              <w:bottom w:val="single" w:sz="4" w:space="0" w:color="auto"/>
              <w:right w:val="nil"/>
            </w:tcBorders>
            <w:shd w:val="clear" w:color="auto" w:fill="auto"/>
            <w:vAlign w:val="center"/>
            <w:hideMark/>
          </w:tcPr>
          <w:p w14:paraId="5B35DC04" w14:textId="77777777" w:rsidR="00056CBE" w:rsidRPr="00643528" w:rsidRDefault="00056CBE" w:rsidP="00E24E06">
            <w:pPr>
              <w:pStyle w:val="TableText"/>
              <w:jc w:val="right"/>
              <w:rPr>
                <w:lang w:eastAsia="en-AU"/>
              </w:rPr>
            </w:pPr>
            <w:r w:rsidRPr="00643528">
              <w:rPr>
                <w:lang w:eastAsia="en-AU"/>
              </w:rPr>
              <w:t>0</w:t>
            </w:r>
          </w:p>
        </w:tc>
        <w:tc>
          <w:tcPr>
            <w:tcW w:w="571" w:type="pct"/>
            <w:tcBorders>
              <w:top w:val="nil"/>
              <w:left w:val="nil"/>
              <w:bottom w:val="single" w:sz="4" w:space="0" w:color="auto"/>
              <w:right w:val="nil"/>
            </w:tcBorders>
            <w:shd w:val="clear" w:color="auto" w:fill="auto"/>
            <w:vAlign w:val="center"/>
            <w:hideMark/>
          </w:tcPr>
          <w:p w14:paraId="3C466BA8" w14:textId="77777777" w:rsidR="00056CBE" w:rsidRPr="00643528" w:rsidRDefault="00056CBE" w:rsidP="00E24E06">
            <w:pPr>
              <w:pStyle w:val="TableText"/>
              <w:jc w:val="right"/>
              <w:rPr>
                <w:lang w:eastAsia="en-AU"/>
              </w:rPr>
            </w:pPr>
            <w:r w:rsidRPr="00643528">
              <w:rPr>
                <w:lang w:eastAsia="en-AU"/>
              </w:rPr>
              <w:t>0</w:t>
            </w:r>
          </w:p>
        </w:tc>
        <w:tc>
          <w:tcPr>
            <w:tcW w:w="581" w:type="pct"/>
            <w:tcBorders>
              <w:top w:val="nil"/>
              <w:left w:val="nil"/>
              <w:bottom w:val="single" w:sz="4" w:space="0" w:color="auto"/>
              <w:right w:val="nil"/>
            </w:tcBorders>
            <w:shd w:val="clear" w:color="auto" w:fill="auto"/>
            <w:vAlign w:val="center"/>
            <w:hideMark/>
          </w:tcPr>
          <w:p w14:paraId="749CDC94" w14:textId="77777777" w:rsidR="00056CBE" w:rsidRPr="00643528" w:rsidRDefault="00056CBE" w:rsidP="00E24E06">
            <w:pPr>
              <w:pStyle w:val="TableText"/>
              <w:jc w:val="right"/>
              <w:rPr>
                <w:lang w:eastAsia="en-AU"/>
              </w:rPr>
            </w:pPr>
            <w:r w:rsidRPr="00643528">
              <w:rPr>
                <w:lang w:eastAsia="en-AU"/>
              </w:rPr>
              <w:t>–</w:t>
            </w:r>
          </w:p>
        </w:tc>
        <w:tc>
          <w:tcPr>
            <w:tcW w:w="480" w:type="pct"/>
            <w:tcBorders>
              <w:top w:val="nil"/>
              <w:left w:val="nil"/>
              <w:bottom w:val="single" w:sz="4" w:space="0" w:color="auto"/>
              <w:right w:val="nil"/>
            </w:tcBorders>
            <w:shd w:val="clear" w:color="auto" w:fill="auto"/>
            <w:vAlign w:val="center"/>
            <w:hideMark/>
          </w:tcPr>
          <w:p w14:paraId="40C6FDB8" w14:textId="77777777" w:rsidR="00056CBE" w:rsidRPr="00643528" w:rsidRDefault="00056CBE" w:rsidP="00E24E06">
            <w:pPr>
              <w:pStyle w:val="TableText"/>
              <w:jc w:val="right"/>
              <w:rPr>
                <w:lang w:eastAsia="en-AU"/>
              </w:rPr>
            </w:pPr>
            <w:r w:rsidRPr="00643528">
              <w:rPr>
                <w:lang w:eastAsia="en-AU"/>
              </w:rPr>
              <w:t>–</w:t>
            </w:r>
          </w:p>
        </w:tc>
        <w:tc>
          <w:tcPr>
            <w:tcW w:w="571" w:type="pct"/>
            <w:tcBorders>
              <w:top w:val="nil"/>
              <w:left w:val="nil"/>
              <w:bottom w:val="single" w:sz="4" w:space="0" w:color="auto"/>
              <w:right w:val="nil"/>
            </w:tcBorders>
            <w:shd w:val="clear" w:color="auto" w:fill="auto"/>
            <w:vAlign w:val="center"/>
            <w:hideMark/>
          </w:tcPr>
          <w:p w14:paraId="2D0061AC" w14:textId="77777777" w:rsidR="00056CBE" w:rsidRPr="00643528" w:rsidRDefault="00056CBE" w:rsidP="00E24E06">
            <w:pPr>
              <w:pStyle w:val="TableText"/>
              <w:jc w:val="right"/>
              <w:rPr>
                <w:lang w:eastAsia="en-AU"/>
              </w:rPr>
            </w:pPr>
            <w:r w:rsidRPr="00643528">
              <w:rPr>
                <w:lang w:eastAsia="en-AU"/>
              </w:rPr>
              <w:t>0</w:t>
            </w:r>
          </w:p>
        </w:tc>
      </w:tr>
      <w:tr w:rsidR="00056CBE" w:rsidRPr="00643528" w14:paraId="7EF1FB56" w14:textId="77777777" w:rsidTr="00643528">
        <w:tc>
          <w:tcPr>
            <w:tcW w:w="943" w:type="pct"/>
            <w:vMerge/>
            <w:tcBorders>
              <w:top w:val="nil"/>
              <w:left w:val="nil"/>
              <w:bottom w:val="nil"/>
              <w:right w:val="nil"/>
            </w:tcBorders>
            <w:hideMark/>
          </w:tcPr>
          <w:p w14:paraId="2EED34C9" w14:textId="77777777" w:rsidR="00056CBE" w:rsidRPr="00643528"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5D0EC076" w14:textId="0DF9AA27" w:rsidR="00056CBE" w:rsidRPr="00643528" w:rsidRDefault="00056CBE" w:rsidP="00256F28">
            <w:pPr>
              <w:pStyle w:val="TableText"/>
              <w:rPr>
                <w:lang w:eastAsia="en-AU"/>
              </w:rPr>
            </w:pPr>
            <w:r w:rsidRPr="00643528">
              <w:rPr>
                <w:lang w:eastAsia="en-AU"/>
              </w:rPr>
              <w:t>T1 – Through</w:t>
            </w:r>
            <w:r w:rsidR="00530A5D">
              <w:rPr>
                <w:lang w:eastAsia="en-AU"/>
              </w:rPr>
              <w:t>p</w:t>
            </w:r>
            <w:r w:rsidRPr="00643528">
              <w:rPr>
                <w:lang w:eastAsia="en-AU"/>
              </w:rPr>
              <w:t xml:space="preserve">ut – </w:t>
            </w:r>
            <w:r w:rsidR="00530A5D">
              <w:rPr>
                <w:lang w:eastAsia="en-AU"/>
              </w:rPr>
              <w:t>c</w:t>
            </w:r>
            <w:r w:rsidRPr="00643528">
              <w:rPr>
                <w:lang w:eastAsia="en-AU"/>
              </w:rPr>
              <w:t>alf</w:t>
            </w:r>
          </w:p>
        </w:tc>
        <w:tc>
          <w:tcPr>
            <w:tcW w:w="571" w:type="pct"/>
            <w:tcBorders>
              <w:top w:val="nil"/>
              <w:left w:val="nil"/>
              <w:bottom w:val="single" w:sz="4" w:space="0" w:color="auto"/>
              <w:right w:val="nil"/>
            </w:tcBorders>
            <w:shd w:val="clear" w:color="auto" w:fill="auto"/>
            <w:vAlign w:val="center"/>
            <w:hideMark/>
          </w:tcPr>
          <w:p w14:paraId="19FA5D9D" w14:textId="77777777" w:rsidR="00056CBE" w:rsidRPr="00643528" w:rsidRDefault="00056CBE" w:rsidP="00E24E06">
            <w:pPr>
              <w:pStyle w:val="TableText"/>
              <w:jc w:val="right"/>
              <w:rPr>
                <w:lang w:eastAsia="en-AU"/>
              </w:rPr>
            </w:pPr>
            <w:r w:rsidRPr="00643528">
              <w:rPr>
                <w:lang w:eastAsia="en-AU"/>
              </w:rPr>
              <w:t>224</w:t>
            </w:r>
          </w:p>
        </w:tc>
        <w:tc>
          <w:tcPr>
            <w:tcW w:w="571" w:type="pct"/>
            <w:tcBorders>
              <w:top w:val="nil"/>
              <w:left w:val="nil"/>
              <w:bottom w:val="single" w:sz="4" w:space="0" w:color="auto"/>
              <w:right w:val="nil"/>
            </w:tcBorders>
            <w:shd w:val="clear" w:color="auto" w:fill="auto"/>
            <w:vAlign w:val="center"/>
            <w:hideMark/>
          </w:tcPr>
          <w:p w14:paraId="34E61558" w14:textId="77777777" w:rsidR="00056CBE" w:rsidRPr="00643528" w:rsidRDefault="00056CBE" w:rsidP="00E24E06">
            <w:pPr>
              <w:pStyle w:val="TableText"/>
              <w:jc w:val="right"/>
              <w:rPr>
                <w:lang w:eastAsia="en-AU"/>
              </w:rPr>
            </w:pPr>
            <w:r w:rsidRPr="00643528">
              <w:rPr>
                <w:lang w:eastAsia="en-AU"/>
              </w:rPr>
              <w:t>6,721</w:t>
            </w:r>
          </w:p>
        </w:tc>
        <w:tc>
          <w:tcPr>
            <w:tcW w:w="581" w:type="pct"/>
            <w:tcBorders>
              <w:top w:val="nil"/>
              <w:left w:val="nil"/>
              <w:bottom w:val="single" w:sz="4" w:space="0" w:color="auto"/>
              <w:right w:val="nil"/>
            </w:tcBorders>
            <w:shd w:val="clear" w:color="auto" w:fill="auto"/>
            <w:vAlign w:val="center"/>
            <w:hideMark/>
          </w:tcPr>
          <w:p w14:paraId="79CDAB7B" w14:textId="77777777" w:rsidR="00056CBE" w:rsidRPr="00643528" w:rsidRDefault="00056CBE" w:rsidP="00E24E06">
            <w:pPr>
              <w:pStyle w:val="TableText"/>
              <w:jc w:val="right"/>
              <w:rPr>
                <w:lang w:eastAsia="en-AU"/>
              </w:rPr>
            </w:pPr>
            <w:r w:rsidRPr="00643528">
              <w:rPr>
                <w:lang w:eastAsia="en-AU"/>
              </w:rPr>
              <w:t>(6,497)</w:t>
            </w:r>
          </w:p>
        </w:tc>
        <w:tc>
          <w:tcPr>
            <w:tcW w:w="480" w:type="pct"/>
            <w:tcBorders>
              <w:top w:val="nil"/>
              <w:left w:val="nil"/>
              <w:bottom w:val="single" w:sz="4" w:space="0" w:color="auto"/>
              <w:right w:val="nil"/>
            </w:tcBorders>
            <w:shd w:val="clear" w:color="auto" w:fill="auto"/>
            <w:vAlign w:val="center"/>
            <w:hideMark/>
          </w:tcPr>
          <w:p w14:paraId="623877B5" w14:textId="77777777" w:rsidR="00056CBE" w:rsidRPr="00643528" w:rsidRDefault="00056CBE" w:rsidP="00E24E06">
            <w:pPr>
              <w:pStyle w:val="TableText"/>
              <w:jc w:val="right"/>
              <w:rPr>
                <w:lang w:eastAsia="en-AU"/>
              </w:rPr>
            </w:pPr>
            <w:r w:rsidRPr="00643528">
              <w:rPr>
                <w:lang w:eastAsia="en-AU"/>
              </w:rPr>
              <w:t>(97)</w:t>
            </w:r>
          </w:p>
        </w:tc>
        <w:tc>
          <w:tcPr>
            <w:tcW w:w="571" w:type="pct"/>
            <w:tcBorders>
              <w:top w:val="nil"/>
              <w:left w:val="nil"/>
              <w:bottom w:val="single" w:sz="4" w:space="0" w:color="auto"/>
              <w:right w:val="nil"/>
            </w:tcBorders>
            <w:shd w:val="clear" w:color="auto" w:fill="auto"/>
            <w:vAlign w:val="center"/>
            <w:hideMark/>
          </w:tcPr>
          <w:p w14:paraId="2B55357E" w14:textId="77777777" w:rsidR="00056CBE" w:rsidRPr="00643528" w:rsidRDefault="00056CBE" w:rsidP="00E24E06">
            <w:pPr>
              <w:pStyle w:val="TableText"/>
              <w:jc w:val="right"/>
              <w:rPr>
                <w:lang w:eastAsia="en-AU"/>
              </w:rPr>
            </w:pPr>
            <w:r w:rsidRPr="00643528">
              <w:rPr>
                <w:lang w:eastAsia="en-AU"/>
              </w:rPr>
              <w:t>0</w:t>
            </w:r>
          </w:p>
        </w:tc>
      </w:tr>
      <w:tr w:rsidR="00056CBE" w:rsidRPr="00643528" w14:paraId="23DD98C2" w14:textId="77777777" w:rsidTr="00643528">
        <w:tc>
          <w:tcPr>
            <w:tcW w:w="943" w:type="pct"/>
            <w:vMerge/>
            <w:tcBorders>
              <w:top w:val="nil"/>
              <w:left w:val="nil"/>
              <w:bottom w:val="nil"/>
              <w:right w:val="nil"/>
            </w:tcBorders>
            <w:hideMark/>
          </w:tcPr>
          <w:p w14:paraId="244406E8" w14:textId="77777777" w:rsidR="00056CBE" w:rsidRPr="00643528"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60C9C513" w14:textId="0CC358D9" w:rsidR="00056CBE" w:rsidRPr="00643528" w:rsidRDefault="00056CBE" w:rsidP="00256F28">
            <w:pPr>
              <w:pStyle w:val="TableText"/>
              <w:rPr>
                <w:lang w:eastAsia="en-AU"/>
              </w:rPr>
            </w:pPr>
            <w:r w:rsidRPr="00643528">
              <w:rPr>
                <w:lang w:eastAsia="en-AU"/>
              </w:rPr>
              <w:t>T1 – Through</w:t>
            </w:r>
            <w:r w:rsidR="00530A5D">
              <w:rPr>
                <w:lang w:eastAsia="en-AU"/>
              </w:rPr>
              <w:t>p</w:t>
            </w:r>
            <w:r w:rsidRPr="00643528">
              <w:rPr>
                <w:lang w:eastAsia="en-AU"/>
              </w:rPr>
              <w:t xml:space="preserve">ut – </w:t>
            </w:r>
            <w:r w:rsidR="00530A5D">
              <w:rPr>
                <w:lang w:eastAsia="en-AU"/>
              </w:rPr>
              <w:t>k</w:t>
            </w:r>
            <w:r w:rsidRPr="00643528">
              <w:rPr>
                <w:lang w:eastAsia="en-AU"/>
              </w:rPr>
              <w:t xml:space="preserve">angaroo, </w:t>
            </w:r>
            <w:r w:rsidR="00530A5D">
              <w:rPr>
                <w:lang w:eastAsia="en-AU"/>
              </w:rPr>
              <w:t>w</w:t>
            </w:r>
            <w:r w:rsidRPr="00643528">
              <w:rPr>
                <w:lang w:eastAsia="en-AU"/>
              </w:rPr>
              <w:t xml:space="preserve">ild </w:t>
            </w:r>
            <w:r w:rsidR="00530A5D">
              <w:rPr>
                <w:lang w:eastAsia="en-AU"/>
              </w:rPr>
              <w:t>b</w:t>
            </w:r>
            <w:r w:rsidRPr="00643528">
              <w:rPr>
                <w:lang w:eastAsia="en-AU"/>
              </w:rPr>
              <w:t>oar</w:t>
            </w:r>
          </w:p>
        </w:tc>
        <w:tc>
          <w:tcPr>
            <w:tcW w:w="571" w:type="pct"/>
            <w:tcBorders>
              <w:top w:val="nil"/>
              <w:left w:val="nil"/>
              <w:bottom w:val="single" w:sz="4" w:space="0" w:color="auto"/>
              <w:right w:val="nil"/>
            </w:tcBorders>
            <w:shd w:val="clear" w:color="auto" w:fill="auto"/>
            <w:vAlign w:val="center"/>
            <w:hideMark/>
          </w:tcPr>
          <w:p w14:paraId="379A5F17" w14:textId="77777777" w:rsidR="00056CBE" w:rsidRPr="00643528" w:rsidRDefault="00056CBE" w:rsidP="00E24E06">
            <w:pPr>
              <w:pStyle w:val="TableText"/>
              <w:jc w:val="right"/>
              <w:rPr>
                <w:lang w:eastAsia="en-AU"/>
              </w:rPr>
            </w:pPr>
            <w:r w:rsidRPr="00643528">
              <w:rPr>
                <w:lang w:eastAsia="en-AU"/>
              </w:rPr>
              <w:t>34,461</w:t>
            </w:r>
          </w:p>
        </w:tc>
        <w:tc>
          <w:tcPr>
            <w:tcW w:w="571" w:type="pct"/>
            <w:tcBorders>
              <w:top w:val="nil"/>
              <w:left w:val="nil"/>
              <w:bottom w:val="single" w:sz="4" w:space="0" w:color="auto"/>
              <w:right w:val="nil"/>
            </w:tcBorders>
            <w:shd w:val="clear" w:color="auto" w:fill="auto"/>
            <w:vAlign w:val="center"/>
            <w:hideMark/>
          </w:tcPr>
          <w:p w14:paraId="383ED27E" w14:textId="77777777" w:rsidR="00056CBE" w:rsidRPr="00643528" w:rsidRDefault="00056CBE" w:rsidP="00E24E06">
            <w:pPr>
              <w:pStyle w:val="TableText"/>
              <w:jc w:val="right"/>
              <w:rPr>
                <w:lang w:eastAsia="en-AU"/>
              </w:rPr>
            </w:pPr>
            <w:r w:rsidRPr="00643528">
              <w:rPr>
                <w:lang w:eastAsia="en-AU"/>
              </w:rPr>
              <w:t>107,483</w:t>
            </w:r>
          </w:p>
        </w:tc>
        <w:tc>
          <w:tcPr>
            <w:tcW w:w="581" w:type="pct"/>
            <w:tcBorders>
              <w:top w:val="nil"/>
              <w:left w:val="nil"/>
              <w:bottom w:val="single" w:sz="4" w:space="0" w:color="auto"/>
              <w:right w:val="nil"/>
            </w:tcBorders>
            <w:shd w:val="clear" w:color="auto" w:fill="auto"/>
            <w:vAlign w:val="center"/>
            <w:hideMark/>
          </w:tcPr>
          <w:p w14:paraId="5D1DFD25" w14:textId="77777777" w:rsidR="00056CBE" w:rsidRPr="00643528" w:rsidRDefault="00056CBE" w:rsidP="00E24E06">
            <w:pPr>
              <w:pStyle w:val="TableText"/>
              <w:jc w:val="right"/>
              <w:rPr>
                <w:lang w:eastAsia="en-AU"/>
              </w:rPr>
            </w:pPr>
            <w:r w:rsidRPr="00643528">
              <w:rPr>
                <w:lang w:eastAsia="en-AU"/>
              </w:rPr>
              <w:t>(73,022)</w:t>
            </w:r>
          </w:p>
        </w:tc>
        <w:tc>
          <w:tcPr>
            <w:tcW w:w="480" w:type="pct"/>
            <w:tcBorders>
              <w:top w:val="nil"/>
              <w:left w:val="nil"/>
              <w:bottom w:val="single" w:sz="4" w:space="0" w:color="auto"/>
              <w:right w:val="nil"/>
            </w:tcBorders>
            <w:shd w:val="clear" w:color="auto" w:fill="auto"/>
            <w:vAlign w:val="center"/>
            <w:hideMark/>
          </w:tcPr>
          <w:p w14:paraId="62855852" w14:textId="77777777" w:rsidR="00056CBE" w:rsidRPr="00643528" w:rsidRDefault="00056CBE" w:rsidP="00E24E06">
            <w:pPr>
              <w:pStyle w:val="TableText"/>
              <w:jc w:val="right"/>
              <w:rPr>
                <w:lang w:eastAsia="en-AU"/>
              </w:rPr>
            </w:pPr>
            <w:r w:rsidRPr="00643528">
              <w:rPr>
                <w:lang w:eastAsia="en-AU"/>
              </w:rPr>
              <w:t>(68)</w:t>
            </w:r>
          </w:p>
        </w:tc>
        <w:tc>
          <w:tcPr>
            <w:tcW w:w="571" w:type="pct"/>
            <w:tcBorders>
              <w:top w:val="nil"/>
              <w:left w:val="nil"/>
              <w:bottom w:val="single" w:sz="4" w:space="0" w:color="auto"/>
              <w:right w:val="nil"/>
            </w:tcBorders>
            <w:shd w:val="clear" w:color="auto" w:fill="auto"/>
            <w:vAlign w:val="center"/>
            <w:hideMark/>
          </w:tcPr>
          <w:p w14:paraId="309A2080" w14:textId="77777777" w:rsidR="00056CBE" w:rsidRPr="00643528" w:rsidRDefault="00056CBE" w:rsidP="00E24E06">
            <w:pPr>
              <w:pStyle w:val="TableText"/>
              <w:jc w:val="right"/>
              <w:rPr>
                <w:lang w:eastAsia="en-AU"/>
              </w:rPr>
            </w:pPr>
            <w:r w:rsidRPr="00643528">
              <w:rPr>
                <w:lang w:eastAsia="en-AU"/>
              </w:rPr>
              <w:t>0</w:t>
            </w:r>
          </w:p>
        </w:tc>
      </w:tr>
      <w:tr w:rsidR="00056CBE" w:rsidRPr="00643528" w14:paraId="463F5531" w14:textId="77777777" w:rsidTr="00643528">
        <w:tc>
          <w:tcPr>
            <w:tcW w:w="943" w:type="pct"/>
            <w:vMerge/>
            <w:tcBorders>
              <w:top w:val="nil"/>
              <w:left w:val="nil"/>
              <w:bottom w:val="nil"/>
              <w:right w:val="nil"/>
            </w:tcBorders>
            <w:hideMark/>
          </w:tcPr>
          <w:p w14:paraId="0739FE2E" w14:textId="77777777" w:rsidR="00056CBE" w:rsidRPr="00643528" w:rsidRDefault="00056CBE" w:rsidP="00256F28">
            <w:pPr>
              <w:pStyle w:val="TableText"/>
              <w:rPr>
                <w:lang w:eastAsia="en-AU"/>
              </w:rPr>
            </w:pPr>
          </w:p>
        </w:tc>
        <w:tc>
          <w:tcPr>
            <w:tcW w:w="1282" w:type="pct"/>
            <w:tcBorders>
              <w:top w:val="nil"/>
              <w:left w:val="nil"/>
              <w:bottom w:val="single" w:sz="8" w:space="0" w:color="auto"/>
              <w:right w:val="nil"/>
            </w:tcBorders>
            <w:shd w:val="clear" w:color="auto" w:fill="auto"/>
            <w:hideMark/>
          </w:tcPr>
          <w:p w14:paraId="56D8EAEC" w14:textId="025A076D" w:rsidR="00056CBE" w:rsidRPr="00643528" w:rsidRDefault="00056CBE" w:rsidP="00256F28">
            <w:pPr>
              <w:pStyle w:val="TableText"/>
              <w:rPr>
                <w:lang w:eastAsia="en-AU"/>
              </w:rPr>
            </w:pPr>
            <w:r w:rsidRPr="00643528">
              <w:rPr>
                <w:lang w:eastAsia="en-AU"/>
              </w:rPr>
              <w:t>T1 – Through</w:t>
            </w:r>
            <w:r w:rsidR="00530A5D">
              <w:rPr>
                <w:lang w:eastAsia="en-AU"/>
              </w:rPr>
              <w:t>pu</w:t>
            </w:r>
            <w:r w:rsidRPr="00643528">
              <w:rPr>
                <w:lang w:eastAsia="en-AU"/>
              </w:rPr>
              <w:t xml:space="preserve">t – </w:t>
            </w:r>
            <w:r w:rsidR="00530A5D">
              <w:rPr>
                <w:lang w:eastAsia="en-AU"/>
              </w:rPr>
              <w:t>r</w:t>
            </w:r>
            <w:r w:rsidRPr="00643528">
              <w:rPr>
                <w:lang w:eastAsia="en-AU"/>
              </w:rPr>
              <w:t>abbit/</w:t>
            </w:r>
            <w:r w:rsidR="00530A5D">
              <w:rPr>
                <w:lang w:eastAsia="en-AU"/>
              </w:rPr>
              <w:t>p</w:t>
            </w:r>
            <w:r w:rsidRPr="00643528">
              <w:rPr>
                <w:lang w:eastAsia="en-AU"/>
              </w:rPr>
              <w:t>ossum/</w:t>
            </w:r>
            <w:r w:rsidR="00530A5D">
              <w:rPr>
                <w:lang w:eastAsia="en-AU"/>
              </w:rPr>
              <w:t>h</w:t>
            </w:r>
            <w:r w:rsidRPr="00643528">
              <w:rPr>
                <w:lang w:eastAsia="en-AU"/>
              </w:rPr>
              <w:t>are</w:t>
            </w:r>
          </w:p>
        </w:tc>
        <w:tc>
          <w:tcPr>
            <w:tcW w:w="571" w:type="pct"/>
            <w:tcBorders>
              <w:top w:val="nil"/>
              <w:left w:val="nil"/>
              <w:bottom w:val="single" w:sz="8" w:space="0" w:color="auto"/>
              <w:right w:val="nil"/>
            </w:tcBorders>
            <w:shd w:val="clear" w:color="auto" w:fill="auto"/>
            <w:vAlign w:val="center"/>
            <w:hideMark/>
          </w:tcPr>
          <w:p w14:paraId="5AB9531F" w14:textId="77777777" w:rsidR="00056CBE" w:rsidRPr="00643528" w:rsidRDefault="00056CBE" w:rsidP="00E24E06">
            <w:pPr>
              <w:pStyle w:val="TableText"/>
              <w:jc w:val="right"/>
              <w:rPr>
                <w:lang w:eastAsia="en-AU"/>
              </w:rPr>
            </w:pPr>
            <w:r w:rsidRPr="00643528">
              <w:rPr>
                <w:lang w:eastAsia="en-AU"/>
              </w:rPr>
              <w:t>0</w:t>
            </w:r>
          </w:p>
        </w:tc>
        <w:tc>
          <w:tcPr>
            <w:tcW w:w="571" w:type="pct"/>
            <w:tcBorders>
              <w:top w:val="nil"/>
              <w:left w:val="nil"/>
              <w:bottom w:val="single" w:sz="8" w:space="0" w:color="auto"/>
              <w:right w:val="nil"/>
            </w:tcBorders>
            <w:shd w:val="clear" w:color="auto" w:fill="auto"/>
            <w:vAlign w:val="center"/>
            <w:hideMark/>
          </w:tcPr>
          <w:p w14:paraId="12B6C1FA" w14:textId="77777777" w:rsidR="00056CBE" w:rsidRPr="00643528" w:rsidRDefault="00056CBE" w:rsidP="00E24E06">
            <w:pPr>
              <w:pStyle w:val="TableText"/>
              <w:jc w:val="right"/>
              <w:rPr>
                <w:lang w:eastAsia="en-AU"/>
              </w:rPr>
            </w:pPr>
            <w:r w:rsidRPr="00643528">
              <w:rPr>
                <w:lang w:eastAsia="en-AU"/>
              </w:rPr>
              <w:t>0</w:t>
            </w:r>
          </w:p>
        </w:tc>
        <w:tc>
          <w:tcPr>
            <w:tcW w:w="581" w:type="pct"/>
            <w:tcBorders>
              <w:top w:val="nil"/>
              <w:left w:val="nil"/>
              <w:bottom w:val="single" w:sz="8" w:space="0" w:color="auto"/>
              <w:right w:val="nil"/>
            </w:tcBorders>
            <w:shd w:val="clear" w:color="auto" w:fill="auto"/>
            <w:vAlign w:val="center"/>
            <w:hideMark/>
          </w:tcPr>
          <w:p w14:paraId="083C5503" w14:textId="77777777" w:rsidR="00056CBE" w:rsidRPr="00643528" w:rsidRDefault="00056CBE" w:rsidP="00E24E06">
            <w:pPr>
              <w:pStyle w:val="TableText"/>
              <w:jc w:val="right"/>
              <w:rPr>
                <w:lang w:eastAsia="en-AU"/>
              </w:rPr>
            </w:pPr>
            <w:r w:rsidRPr="00643528">
              <w:rPr>
                <w:lang w:eastAsia="en-AU"/>
              </w:rPr>
              <w:t>–</w:t>
            </w:r>
          </w:p>
        </w:tc>
        <w:tc>
          <w:tcPr>
            <w:tcW w:w="480" w:type="pct"/>
            <w:tcBorders>
              <w:top w:val="nil"/>
              <w:left w:val="nil"/>
              <w:bottom w:val="single" w:sz="8" w:space="0" w:color="auto"/>
              <w:right w:val="nil"/>
            </w:tcBorders>
            <w:shd w:val="clear" w:color="auto" w:fill="auto"/>
            <w:vAlign w:val="center"/>
            <w:hideMark/>
          </w:tcPr>
          <w:p w14:paraId="0D96089E" w14:textId="77777777" w:rsidR="00056CBE" w:rsidRPr="00643528" w:rsidRDefault="00056CBE" w:rsidP="00E24E06">
            <w:pPr>
              <w:pStyle w:val="TableText"/>
              <w:jc w:val="right"/>
              <w:rPr>
                <w:lang w:eastAsia="en-AU"/>
              </w:rPr>
            </w:pPr>
            <w:r w:rsidRPr="00643528">
              <w:rPr>
                <w:lang w:eastAsia="en-AU"/>
              </w:rPr>
              <w:t>–</w:t>
            </w:r>
          </w:p>
        </w:tc>
        <w:tc>
          <w:tcPr>
            <w:tcW w:w="571" w:type="pct"/>
            <w:tcBorders>
              <w:top w:val="nil"/>
              <w:left w:val="nil"/>
              <w:bottom w:val="single" w:sz="8" w:space="0" w:color="auto"/>
              <w:right w:val="nil"/>
            </w:tcBorders>
            <w:shd w:val="clear" w:color="auto" w:fill="auto"/>
            <w:vAlign w:val="center"/>
            <w:hideMark/>
          </w:tcPr>
          <w:p w14:paraId="4FD55589" w14:textId="77777777" w:rsidR="00056CBE" w:rsidRPr="00643528" w:rsidRDefault="00056CBE" w:rsidP="00E24E06">
            <w:pPr>
              <w:pStyle w:val="TableText"/>
              <w:jc w:val="right"/>
              <w:rPr>
                <w:lang w:eastAsia="en-AU"/>
              </w:rPr>
            </w:pPr>
            <w:r w:rsidRPr="00643528">
              <w:rPr>
                <w:lang w:eastAsia="en-AU"/>
              </w:rPr>
              <w:t>0</w:t>
            </w:r>
          </w:p>
        </w:tc>
      </w:tr>
      <w:tr w:rsidR="00056CBE" w:rsidRPr="00643528" w14:paraId="2241E666" w14:textId="77777777" w:rsidTr="00643528">
        <w:tc>
          <w:tcPr>
            <w:tcW w:w="943" w:type="pct"/>
            <w:vMerge w:val="restart"/>
            <w:tcBorders>
              <w:top w:val="single" w:sz="8" w:space="0" w:color="auto"/>
              <w:left w:val="nil"/>
              <w:bottom w:val="single" w:sz="8" w:space="0" w:color="000000"/>
              <w:right w:val="nil"/>
            </w:tcBorders>
            <w:shd w:val="clear" w:color="auto" w:fill="auto"/>
            <w:hideMark/>
          </w:tcPr>
          <w:p w14:paraId="06B40C46" w14:textId="77777777" w:rsidR="00056CBE" w:rsidRPr="00643528" w:rsidRDefault="00056CBE" w:rsidP="00256F28">
            <w:pPr>
              <w:pStyle w:val="TableText"/>
              <w:rPr>
                <w:lang w:eastAsia="en-AU"/>
              </w:rPr>
            </w:pPr>
            <w:r w:rsidRPr="00643528">
              <w:rPr>
                <w:lang w:eastAsia="en-AU"/>
              </w:rPr>
              <w:t>Fees – audit and inspection</w:t>
            </w:r>
          </w:p>
        </w:tc>
        <w:tc>
          <w:tcPr>
            <w:tcW w:w="1282" w:type="pct"/>
            <w:tcBorders>
              <w:top w:val="nil"/>
              <w:left w:val="nil"/>
              <w:bottom w:val="single" w:sz="4" w:space="0" w:color="auto"/>
              <w:right w:val="nil"/>
            </w:tcBorders>
            <w:shd w:val="clear" w:color="auto" w:fill="auto"/>
            <w:hideMark/>
          </w:tcPr>
          <w:p w14:paraId="44479A3E" w14:textId="4C81B1F0" w:rsidR="00056CBE" w:rsidRPr="00643528" w:rsidRDefault="00056CBE" w:rsidP="00256F28">
            <w:pPr>
              <w:pStyle w:val="TableText"/>
              <w:rPr>
                <w:lang w:eastAsia="en-AU"/>
              </w:rPr>
            </w:pPr>
            <w:r w:rsidRPr="00643528">
              <w:rPr>
                <w:lang w:eastAsia="en-AU"/>
              </w:rPr>
              <w:t xml:space="preserve">Standard </w:t>
            </w:r>
            <w:r w:rsidR="00530A5D">
              <w:rPr>
                <w:lang w:eastAsia="en-AU"/>
              </w:rPr>
              <w:t>a</w:t>
            </w:r>
            <w:r w:rsidRPr="00643528">
              <w:rPr>
                <w:lang w:eastAsia="en-AU"/>
              </w:rPr>
              <w:t>udit</w:t>
            </w:r>
          </w:p>
        </w:tc>
        <w:tc>
          <w:tcPr>
            <w:tcW w:w="571" w:type="pct"/>
            <w:tcBorders>
              <w:top w:val="nil"/>
              <w:left w:val="nil"/>
              <w:bottom w:val="single" w:sz="4" w:space="0" w:color="auto"/>
              <w:right w:val="nil"/>
            </w:tcBorders>
            <w:shd w:val="clear" w:color="auto" w:fill="auto"/>
            <w:vAlign w:val="center"/>
            <w:hideMark/>
          </w:tcPr>
          <w:p w14:paraId="09F51AF0" w14:textId="77777777" w:rsidR="00056CBE" w:rsidRPr="00643528" w:rsidRDefault="00056CBE" w:rsidP="00E24E06">
            <w:pPr>
              <w:pStyle w:val="TableText"/>
              <w:jc w:val="right"/>
              <w:rPr>
                <w:lang w:eastAsia="en-AU"/>
              </w:rPr>
            </w:pPr>
            <w:r w:rsidRPr="00643528">
              <w:rPr>
                <w:lang w:eastAsia="en-AU"/>
              </w:rPr>
              <w:t>14,152</w:t>
            </w:r>
          </w:p>
        </w:tc>
        <w:tc>
          <w:tcPr>
            <w:tcW w:w="571" w:type="pct"/>
            <w:tcBorders>
              <w:top w:val="nil"/>
              <w:left w:val="nil"/>
              <w:bottom w:val="single" w:sz="4" w:space="0" w:color="auto"/>
              <w:right w:val="nil"/>
            </w:tcBorders>
            <w:shd w:val="clear" w:color="auto" w:fill="auto"/>
            <w:vAlign w:val="center"/>
            <w:hideMark/>
          </w:tcPr>
          <w:p w14:paraId="1B171792" w14:textId="77777777" w:rsidR="00056CBE" w:rsidRPr="00643528" w:rsidRDefault="00056CBE" w:rsidP="00E24E06">
            <w:pPr>
              <w:pStyle w:val="TableText"/>
              <w:jc w:val="right"/>
              <w:rPr>
                <w:lang w:eastAsia="en-AU"/>
              </w:rPr>
            </w:pPr>
            <w:r w:rsidRPr="00643528">
              <w:rPr>
                <w:lang w:eastAsia="en-AU"/>
              </w:rPr>
              <w:t>9,620</w:t>
            </w:r>
          </w:p>
        </w:tc>
        <w:tc>
          <w:tcPr>
            <w:tcW w:w="581" w:type="pct"/>
            <w:tcBorders>
              <w:top w:val="nil"/>
              <w:left w:val="nil"/>
              <w:bottom w:val="single" w:sz="4" w:space="0" w:color="auto"/>
              <w:right w:val="nil"/>
            </w:tcBorders>
            <w:shd w:val="clear" w:color="auto" w:fill="auto"/>
            <w:vAlign w:val="center"/>
            <w:hideMark/>
          </w:tcPr>
          <w:p w14:paraId="5FF00039" w14:textId="77777777" w:rsidR="00056CBE" w:rsidRPr="00643528" w:rsidRDefault="00056CBE" w:rsidP="00E24E06">
            <w:pPr>
              <w:pStyle w:val="TableText"/>
              <w:jc w:val="right"/>
              <w:rPr>
                <w:lang w:eastAsia="en-AU"/>
              </w:rPr>
            </w:pPr>
            <w:r w:rsidRPr="00643528">
              <w:rPr>
                <w:lang w:eastAsia="en-AU"/>
              </w:rPr>
              <w:t>4,532</w:t>
            </w:r>
          </w:p>
        </w:tc>
        <w:tc>
          <w:tcPr>
            <w:tcW w:w="480" w:type="pct"/>
            <w:tcBorders>
              <w:top w:val="nil"/>
              <w:left w:val="nil"/>
              <w:bottom w:val="single" w:sz="4" w:space="0" w:color="auto"/>
              <w:right w:val="nil"/>
            </w:tcBorders>
            <w:shd w:val="clear" w:color="auto" w:fill="auto"/>
            <w:vAlign w:val="center"/>
            <w:hideMark/>
          </w:tcPr>
          <w:p w14:paraId="15456FCA" w14:textId="77777777" w:rsidR="00056CBE" w:rsidRPr="00643528" w:rsidRDefault="00056CBE" w:rsidP="00E24E06">
            <w:pPr>
              <w:pStyle w:val="TableText"/>
              <w:jc w:val="right"/>
              <w:rPr>
                <w:lang w:eastAsia="en-AU"/>
              </w:rPr>
            </w:pPr>
            <w:r w:rsidRPr="00643528">
              <w:rPr>
                <w:lang w:eastAsia="en-AU"/>
              </w:rPr>
              <w:t>47</w:t>
            </w:r>
          </w:p>
        </w:tc>
        <w:tc>
          <w:tcPr>
            <w:tcW w:w="571" w:type="pct"/>
            <w:tcBorders>
              <w:top w:val="nil"/>
              <w:left w:val="nil"/>
              <w:bottom w:val="single" w:sz="4" w:space="0" w:color="auto"/>
              <w:right w:val="nil"/>
            </w:tcBorders>
            <w:shd w:val="clear" w:color="auto" w:fill="auto"/>
            <w:vAlign w:val="center"/>
            <w:hideMark/>
          </w:tcPr>
          <w:p w14:paraId="23DE4D22" w14:textId="77777777" w:rsidR="00056CBE" w:rsidRPr="00643528" w:rsidRDefault="00056CBE" w:rsidP="00E24E06">
            <w:pPr>
              <w:pStyle w:val="TableText"/>
              <w:jc w:val="right"/>
              <w:rPr>
                <w:lang w:eastAsia="en-AU"/>
              </w:rPr>
            </w:pPr>
            <w:r w:rsidRPr="00643528">
              <w:rPr>
                <w:lang w:eastAsia="en-AU"/>
              </w:rPr>
              <w:t>11,441</w:t>
            </w:r>
          </w:p>
        </w:tc>
      </w:tr>
      <w:tr w:rsidR="00056CBE" w:rsidRPr="00643528" w14:paraId="33C0932E" w14:textId="77777777" w:rsidTr="00643528">
        <w:tc>
          <w:tcPr>
            <w:tcW w:w="943" w:type="pct"/>
            <w:vMerge/>
            <w:tcBorders>
              <w:top w:val="single" w:sz="8" w:space="0" w:color="auto"/>
              <w:left w:val="nil"/>
              <w:bottom w:val="single" w:sz="8" w:space="0" w:color="000000"/>
              <w:right w:val="nil"/>
            </w:tcBorders>
            <w:hideMark/>
          </w:tcPr>
          <w:p w14:paraId="553090C0" w14:textId="77777777" w:rsidR="00056CBE" w:rsidRPr="00643528"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432DEA58" w14:textId="1D814B00" w:rsidR="00056CBE" w:rsidRPr="00643528" w:rsidRDefault="00056CBE" w:rsidP="00256F28">
            <w:pPr>
              <w:pStyle w:val="TableText"/>
              <w:rPr>
                <w:lang w:eastAsia="en-AU"/>
              </w:rPr>
            </w:pPr>
            <w:r w:rsidRPr="00643528">
              <w:rPr>
                <w:lang w:eastAsia="en-AU"/>
              </w:rPr>
              <w:t xml:space="preserve">Specialist </w:t>
            </w:r>
            <w:r w:rsidR="00530A5D">
              <w:rPr>
                <w:lang w:eastAsia="en-AU"/>
              </w:rPr>
              <w:t>a</w:t>
            </w:r>
            <w:r w:rsidRPr="00643528">
              <w:rPr>
                <w:lang w:eastAsia="en-AU"/>
              </w:rPr>
              <w:t>udit (ATM)</w:t>
            </w:r>
          </w:p>
        </w:tc>
        <w:tc>
          <w:tcPr>
            <w:tcW w:w="571" w:type="pct"/>
            <w:tcBorders>
              <w:top w:val="nil"/>
              <w:left w:val="nil"/>
              <w:bottom w:val="single" w:sz="4" w:space="0" w:color="auto"/>
              <w:right w:val="nil"/>
            </w:tcBorders>
            <w:shd w:val="clear" w:color="auto" w:fill="auto"/>
            <w:vAlign w:val="center"/>
            <w:hideMark/>
          </w:tcPr>
          <w:p w14:paraId="53840E94" w14:textId="77777777" w:rsidR="00056CBE" w:rsidRPr="00643528" w:rsidRDefault="00056CBE" w:rsidP="00E24E06">
            <w:pPr>
              <w:pStyle w:val="TableText"/>
              <w:jc w:val="right"/>
              <w:rPr>
                <w:lang w:eastAsia="en-AU"/>
              </w:rPr>
            </w:pPr>
            <w:r w:rsidRPr="00643528">
              <w:rPr>
                <w:lang w:eastAsia="en-AU"/>
              </w:rPr>
              <w:t>19,303</w:t>
            </w:r>
          </w:p>
        </w:tc>
        <w:tc>
          <w:tcPr>
            <w:tcW w:w="571" w:type="pct"/>
            <w:tcBorders>
              <w:top w:val="nil"/>
              <w:left w:val="nil"/>
              <w:bottom w:val="single" w:sz="4" w:space="0" w:color="auto"/>
              <w:right w:val="nil"/>
            </w:tcBorders>
            <w:shd w:val="clear" w:color="auto" w:fill="auto"/>
            <w:vAlign w:val="center"/>
            <w:hideMark/>
          </w:tcPr>
          <w:p w14:paraId="0C303117" w14:textId="77777777" w:rsidR="00056CBE" w:rsidRPr="00643528" w:rsidRDefault="00056CBE" w:rsidP="00E24E06">
            <w:pPr>
              <w:pStyle w:val="TableText"/>
              <w:jc w:val="right"/>
              <w:rPr>
                <w:lang w:eastAsia="en-AU"/>
              </w:rPr>
            </w:pPr>
            <w:r w:rsidRPr="00643528">
              <w:rPr>
                <w:lang w:eastAsia="en-AU"/>
              </w:rPr>
              <w:t>24,991</w:t>
            </w:r>
          </w:p>
        </w:tc>
        <w:tc>
          <w:tcPr>
            <w:tcW w:w="581" w:type="pct"/>
            <w:tcBorders>
              <w:top w:val="nil"/>
              <w:left w:val="nil"/>
              <w:bottom w:val="single" w:sz="4" w:space="0" w:color="auto"/>
              <w:right w:val="nil"/>
            </w:tcBorders>
            <w:shd w:val="clear" w:color="auto" w:fill="auto"/>
            <w:vAlign w:val="center"/>
            <w:hideMark/>
          </w:tcPr>
          <w:p w14:paraId="2FD7F35B" w14:textId="77777777" w:rsidR="00056CBE" w:rsidRPr="00643528" w:rsidRDefault="00056CBE" w:rsidP="00E24E06">
            <w:pPr>
              <w:pStyle w:val="TableText"/>
              <w:jc w:val="right"/>
              <w:rPr>
                <w:lang w:eastAsia="en-AU"/>
              </w:rPr>
            </w:pPr>
            <w:r w:rsidRPr="00643528">
              <w:rPr>
                <w:lang w:eastAsia="en-AU"/>
              </w:rPr>
              <w:t>(5,688)</w:t>
            </w:r>
          </w:p>
        </w:tc>
        <w:tc>
          <w:tcPr>
            <w:tcW w:w="480" w:type="pct"/>
            <w:tcBorders>
              <w:top w:val="nil"/>
              <w:left w:val="nil"/>
              <w:bottom w:val="single" w:sz="4" w:space="0" w:color="auto"/>
              <w:right w:val="nil"/>
            </w:tcBorders>
            <w:shd w:val="clear" w:color="auto" w:fill="auto"/>
            <w:vAlign w:val="center"/>
            <w:hideMark/>
          </w:tcPr>
          <w:p w14:paraId="0A9FC626" w14:textId="77777777" w:rsidR="00056CBE" w:rsidRPr="00643528" w:rsidRDefault="00056CBE" w:rsidP="00E24E06">
            <w:pPr>
              <w:pStyle w:val="TableText"/>
              <w:jc w:val="right"/>
              <w:rPr>
                <w:lang w:eastAsia="en-AU"/>
              </w:rPr>
            </w:pPr>
            <w:r w:rsidRPr="00643528">
              <w:rPr>
                <w:lang w:eastAsia="en-AU"/>
              </w:rPr>
              <w:t>(23)</w:t>
            </w:r>
          </w:p>
        </w:tc>
        <w:tc>
          <w:tcPr>
            <w:tcW w:w="571" w:type="pct"/>
            <w:tcBorders>
              <w:top w:val="nil"/>
              <w:left w:val="nil"/>
              <w:bottom w:val="single" w:sz="4" w:space="0" w:color="auto"/>
              <w:right w:val="nil"/>
            </w:tcBorders>
            <w:shd w:val="clear" w:color="auto" w:fill="auto"/>
            <w:vAlign w:val="center"/>
            <w:hideMark/>
          </w:tcPr>
          <w:p w14:paraId="2E815C59" w14:textId="77777777" w:rsidR="00056CBE" w:rsidRPr="00643528" w:rsidRDefault="00056CBE" w:rsidP="00E24E06">
            <w:pPr>
              <w:pStyle w:val="TableText"/>
              <w:jc w:val="right"/>
              <w:rPr>
                <w:lang w:eastAsia="en-AU"/>
              </w:rPr>
            </w:pPr>
            <w:r w:rsidRPr="00643528">
              <w:rPr>
                <w:lang w:eastAsia="en-AU"/>
              </w:rPr>
              <w:t>18,353</w:t>
            </w:r>
          </w:p>
        </w:tc>
      </w:tr>
      <w:tr w:rsidR="00056CBE" w:rsidRPr="00643528" w14:paraId="685F1127" w14:textId="77777777" w:rsidTr="00643528">
        <w:tc>
          <w:tcPr>
            <w:tcW w:w="943" w:type="pct"/>
            <w:vMerge/>
            <w:tcBorders>
              <w:top w:val="single" w:sz="8" w:space="0" w:color="auto"/>
              <w:left w:val="nil"/>
              <w:bottom w:val="single" w:sz="8" w:space="0" w:color="000000"/>
              <w:right w:val="nil"/>
            </w:tcBorders>
            <w:hideMark/>
          </w:tcPr>
          <w:p w14:paraId="7DDB252C" w14:textId="77777777" w:rsidR="00056CBE" w:rsidRPr="00643528"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5B2E048A" w14:textId="656D6146" w:rsidR="00056CBE" w:rsidRPr="00643528" w:rsidRDefault="00056CBE" w:rsidP="00256F28">
            <w:pPr>
              <w:pStyle w:val="TableText"/>
              <w:rPr>
                <w:lang w:eastAsia="en-AU"/>
              </w:rPr>
            </w:pPr>
            <w:r w:rsidRPr="00643528">
              <w:rPr>
                <w:lang w:eastAsia="en-AU"/>
              </w:rPr>
              <w:t xml:space="preserve">FSMA – </w:t>
            </w:r>
            <w:r w:rsidR="00530A5D">
              <w:rPr>
                <w:lang w:eastAsia="en-AU"/>
              </w:rPr>
              <w:t>m</w:t>
            </w:r>
            <w:r w:rsidRPr="00643528">
              <w:rPr>
                <w:lang w:eastAsia="en-AU"/>
              </w:rPr>
              <w:t>onthly</w:t>
            </w:r>
          </w:p>
        </w:tc>
        <w:tc>
          <w:tcPr>
            <w:tcW w:w="571" w:type="pct"/>
            <w:tcBorders>
              <w:top w:val="nil"/>
              <w:left w:val="nil"/>
              <w:bottom w:val="single" w:sz="4" w:space="0" w:color="auto"/>
              <w:right w:val="nil"/>
            </w:tcBorders>
            <w:shd w:val="clear" w:color="auto" w:fill="auto"/>
            <w:vAlign w:val="center"/>
            <w:hideMark/>
          </w:tcPr>
          <w:p w14:paraId="0F711035" w14:textId="77777777" w:rsidR="00056CBE" w:rsidRPr="00643528" w:rsidRDefault="00056CBE" w:rsidP="00E24E06">
            <w:pPr>
              <w:pStyle w:val="TableText"/>
              <w:jc w:val="right"/>
              <w:rPr>
                <w:lang w:eastAsia="en-AU"/>
              </w:rPr>
            </w:pPr>
            <w:r w:rsidRPr="00643528">
              <w:rPr>
                <w:lang w:eastAsia="en-AU"/>
              </w:rPr>
              <w:t>1,094</w:t>
            </w:r>
          </w:p>
        </w:tc>
        <w:tc>
          <w:tcPr>
            <w:tcW w:w="571" w:type="pct"/>
            <w:tcBorders>
              <w:top w:val="nil"/>
              <w:left w:val="nil"/>
              <w:bottom w:val="single" w:sz="4" w:space="0" w:color="auto"/>
              <w:right w:val="nil"/>
            </w:tcBorders>
            <w:shd w:val="clear" w:color="auto" w:fill="auto"/>
            <w:vAlign w:val="center"/>
            <w:hideMark/>
          </w:tcPr>
          <w:p w14:paraId="7F876E35" w14:textId="77777777" w:rsidR="00056CBE" w:rsidRPr="00643528" w:rsidRDefault="00056CBE" w:rsidP="00E24E06">
            <w:pPr>
              <w:pStyle w:val="TableText"/>
              <w:jc w:val="right"/>
              <w:rPr>
                <w:lang w:eastAsia="en-AU"/>
              </w:rPr>
            </w:pPr>
            <w:r w:rsidRPr="00643528">
              <w:rPr>
                <w:lang w:eastAsia="en-AU"/>
              </w:rPr>
              <w:t>1,105</w:t>
            </w:r>
          </w:p>
        </w:tc>
        <w:tc>
          <w:tcPr>
            <w:tcW w:w="581" w:type="pct"/>
            <w:tcBorders>
              <w:top w:val="nil"/>
              <w:left w:val="nil"/>
              <w:bottom w:val="single" w:sz="4" w:space="0" w:color="auto"/>
              <w:right w:val="nil"/>
            </w:tcBorders>
            <w:shd w:val="clear" w:color="auto" w:fill="auto"/>
            <w:vAlign w:val="center"/>
            <w:hideMark/>
          </w:tcPr>
          <w:p w14:paraId="099BE6DC" w14:textId="77777777" w:rsidR="00056CBE" w:rsidRPr="00643528" w:rsidRDefault="00056CBE" w:rsidP="00E24E06">
            <w:pPr>
              <w:pStyle w:val="TableText"/>
              <w:jc w:val="right"/>
              <w:rPr>
                <w:lang w:eastAsia="en-AU"/>
              </w:rPr>
            </w:pPr>
            <w:r w:rsidRPr="00643528">
              <w:rPr>
                <w:lang w:eastAsia="en-AU"/>
              </w:rPr>
              <w:t>(11)</w:t>
            </w:r>
          </w:p>
        </w:tc>
        <w:tc>
          <w:tcPr>
            <w:tcW w:w="480" w:type="pct"/>
            <w:tcBorders>
              <w:top w:val="nil"/>
              <w:left w:val="nil"/>
              <w:bottom w:val="single" w:sz="4" w:space="0" w:color="auto"/>
              <w:right w:val="nil"/>
            </w:tcBorders>
            <w:shd w:val="clear" w:color="auto" w:fill="auto"/>
            <w:vAlign w:val="center"/>
            <w:hideMark/>
          </w:tcPr>
          <w:p w14:paraId="3CF44649" w14:textId="77777777" w:rsidR="00056CBE" w:rsidRPr="00643528" w:rsidRDefault="00056CBE" w:rsidP="00E24E06">
            <w:pPr>
              <w:pStyle w:val="TableText"/>
              <w:jc w:val="right"/>
              <w:rPr>
                <w:lang w:eastAsia="en-AU"/>
              </w:rPr>
            </w:pPr>
            <w:r w:rsidRPr="00643528">
              <w:rPr>
                <w:lang w:eastAsia="en-AU"/>
              </w:rPr>
              <w:t>(1)</w:t>
            </w:r>
          </w:p>
        </w:tc>
        <w:tc>
          <w:tcPr>
            <w:tcW w:w="571" w:type="pct"/>
            <w:tcBorders>
              <w:top w:val="nil"/>
              <w:left w:val="nil"/>
              <w:bottom w:val="single" w:sz="4" w:space="0" w:color="auto"/>
              <w:right w:val="nil"/>
            </w:tcBorders>
            <w:shd w:val="clear" w:color="auto" w:fill="auto"/>
            <w:vAlign w:val="center"/>
            <w:hideMark/>
          </w:tcPr>
          <w:p w14:paraId="0239397D" w14:textId="77777777" w:rsidR="00056CBE" w:rsidRPr="00643528" w:rsidRDefault="00056CBE" w:rsidP="00E24E06">
            <w:pPr>
              <w:pStyle w:val="TableText"/>
              <w:jc w:val="right"/>
              <w:rPr>
                <w:lang w:eastAsia="en-AU"/>
              </w:rPr>
            </w:pPr>
            <w:r w:rsidRPr="00643528">
              <w:rPr>
                <w:lang w:eastAsia="en-AU"/>
              </w:rPr>
              <w:t>1,125</w:t>
            </w:r>
          </w:p>
        </w:tc>
      </w:tr>
      <w:tr w:rsidR="00056CBE" w:rsidRPr="00643528" w14:paraId="1E3CE439" w14:textId="77777777" w:rsidTr="00643528">
        <w:tc>
          <w:tcPr>
            <w:tcW w:w="943" w:type="pct"/>
            <w:vMerge/>
            <w:tcBorders>
              <w:top w:val="single" w:sz="8" w:space="0" w:color="auto"/>
              <w:left w:val="nil"/>
              <w:bottom w:val="single" w:sz="8" w:space="0" w:color="000000"/>
              <w:right w:val="nil"/>
            </w:tcBorders>
            <w:hideMark/>
          </w:tcPr>
          <w:p w14:paraId="2221ED79" w14:textId="77777777" w:rsidR="00056CBE" w:rsidRPr="00643528"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0A9FFF72" w14:textId="33B42686" w:rsidR="00056CBE" w:rsidRPr="00643528" w:rsidRDefault="00056CBE" w:rsidP="00256F28">
            <w:pPr>
              <w:pStyle w:val="TableText"/>
              <w:rPr>
                <w:lang w:eastAsia="en-AU"/>
              </w:rPr>
            </w:pPr>
            <w:r w:rsidRPr="00643528">
              <w:rPr>
                <w:lang w:eastAsia="en-AU"/>
              </w:rPr>
              <w:t xml:space="preserve">FSMA – </w:t>
            </w:r>
            <w:r w:rsidR="00530A5D">
              <w:rPr>
                <w:lang w:eastAsia="en-AU"/>
              </w:rPr>
              <w:t>q</w:t>
            </w:r>
            <w:r w:rsidR="00530A5D" w:rsidRPr="00643528">
              <w:rPr>
                <w:lang w:eastAsia="en-AU"/>
              </w:rPr>
              <w:t>tr.</w:t>
            </w:r>
            <w:r w:rsidRPr="00643528">
              <w:rPr>
                <w:lang w:eastAsia="en-AU"/>
              </w:rPr>
              <w:t xml:space="preserve"> </w:t>
            </w:r>
            <w:r w:rsidR="00530A5D">
              <w:rPr>
                <w:lang w:eastAsia="en-AU"/>
              </w:rPr>
              <w:t>h</w:t>
            </w:r>
            <w:r w:rsidRPr="00643528">
              <w:rPr>
                <w:lang w:eastAsia="en-AU"/>
              </w:rPr>
              <w:t xml:space="preserve">r </w:t>
            </w:r>
            <w:r w:rsidR="00530A5D">
              <w:rPr>
                <w:lang w:eastAsia="en-AU"/>
              </w:rPr>
              <w:t>p</w:t>
            </w:r>
            <w:r w:rsidRPr="00643528">
              <w:rPr>
                <w:lang w:eastAsia="en-AU"/>
              </w:rPr>
              <w:t>lanned</w:t>
            </w:r>
          </w:p>
        </w:tc>
        <w:tc>
          <w:tcPr>
            <w:tcW w:w="571" w:type="pct"/>
            <w:tcBorders>
              <w:top w:val="nil"/>
              <w:left w:val="nil"/>
              <w:bottom w:val="single" w:sz="4" w:space="0" w:color="auto"/>
              <w:right w:val="nil"/>
            </w:tcBorders>
            <w:shd w:val="clear" w:color="auto" w:fill="auto"/>
            <w:vAlign w:val="center"/>
            <w:hideMark/>
          </w:tcPr>
          <w:p w14:paraId="37176CA4" w14:textId="77777777" w:rsidR="00056CBE" w:rsidRPr="00643528" w:rsidRDefault="00056CBE" w:rsidP="00E24E06">
            <w:pPr>
              <w:pStyle w:val="TableText"/>
              <w:jc w:val="right"/>
              <w:rPr>
                <w:lang w:eastAsia="en-AU"/>
              </w:rPr>
            </w:pPr>
            <w:r w:rsidRPr="00643528">
              <w:rPr>
                <w:lang w:eastAsia="en-AU"/>
              </w:rPr>
              <w:t>57,529</w:t>
            </w:r>
          </w:p>
        </w:tc>
        <w:tc>
          <w:tcPr>
            <w:tcW w:w="571" w:type="pct"/>
            <w:tcBorders>
              <w:top w:val="nil"/>
              <w:left w:val="nil"/>
              <w:bottom w:val="single" w:sz="4" w:space="0" w:color="auto"/>
              <w:right w:val="nil"/>
            </w:tcBorders>
            <w:shd w:val="clear" w:color="auto" w:fill="auto"/>
            <w:vAlign w:val="center"/>
            <w:hideMark/>
          </w:tcPr>
          <w:p w14:paraId="18AF9A36" w14:textId="77777777" w:rsidR="00056CBE" w:rsidRPr="00643528" w:rsidRDefault="00056CBE" w:rsidP="00E24E06">
            <w:pPr>
              <w:pStyle w:val="TableText"/>
              <w:jc w:val="right"/>
              <w:rPr>
                <w:lang w:eastAsia="en-AU"/>
              </w:rPr>
            </w:pPr>
            <w:r w:rsidRPr="00643528">
              <w:rPr>
                <w:lang w:eastAsia="en-AU"/>
              </w:rPr>
              <w:t>98,600</w:t>
            </w:r>
          </w:p>
        </w:tc>
        <w:tc>
          <w:tcPr>
            <w:tcW w:w="581" w:type="pct"/>
            <w:tcBorders>
              <w:top w:val="nil"/>
              <w:left w:val="nil"/>
              <w:bottom w:val="single" w:sz="4" w:space="0" w:color="auto"/>
              <w:right w:val="nil"/>
            </w:tcBorders>
            <w:shd w:val="clear" w:color="auto" w:fill="auto"/>
            <w:vAlign w:val="center"/>
            <w:hideMark/>
          </w:tcPr>
          <w:p w14:paraId="23BBB9CC" w14:textId="77777777" w:rsidR="00056CBE" w:rsidRPr="00643528" w:rsidRDefault="00056CBE" w:rsidP="00E24E06">
            <w:pPr>
              <w:pStyle w:val="TableText"/>
              <w:jc w:val="right"/>
              <w:rPr>
                <w:lang w:eastAsia="en-AU"/>
              </w:rPr>
            </w:pPr>
            <w:r w:rsidRPr="00643528">
              <w:rPr>
                <w:lang w:eastAsia="en-AU"/>
              </w:rPr>
              <w:t>(41,071)</w:t>
            </w:r>
          </w:p>
        </w:tc>
        <w:tc>
          <w:tcPr>
            <w:tcW w:w="480" w:type="pct"/>
            <w:tcBorders>
              <w:top w:val="nil"/>
              <w:left w:val="nil"/>
              <w:bottom w:val="single" w:sz="4" w:space="0" w:color="auto"/>
              <w:right w:val="nil"/>
            </w:tcBorders>
            <w:shd w:val="clear" w:color="auto" w:fill="auto"/>
            <w:vAlign w:val="center"/>
            <w:hideMark/>
          </w:tcPr>
          <w:p w14:paraId="73D39914" w14:textId="77777777" w:rsidR="00056CBE" w:rsidRPr="00643528" w:rsidRDefault="00056CBE" w:rsidP="00E24E06">
            <w:pPr>
              <w:pStyle w:val="TableText"/>
              <w:jc w:val="right"/>
              <w:rPr>
                <w:lang w:eastAsia="en-AU"/>
              </w:rPr>
            </w:pPr>
            <w:r w:rsidRPr="00643528">
              <w:rPr>
                <w:lang w:eastAsia="en-AU"/>
              </w:rPr>
              <w:t>(42)</w:t>
            </w:r>
          </w:p>
        </w:tc>
        <w:tc>
          <w:tcPr>
            <w:tcW w:w="571" w:type="pct"/>
            <w:tcBorders>
              <w:top w:val="nil"/>
              <w:left w:val="nil"/>
              <w:bottom w:val="single" w:sz="4" w:space="0" w:color="auto"/>
              <w:right w:val="nil"/>
            </w:tcBorders>
            <w:shd w:val="clear" w:color="auto" w:fill="auto"/>
            <w:vAlign w:val="center"/>
            <w:hideMark/>
          </w:tcPr>
          <w:p w14:paraId="17A48988" w14:textId="77777777" w:rsidR="00056CBE" w:rsidRPr="00643528" w:rsidRDefault="00056CBE" w:rsidP="00E24E06">
            <w:pPr>
              <w:pStyle w:val="TableText"/>
              <w:jc w:val="right"/>
              <w:rPr>
                <w:lang w:eastAsia="en-AU"/>
              </w:rPr>
            </w:pPr>
            <w:r w:rsidRPr="00643528">
              <w:rPr>
                <w:lang w:eastAsia="en-AU"/>
              </w:rPr>
              <w:t>115,180</w:t>
            </w:r>
          </w:p>
        </w:tc>
      </w:tr>
      <w:tr w:rsidR="00056CBE" w:rsidRPr="00643528" w14:paraId="1A5A5A9A" w14:textId="77777777" w:rsidTr="00643528">
        <w:tc>
          <w:tcPr>
            <w:tcW w:w="943" w:type="pct"/>
            <w:vMerge/>
            <w:tcBorders>
              <w:top w:val="single" w:sz="8" w:space="0" w:color="auto"/>
              <w:left w:val="nil"/>
              <w:bottom w:val="single" w:sz="8" w:space="0" w:color="000000"/>
              <w:right w:val="nil"/>
            </w:tcBorders>
            <w:hideMark/>
          </w:tcPr>
          <w:p w14:paraId="210C32EE" w14:textId="77777777" w:rsidR="00056CBE" w:rsidRPr="00643528"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6C0A8E3A" w14:textId="4F122AF6" w:rsidR="00056CBE" w:rsidRPr="00643528" w:rsidRDefault="00056CBE" w:rsidP="00256F28">
            <w:pPr>
              <w:pStyle w:val="TableText"/>
              <w:rPr>
                <w:lang w:eastAsia="en-AU"/>
              </w:rPr>
            </w:pPr>
            <w:r w:rsidRPr="00643528">
              <w:rPr>
                <w:lang w:eastAsia="en-AU"/>
              </w:rPr>
              <w:t xml:space="preserve">FSMA – </w:t>
            </w:r>
            <w:r w:rsidR="00530A5D">
              <w:rPr>
                <w:lang w:eastAsia="en-AU"/>
              </w:rPr>
              <w:t>q</w:t>
            </w:r>
            <w:r w:rsidR="00530A5D" w:rsidRPr="00643528">
              <w:rPr>
                <w:lang w:eastAsia="en-AU"/>
              </w:rPr>
              <w:t xml:space="preserve">tr. </w:t>
            </w:r>
            <w:r w:rsidR="00530A5D">
              <w:rPr>
                <w:lang w:eastAsia="en-AU"/>
              </w:rPr>
              <w:t>h</w:t>
            </w:r>
            <w:r w:rsidR="00530A5D" w:rsidRPr="00643528">
              <w:rPr>
                <w:lang w:eastAsia="en-AU"/>
              </w:rPr>
              <w:t xml:space="preserve">r </w:t>
            </w:r>
            <w:r w:rsidR="00530A5D">
              <w:rPr>
                <w:lang w:eastAsia="en-AU"/>
              </w:rPr>
              <w:t>unp</w:t>
            </w:r>
            <w:r w:rsidR="00530A5D" w:rsidRPr="00643528">
              <w:rPr>
                <w:lang w:eastAsia="en-AU"/>
              </w:rPr>
              <w:t>lanned</w:t>
            </w:r>
          </w:p>
        </w:tc>
        <w:tc>
          <w:tcPr>
            <w:tcW w:w="571" w:type="pct"/>
            <w:tcBorders>
              <w:top w:val="nil"/>
              <w:left w:val="nil"/>
              <w:bottom w:val="single" w:sz="4" w:space="0" w:color="auto"/>
              <w:right w:val="nil"/>
            </w:tcBorders>
            <w:shd w:val="clear" w:color="auto" w:fill="auto"/>
            <w:vAlign w:val="center"/>
            <w:hideMark/>
          </w:tcPr>
          <w:p w14:paraId="6BFF48FE" w14:textId="77777777" w:rsidR="00056CBE" w:rsidRPr="00643528" w:rsidRDefault="00056CBE" w:rsidP="00E24E06">
            <w:pPr>
              <w:pStyle w:val="TableText"/>
              <w:jc w:val="right"/>
              <w:rPr>
                <w:lang w:eastAsia="en-AU"/>
              </w:rPr>
            </w:pPr>
            <w:r w:rsidRPr="00643528">
              <w:rPr>
                <w:lang w:eastAsia="en-AU"/>
              </w:rPr>
              <w:t>6,148</w:t>
            </w:r>
          </w:p>
        </w:tc>
        <w:tc>
          <w:tcPr>
            <w:tcW w:w="571" w:type="pct"/>
            <w:tcBorders>
              <w:top w:val="nil"/>
              <w:left w:val="nil"/>
              <w:bottom w:val="single" w:sz="4" w:space="0" w:color="auto"/>
              <w:right w:val="nil"/>
            </w:tcBorders>
            <w:shd w:val="clear" w:color="auto" w:fill="auto"/>
            <w:vAlign w:val="center"/>
            <w:hideMark/>
          </w:tcPr>
          <w:p w14:paraId="3BA03747" w14:textId="77777777" w:rsidR="00056CBE" w:rsidRPr="00643528" w:rsidRDefault="00056CBE" w:rsidP="00E24E06">
            <w:pPr>
              <w:pStyle w:val="TableText"/>
              <w:jc w:val="right"/>
              <w:rPr>
                <w:lang w:eastAsia="en-AU"/>
              </w:rPr>
            </w:pPr>
            <w:r w:rsidRPr="00643528">
              <w:rPr>
                <w:lang w:eastAsia="en-AU"/>
              </w:rPr>
              <w:t>36,040</w:t>
            </w:r>
          </w:p>
        </w:tc>
        <w:tc>
          <w:tcPr>
            <w:tcW w:w="581" w:type="pct"/>
            <w:tcBorders>
              <w:top w:val="nil"/>
              <w:left w:val="nil"/>
              <w:bottom w:val="single" w:sz="4" w:space="0" w:color="auto"/>
              <w:right w:val="nil"/>
            </w:tcBorders>
            <w:shd w:val="clear" w:color="auto" w:fill="auto"/>
            <w:vAlign w:val="center"/>
            <w:hideMark/>
          </w:tcPr>
          <w:p w14:paraId="0C757424" w14:textId="77777777" w:rsidR="00056CBE" w:rsidRPr="00643528" w:rsidRDefault="00056CBE" w:rsidP="00E24E06">
            <w:pPr>
              <w:pStyle w:val="TableText"/>
              <w:jc w:val="right"/>
              <w:rPr>
                <w:lang w:eastAsia="en-AU"/>
              </w:rPr>
            </w:pPr>
            <w:r w:rsidRPr="00643528">
              <w:rPr>
                <w:lang w:eastAsia="en-AU"/>
              </w:rPr>
              <w:t>(29,892)</w:t>
            </w:r>
          </w:p>
        </w:tc>
        <w:tc>
          <w:tcPr>
            <w:tcW w:w="480" w:type="pct"/>
            <w:tcBorders>
              <w:top w:val="nil"/>
              <w:left w:val="nil"/>
              <w:bottom w:val="single" w:sz="4" w:space="0" w:color="auto"/>
              <w:right w:val="nil"/>
            </w:tcBorders>
            <w:shd w:val="clear" w:color="auto" w:fill="auto"/>
            <w:vAlign w:val="center"/>
            <w:hideMark/>
          </w:tcPr>
          <w:p w14:paraId="10F53849" w14:textId="77777777" w:rsidR="00056CBE" w:rsidRPr="00643528" w:rsidRDefault="00056CBE" w:rsidP="00E24E06">
            <w:pPr>
              <w:pStyle w:val="TableText"/>
              <w:jc w:val="right"/>
              <w:rPr>
                <w:lang w:eastAsia="en-AU"/>
              </w:rPr>
            </w:pPr>
            <w:r w:rsidRPr="00643528">
              <w:rPr>
                <w:lang w:eastAsia="en-AU"/>
              </w:rPr>
              <w:t>(83)</w:t>
            </w:r>
          </w:p>
        </w:tc>
        <w:tc>
          <w:tcPr>
            <w:tcW w:w="571" w:type="pct"/>
            <w:tcBorders>
              <w:top w:val="nil"/>
              <w:left w:val="nil"/>
              <w:bottom w:val="single" w:sz="4" w:space="0" w:color="auto"/>
              <w:right w:val="nil"/>
            </w:tcBorders>
            <w:shd w:val="clear" w:color="auto" w:fill="auto"/>
            <w:vAlign w:val="center"/>
            <w:hideMark/>
          </w:tcPr>
          <w:p w14:paraId="2A7D0CA2" w14:textId="77777777" w:rsidR="00056CBE" w:rsidRPr="00643528" w:rsidRDefault="00056CBE" w:rsidP="00E24E06">
            <w:pPr>
              <w:pStyle w:val="TableText"/>
              <w:jc w:val="right"/>
              <w:rPr>
                <w:lang w:eastAsia="en-AU"/>
              </w:rPr>
            </w:pPr>
            <w:r w:rsidRPr="00643528">
              <w:rPr>
                <w:lang w:eastAsia="en-AU"/>
              </w:rPr>
              <w:t>45,601</w:t>
            </w:r>
          </w:p>
        </w:tc>
      </w:tr>
      <w:tr w:rsidR="00056CBE" w:rsidRPr="00643528" w14:paraId="559519BA" w14:textId="77777777" w:rsidTr="00643528">
        <w:tc>
          <w:tcPr>
            <w:tcW w:w="943" w:type="pct"/>
            <w:vMerge/>
            <w:tcBorders>
              <w:top w:val="single" w:sz="8" w:space="0" w:color="auto"/>
              <w:left w:val="nil"/>
              <w:bottom w:val="single" w:sz="8" w:space="0" w:color="000000"/>
              <w:right w:val="nil"/>
            </w:tcBorders>
            <w:hideMark/>
          </w:tcPr>
          <w:p w14:paraId="17527ED2" w14:textId="77777777" w:rsidR="00056CBE" w:rsidRPr="00643528"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52D7EC98" w14:textId="31BE55FD" w:rsidR="00056CBE" w:rsidRPr="00643528" w:rsidRDefault="00056CBE" w:rsidP="00256F28">
            <w:pPr>
              <w:pStyle w:val="TableText"/>
              <w:rPr>
                <w:lang w:eastAsia="en-AU"/>
              </w:rPr>
            </w:pPr>
            <w:r w:rsidRPr="00643528">
              <w:rPr>
                <w:lang w:eastAsia="en-AU"/>
              </w:rPr>
              <w:t xml:space="preserve">OPV – </w:t>
            </w:r>
            <w:r w:rsidR="00530A5D">
              <w:rPr>
                <w:lang w:eastAsia="en-AU"/>
              </w:rPr>
              <w:t>m</w:t>
            </w:r>
            <w:r w:rsidRPr="00643528">
              <w:rPr>
                <w:lang w:eastAsia="en-AU"/>
              </w:rPr>
              <w:t>onthly</w:t>
            </w:r>
          </w:p>
        </w:tc>
        <w:tc>
          <w:tcPr>
            <w:tcW w:w="571" w:type="pct"/>
            <w:tcBorders>
              <w:top w:val="nil"/>
              <w:left w:val="nil"/>
              <w:bottom w:val="single" w:sz="4" w:space="0" w:color="auto"/>
              <w:right w:val="nil"/>
            </w:tcBorders>
            <w:shd w:val="clear" w:color="auto" w:fill="auto"/>
            <w:vAlign w:val="center"/>
            <w:hideMark/>
          </w:tcPr>
          <w:p w14:paraId="409C66CC" w14:textId="77777777" w:rsidR="00056CBE" w:rsidRPr="00643528" w:rsidRDefault="00056CBE" w:rsidP="00E24E06">
            <w:pPr>
              <w:pStyle w:val="TableText"/>
              <w:jc w:val="right"/>
              <w:rPr>
                <w:lang w:eastAsia="en-AU"/>
              </w:rPr>
            </w:pPr>
            <w:r w:rsidRPr="00643528">
              <w:rPr>
                <w:lang w:eastAsia="en-AU"/>
              </w:rPr>
              <w:t>1,133</w:t>
            </w:r>
          </w:p>
        </w:tc>
        <w:tc>
          <w:tcPr>
            <w:tcW w:w="571" w:type="pct"/>
            <w:tcBorders>
              <w:top w:val="nil"/>
              <w:left w:val="nil"/>
              <w:bottom w:val="single" w:sz="4" w:space="0" w:color="auto"/>
              <w:right w:val="nil"/>
            </w:tcBorders>
            <w:shd w:val="clear" w:color="auto" w:fill="auto"/>
            <w:vAlign w:val="center"/>
            <w:hideMark/>
          </w:tcPr>
          <w:p w14:paraId="4B20894F" w14:textId="77777777" w:rsidR="00056CBE" w:rsidRPr="00643528" w:rsidRDefault="00056CBE" w:rsidP="00E24E06">
            <w:pPr>
              <w:pStyle w:val="TableText"/>
              <w:jc w:val="right"/>
              <w:rPr>
                <w:lang w:eastAsia="en-AU"/>
              </w:rPr>
            </w:pPr>
            <w:r w:rsidRPr="00643528">
              <w:rPr>
                <w:lang w:eastAsia="en-AU"/>
              </w:rPr>
              <w:t>1,027</w:t>
            </w:r>
          </w:p>
        </w:tc>
        <w:tc>
          <w:tcPr>
            <w:tcW w:w="581" w:type="pct"/>
            <w:tcBorders>
              <w:top w:val="nil"/>
              <w:left w:val="nil"/>
              <w:bottom w:val="single" w:sz="4" w:space="0" w:color="auto"/>
              <w:right w:val="nil"/>
            </w:tcBorders>
            <w:shd w:val="clear" w:color="auto" w:fill="auto"/>
            <w:vAlign w:val="center"/>
            <w:hideMark/>
          </w:tcPr>
          <w:p w14:paraId="3A407670" w14:textId="77777777" w:rsidR="00056CBE" w:rsidRPr="00643528" w:rsidRDefault="00056CBE" w:rsidP="00E24E06">
            <w:pPr>
              <w:pStyle w:val="TableText"/>
              <w:jc w:val="right"/>
              <w:rPr>
                <w:lang w:eastAsia="en-AU"/>
              </w:rPr>
            </w:pPr>
            <w:r w:rsidRPr="00643528">
              <w:rPr>
                <w:lang w:eastAsia="en-AU"/>
              </w:rPr>
              <w:t>106</w:t>
            </w:r>
          </w:p>
        </w:tc>
        <w:tc>
          <w:tcPr>
            <w:tcW w:w="480" w:type="pct"/>
            <w:tcBorders>
              <w:top w:val="nil"/>
              <w:left w:val="nil"/>
              <w:bottom w:val="single" w:sz="4" w:space="0" w:color="auto"/>
              <w:right w:val="nil"/>
            </w:tcBorders>
            <w:shd w:val="clear" w:color="auto" w:fill="auto"/>
            <w:vAlign w:val="center"/>
            <w:hideMark/>
          </w:tcPr>
          <w:p w14:paraId="560C7F40" w14:textId="77777777" w:rsidR="00056CBE" w:rsidRPr="00643528" w:rsidRDefault="00056CBE" w:rsidP="00E24E06">
            <w:pPr>
              <w:pStyle w:val="TableText"/>
              <w:jc w:val="right"/>
              <w:rPr>
                <w:lang w:eastAsia="en-AU"/>
              </w:rPr>
            </w:pPr>
            <w:r w:rsidRPr="00643528">
              <w:rPr>
                <w:lang w:eastAsia="en-AU"/>
              </w:rPr>
              <w:t>10</w:t>
            </w:r>
          </w:p>
        </w:tc>
        <w:tc>
          <w:tcPr>
            <w:tcW w:w="571" w:type="pct"/>
            <w:tcBorders>
              <w:top w:val="nil"/>
              <w:left w:val="nil"/>
              <w:bottom w:val="single" w:sz="4" w:space="0" w:color="auto"/>
              <w:right w:val="nil"/>
            </w:tcBorders>
            <w:shd w:val="clear" w:color="auto" w:fill="auto"/>
            <w:vAlign w:val="center"/>
            <w:hideMark/>
          </w:tcPr>
          <w:p w14:paraId="387AAEEA" w14:textId="77777777" w:rsidR="00056CBE" w:rsidRPr="00643528" w:rsidRDefault="00056CBE" w:rsidP="00E24E06">
            <w:pPr>
              <w:pStyle w:val="TableText"/>
              <w:jc w:val="right"/>
              <w:rPr>
                <w:lang w:eastAsia="en-AU"/>
              </w:rPr>
            </w:pPr>
            <w:r w:rsidRPr="00643528">
              <w:rPr>
                <w:lang w:eastAsia="en-AU"/>
              </w:rPr>
              <w:t>1,124</w:t>
            </w:r>
          </w:p>
        </w:tc>
      </w:tr>
      <w:tr w:rsidR="00056CBE" w:rsidRPr="00643528" w14:paraId="4324159F" w14:textId="77777777" w:rsidTr="00643528">
        <w:tc>
          <w:tcPr>
            <w:tcW w:w="943" w:type="pct"/>
            <w:vMerge/>
            <w:tcBorders>
              <w:top w:val="single" w:sz="8" w:space="0" w:color="auto"/>
              <w:left w:val="nil"/>
              <w:bottom w:val="single" w:sz="8" w:space="0" w:color="000000"/>
              <w:right w:val="nil"/>
            </w:tcBorders>
            <w:hideMark/>
          </w:tcPr>
          <w:p w14:paraId="5408E2CA" w14:textId="77777777" w:rsidR="00056CBE" w:rsidRPr="00643528"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73F140A3" w14:textId="002934AE" w:rsidR="00056CBE" w:rsidRPr="00643528" w:rsidRDefault="00056CBE" w:rsidP="00256F28">
            <w:pPr>
              <w:pStyle w:val="TableText"/>
              <w:rPr>
                <w:lang w:eastAsia="en-AU"/>
              </w:rPr>
            </w:pPr>
            <w:r w:rsidRPr="00643528">
              <w:rPr>
                <w:lang w:eastAsia="en-AU"/>
              </w:rPr>
              <w:t xml:space="preserve">OPV – </w:t>
            </w:r>
            <w:r w:rsidR="00530A5D">
              <w:rPr>
                <w:lang w:eastAsia="en-AU"/>
              </w:rPr>
              <w:t>q</w:t>
            </w:r>
            <w:r w:rsidR="00530A5D" w:rsidRPr="00643528">
              <w:rPr>
                <w:lang w:eastAsia="en-AU"/>
              </w:rPr>
              <w:t xml:space="preserve">tr. </w:t>
            </w:r>
            <w:r w:rsidR="00530A5D">
              <w:rPr>
                <w:lang w:eastAsia="en-AU"/>
              </w:rPr>
              <w:t>h</w:t>
            </w:r>
            <w:r w:rsidR="00530A5D" w:rsidRPr="00643528">
              <w:rPr>
                <w:lang w:eastAsia="en-AU"/>
              </w:rPr>
              <w:t xml:space="preserve">r </w:t>
            </w:r>
            <w:r w:rsidR="00530A5D">
              <w:rPr>
                <w:lang w:eastAsia="en-AU"/>
              </w:rPr>
              <w:t>p</w:t>
            </w:r>
            <w:r w:rsidR="00530A5D" w:rsidRPr="00643528">
              <w:rPr>
                <w:lang w:eastAsia="en-AU"/>
              </w:rPr>
              <w:t>lanned</w:t>
            </w:r>
          </w:p>
        </w:tc>
        <w:tc>
          <w:tcPr>
            <w:tcW w:w="571" w:type="pct"/>
            <w:tcBorders>
              <w:top w:val="nil"/>
              <w:left w:val="nil"/>
              <w:bottom w:val="single" w:sz="4" w:space="0" w:color="auto"/>
              <w:right w:val="nil"/>
            </w:tcBorders>
            <w:shd w:val="clear" w:color="auto" w:fill="auto"/>
            <w:vAlign w:val="center"/>
            <w:hideMark/>
          </w:tcPr>
          <w:p w14:paraId="0949A494" w14:textId="77777777" w:rsidR="00056CBE" w:rsidRPr="00643528" w:rsidRDefault="00056CBE" w:rsidP="00E24E06">
            <w:pPr>
              <w:pStyle w:val="TableText"/>
              <w:jc w:val="right"/>
              <w:rPr>
                <w:lang w:eastAsia="en-AU"/>
              </w:rPr>
            </w:pPr>
            <w:r w:rsidRPr="00643528">
              <w:rPr>
                <w:lang w:eastAsia="en-AU"/>
              </w:rPr>
              <w:t>19,583</w:t>
            </w:r>
          </w:p>
        </w:tc>
        <w:tc>
          <w:tcPr>
            <w:tcW w:w="571" w:type="pct"/>
            <w:tcBorders>
              <w:top w:val="nil"/>
              <w:left w:val="nil"/>
              <w:bottom w:val="single" w:sz="4" w:space="0" w:color="auto"/>
              <w:right w:val="nil"/>
            </w:tcBorders>
            <w:shd w:val="clear" w:color="auto" w:fill="auto"/>
            <w:vAlign w:val="center"/>
            <w:hideMark/>
          </w:tcPr>
          <w:p w14:paraId="693B82E0" w14:textId="77777777" w:rsidR="00056CBE" w:rsidRPr="00643528" w:rsidRDefault="00056CBE" w:rsidP="00E24E06">
            <w:pPr>
              <w:pStyle w:val="TableText"/>
              <w:jc w:val="right"/>
              <w:rPr>
                <w:lang w:eastAsia="en-AU"/>
              </w:rPr>
            </w:pPr>
            <w:r w:rsidRPr="00643528">
              <w:rPr>
                <w:lang w:eastAsia="en-AU"/>
              </w:rPr>
              <w:t>105,951</w:t>
            </w:r>
          </w:p>
        </w:tc>
        <w:tc>
          <w:tcPr>
            <w:tcW w:w="581" w:type="pct"/>
            <w:tcBorders>
              <w:top w:val="nil"/>
              <w:left w:val="nil"/>
              <w:bottom w:val="single" w:sz="4" w:space="0" w:color="auto"/>
              <w:right w:val="nil"/>
            </w:tcBorders>
            <w:shd w:val="clear" w:color="auto" w:fill="auto"/>
            <w:vAlign w:val="center"/>
            <w:hideMark/>
          </w:tcPr>
          <w:p w14:paraId="2B18C5A9" w14:textId="77777777" w:rsidR="00056CBE" w:rsidRPr="00643528" w:rsidRDefault="00056CBE" w:rsidP="00E24E06">
            <w:pPr>
              <w:pStyle w:val="TableText"/>
              <w:jc w:val="right"/>
              <w:rPr>
                <w:lang w:eastAsia="en-AU"/>
              </w:rPr>
            </w:pPr>
            <w:r w:rsidRPr="00643528">
              <w:rPr>
                <w:lang w:eastAsia="en-AU"/>
              </w:rPr>
              <w:t>(86,368)</w:t>
            </w:r>
          </w:p>
        </w:tc>
        <w:tc>
          <w:tcPr>
            <w:tcW w:w="480" w:type="pct"/>
            <w:tcBorders>
              <w:top w:val="nil"/>
              <w:left w:val="nil"/>
              <w:bottom w:val="single" w:sz="4" w:space="0" w:color="auto"/>
              <w:right w:val="nil"/>
            </w:tcBorders>
            <w:shd w:val="clear" w:color="auto" w:fill="auto"/>
            <w:vAlign w:val="center"/>
            <w:hideMark/>
          </w:tcPr>
          <w:p w14:paraId="7063A8A7" w14:textId="77777777" w:rsidR="00056CBE" w:rsidRPr="00643528" w:rsidRDefault="00056CBE" w:rsidP="00E24E06">
            <w:pPr>
              <w:pStyle w:val="TableText"/>
              <w:jc w:val="right"/>
              <w:rPr>
                <w:lang w:eastAsia="en-AU"/>
              </w:rPr>
            </w:pPr>
            <w:r w:rsidRPr="00643528">
              <w:rPr>
                <w:lang w:eastAsia="en-AU"/>
              </w:rPr>
              <w:t>(82)</w:t>
            </w:r>
          </w:p>
        </w:tc>
        <w:tc>
          <w:tcPr>
            <w:tcW w:w="571" w:type="pct"/>
            <w:tcBorders>
              <w:top w:val="nil"/>
              <w:left w:val="nil"/>
              <w:bottom w:val="single" w:sz="4" w:space="0" w:color="auto"/>
              <w:right w:val="nil"/>
            </w:tcBorders>
            <w:shd w:val="clear" w:color="auto" w:fill="auto"/>
            <w:vAlign w:val="center"/>
            <w:hideMark/>
          </w:tcPr>
          <w:p w14:paraId="3A49FAB7" w14:textId="77777777" w:rsidR="00056CBE" w:rsidRPr="00643528" w:rsidRDefault="00056CBE" w:rsidP="00E24E06">
            <w:pPr>
              <w:pStyle w:val="TableText"/>
              <w:jc w:val="right"/>
              <w:rPr>
                <w:lang w:eastAsia="en-AU"/>
              </w:rPr>
            </w:pPr>
            <w:r w:rsidRPr="00643528">
              <w:rPr>
                <w:lang w:eastAsia="en-AU"/>
              </w:rPr>
              <w:t>124,570</w:t>
            </w:r>
          </w:p>
        </w:tc>
      </w:tr>
      <w:tr w:rsidR="00056CBE" w:rsidRPr="00643528" w14:paraId="6E41C30D" w14:textId="77777777" w:rsidTr="00643528">
        <w:tc>
          <w:tcPr>
            <w:tcW w:w="943" w:type="pct"/>
            <w:vMerge/>
            <w:tcBorders>
              <w:top w:val="single" w:sz="8" w:space="0" w:color="auto"/>
              <w:left w:val="nil"/>
              <w:bottom w:val="single" w:sz="8" w:space="0" w:color="000000"/>
              <w:right w:val="nil"/>
            </w:tcBorders>
            <w:hideMark/>
          </w:tcPr>
          <w:p w14:paraId="5A5E581E" w14:textId="77777777" w:rsidR="00056CBE" w:rsidRPr="00643528" w:rsidRDefault="00056CBE" w:rsidP="00256F28">
            <w:pPr>
              <w:pStyle w:val="TableText"/>
              <w:rPr>
                <w:lang w:eastAsia="en-AU"/>
              </w:rPr>
            </w:pPr>
          </w:p>
        </w:tc>
        <w:tc>
          <w:tcPr>
            <w:tcW w:w="1282" w:type="pct"/>
            <w:tcBorders>
              <w:top w:val="nil"/>
              <w:left w:val="nil"/>
              <w:bottom w:val="single" w:sz="8" w:space="0" w:color="auto"/>
              <w:right w:val="nil"/>
            </w:tcBorders>
            <w:shd w:val="clear" w:color="auto" w:fill="auto"/>
            <w:hideMark/>
          </w:tcPr>
          <w:p w14:paraId="70674B31" w14:textId="174952FA" w:rsidR="00056CBE" w:rsidRPr="00643528" w:rsidRDefault="00056CBE" w:rsidP="00256F28">
            <w:pPr>
              <w:pStyle w:val="TableText"/>
              <w:rPr>
                <w:lang w:eastAsia="en-AU"/>
              </w:rPr>
            </w:pPr>
            <w:r w:rsidRPr="00643528">
              <w:rPr>
                <w:lang w:eastAsia="en-AU"/>
              </w:rPr>
              <w:t xml:space="preserve">OPV – </w:t>
            </w:r>
            <w:r w:rsidR="00530A5D">
              <w:rPr>
                <w:lang w:eastAsia="en-AU"/>
              </w:rPr>
              <w:t>q</w:t>
            </w:r>
            <w:r w:rsidR="00530A5D" w:rsidRPr="00643528">
              <w:rPr>
                <w:lang w:eastAsia="en-AU"/>
              </w:rPr>
              <w:t xml:space="preserve">tr. </w:t>
            </w:r>
            <w:r w:rsidR="00530A5D">
              <w:rPr>
                <w:lang w:eastAsia="en-AU"/>
              </w:rPr>
              <w:t>h</w:t>
            </w:r>
            <w:r w:rsidR="00530A5D" w:rsidRPr="00643528">
              <w:rPr>
                <w:lang w:eastAsia="en-AU"/>
              </w:rPr>
              <w:t xml:space="preserve">r </w:t>
            </w:r>
            <w:r w:rsidR="00530A5D">
              <w:rPr>
                <w:lang w:eastAsia="en-AU"/>
              </w:rPr>
              <w:t>unp</w:t>
            </w:r>
            <w:r w:rsidR="00530A5D" w:rsidRPr="00643528">
              <w:rPr>
                <w:lang w:eastAsia="en-AU"/>
              </w:rPr>
              <w:t>lanned</w:t>
            </w:r>
          </w:p>
        </w:tc>
        <w:tc>
          <w:tcPr>
            <w:tcW w:w="571" w:type="pct"/>
            <w:tcBorders>
              <w:top w:val="nil"/>
              <w:left w:val="nil"/>
              <w:bottom w:val="single" w:sz="8" w:space="0" w:color="auto"/>
              <w:right w:val="nil"/>
            </w:tcBorders>
            <w:shd w:val="clear" w:color="auto" w:fill="auto"/>
            <w:vAlign w:val="center"/>
            <w:hideMark/>
          </w:tcPr>
          <w:p w14:paraId="45BC7DE7" w14:textId="77777777" w:rsidR="00056CBE" w:rsidRPr="00643528" w:rsidRDefault="00056CBE" w:rsidP="00E24E06">
            <w:pPr>
              <w:pStyle w:val="TableText"/>
              <w:jc w:val="right"/>
              <w:rPr>
                <w:lang w:eastAsia="en-AU"/>
              </w:rPr>
            </w:pPr>
            <w:r w:rsidRPr="00643528">
              <w:rPr>
                <w:lang w:eastAsia="en-AU"/>
              </w:rPr>
              <w:t>114</w:t>
            </w:r>
          </w:p>
        </w:tc>
        <w:tc>
          <w:tcPr>
            <w:tcW w:w="571" w:type="pct"/>
            <w:tcBorders>
              <w:top w:val="nil"/>
              <w:left w:val="nil"/>
              <w:bottom w:val="single" w:sz="8" w:space="0" w:color="auto"/>
              <w:right w:val="nil"/>
            </w:tcBorders>
            <w:shd w:val="clear" w:color="auto" w:fill="auto"/>
            <w:vAlign w:val="center"/>
            <w:hideMark/>
          </w:tcPr>
          <w:p w14:paraId="6B36DE5B" w14:textId="77777777" w:rsidR="00056CBE" w:rsidRPr="00643528" w:rsidRDefault="00056CBE" w:rsidP="00E24E06">
            <w:pPr>
              <w:pStyle w:val="TableText"/>
              <w:jc w:val="right"/>
              <w:rPr>
                <w:lang w:eastAsia="en-AU"/>
              </w:rPr>
            </w:pPr>
            <w:r w:rsidRPr="00643528">
              <w:rPr>
                <w:lang w:eastAsia="en-AU"/>
              </w:rPr>
              <w:t>23,993</w:t>
            </w:r>
          </w:p>
        </w:tc>
        <w:tc>
          <w:tcPr>
            <w:tcW w:w="581" w:type="pct"/>
            <w:tcBorders>
              <w:top w:val="nil"/>
              <w:left w:val="nil"/>
              <w:bottom w:val="single" w:sz="8" w:space="0" w:color="auto"/>
              <w:right w:val="nil"/>
            </w:tcBorders>
            <w:shd w:val="clear" w:color="auto" w:fill="auto"/>
            <w:vAlign w:val="center"/>
            <w:hideMark/>
          </w:tcPr>
          <w:p w14:paraId="32FD484A" w14:textId="77777777" w:rsidR="00056CBE" w:rsidRPr="00643528" w:rsidRDefault="00056CBE" w:rsidP="00E24E06">
            <w:pPr>
              <w:pStyle w:val="TableText"/>
              <w:jc w:val="right"/>
              <w:rPr>
                <w:lang w:eastAsia="en-AU"/>
              </w:rPr>
            </w:pPr>
            <w:r w:rsidRPr="00643528">
              <w:rPr>
                <w:lang w:eastAsia="en-AU"/>
              </w:rPr>
              <w:t>(23,879)</w:t>
            </w:r>
          </w:p>
        </w:tc>
        <w:tc>
          <w:tcPr>
            <w:tcW w:w="480" w:type="pct"/>
            <w:tcBorders>
              <w:top w:val="nil"/>
              <w:left w:val="nil"/>
              <w:bottom w:val="single" w:sz="8" w:space="0" w:color="auto"/>
              <w:right w:val="nil"/>
            </w:tcBorders>
            <w:shd w:val="clear" w:color="auto" w:fill="auto"/>
            <w:vAlign w:val="center"/>
            <w:hideMark/>
          </w:tcPr>
          <w:p w14:paraId="39CB02D8" w14:textId="77777777" w:rsidR="00056CBE" w:rsidRPr="00643528" w:rsidRDefault="00056CBE" w:rsidP="00E24E06">
            <w:pPr>
              <w:pStyle w:val="TableText"/>
              <w:jc w:val="right"/>
              <w:rPr>
                <w:lang w:eastAsia="en-AU"/>
              </w:rPr>
            </w:pPr>
            <w:r w:rsidRPr="00643528">
              <w:rPr>
                <w:lang w:eastAsia="en-AU"/>
              </w:rPr>
              <w:t>(100)</w:t>
            </w:r>
          </w:p>
        </w:tc>
        <w:tc>
          <w:tcPr>
            <w:tcW w:w="571" w:type="pct"/>
            <w:tcBorders>
              <w:top w:val="nil"/>
              <w:left w:val="nil"/>
              <w:bottom w:val="single" w:sz="8" w:space="0" w:color="auto"/>
              <w:right w:val="nil"/>
            </w:tcBorders>
            <w:shd w:val="clear" w:color="auto" w:fill="auto"/>
            <w:vAlign w:val="center"/>
            <w:hideMark/>
          </w:tcPr>
          <w:p w14:paraId="3C38E8A5" w14:textId="77777777" w:rsidR="00056CBE" w:rsidRPr="00643528" w:rsidRDefault="00056CBE" w:rsidP="00E24E06">
            <w:pPr>
              <w:pStyle w:val="TableText"/>
              <w:jc w:val="right"/>
              <w:rPr>
                <w:lang w:eastAsia="en-AU"/>
              </w:rPr>
            </w:pPr>
            <w:r w:rsidRPr="00643528">
              <w:rPr>
                <w:lang w:eastAsia="en-AU"/>
              </w:rPr>
              <w:t>29,822</w:t>
            </w:r>
          </w:p>
        </w:tc>
      </w:tr>
      <w:tr w:rsidR="00056CBE" w:rsidRPr="00643528" w14:paraId="5814C6D4" w14:textId="77777777" w:rsidTr="00643528">
        <w:tc>
          <w:tcPr>
            <w:tcW w:w="943" w:type="pct"/>
            <w:vMerge w:val="restart"/>
            <w:tcBorders>
              <w:top w:val="nil"/>
              <w:left w:val="nil"/>
              <w:bottom w:val="single" w:sz="8" w:space="0" w:color="000000"/>
              <w:right w:val="nil"/>
            </w:tcBorders>
            <w:shd w:val="clear" w:color="auto" w:fill="auto"/>
            <w:hideMark/>
          </w:tcPr>
          <w:p w14:paraId="6BE4C401" w14:textId="77777777" w:rsidR="00056CBE" w:rsidRPr="00643528" w:rsidRDefault="00056CBE" w:rsidP="00256F28">
            <w:pPr>
              <w:pStyle w:val="TableText"/>
              <w:rPr>
                <w:lang w:eastAsia="en-AU"/>
              </w:rPr>
            </w:pPr>
            <w:r w:rsidRPr="00643528">
              <w:rPr>
                <w:lang w:eastAsia="en-AU"/>
              </w:rPr>
              <w:t>Fees – documentation</w:t>
            </w:r>
          </w:p>
        </w:tc>
        <w:tc>
          <w:tcPr>
            <w:tcW w:w="1282" w:type="pct"/>
            <w:tcBorders>
              <w:top w:val="nil"/>
              <w:left w:val="nil"/>
              <w:bottom w:val="single" w:sz="4" w:space="0" w:color="auto"/>
              <w:right w:val="nil"/>
            </w:tcBorders>
            <w:shd w:val="clear" w:color="auto" w:fill="auto"/>
            <w:hideMark/>
          </w:tcPr>
          <w:p w14:paraId="424044FD" w14:textId="0607E087" w:rsidR="00056CBE" w:rsidRPr="00643528" w:rsidRDefault="00056CBE" w:rsidP="00256F28">
            <w:pPr>
              <w:pStyle w:val="TableText"/>
              <w:rPr>
                <w:lang w:eastAsia="en-AU"/>
              </w:rPr>
            </w:pPr>
            <w:r w:rsidRPr="00643528">
              <w:rPr>
                <w:lang w:eastAsia="en-AU"/>
              </w:rPr>
              <w:t xml:space="preserve">Electronic </w:t>
            </w:r>
            <w:r w:rsidR="00530A5D">
              <w:rPr>
                <w:lang w:eastAsia="en-AU"/>
              </w:rPr>
              <w:t>c</w:t>
            </w:r>
            <w:r w:rsidRPr="00643528">
              <w:rPr>
                <w:lang w:eastAsia="en-AU"/>
              </w:rPr>
              <w:t>ertificates</w:t>
            </w:r>
          </w:p>
        </w:tc>
        <w:tc>
          <w:tcPr>
            <w:tcW w:w="571" w:type="pct"/>
            <w:tcBorders>
              <w:top w:val="nil"/>
              <w:left w:val="nil"/>
              <w:bottom w:val="single" w:sz="4" w:space="0" w:color="auto"/>
              <w:right w:val="nil"/>
            </w:tcBorders>
            <w:shd w:val="clear" w:color="auto" w:fill="auto"/>
            <w:vAlign w:val="center"/>
            <w:hideMark/>
          </w:tcPr>
          <w:p w14:paraId="36A363AB" w14:textId="77777777" w:rsidR="00056CBE" w:rsidRPr="00643528" w:rsidRDefault="00056CBE" w:rsidP="00E24E06">
            <w:pPr>
              <w:pStyle w:val="TableText"/>
              <w:jc w:val="right"/>
              <w:rPr>
                <w:lang w:eastAsia="en-AU"/>
              </w:rPr>
            </w:pPr>
            <w:r w:rsidRPr="00643528">
              <w:rPr>
                <w:lang w:eastAsia="en-AU"/>
              </w:rPr>
              <w:t>302,046</w:t>
            </w:r>
          </w:p>
        </w:tc>
        <w:tc>
          <w:tcPr>
            <w:tcW w:w="571" w:type="pct"/>
            <w:tcBorders>
              <w:top w:val="nil"/>
              <w:left w:val="nil"/>
              <w:bottom w:val="single" w:sz="4" w:space="0" w:color="auto"/>
              <w:right w:val="nil"/>
            </w:tcBorders>
            <w:shd w:val="clear" w:color="auto" w:fill="auto"/>
            <w:vAlign w:val="center"/>
            <w:hideMark/>
          </w:tcPr>
          <w:p w14:paraId="35337515" w14:textId="77777777" w:rsidR="00056CBE" w:rsidRPr="00643528" w:rsidRDefault="00056CBE" w:rsidP="00E24E06">
            <w:pPr>
              <w:pStyle w:val="TableText"/>
              <w:jc w:val="right"/>
              <w:rPr>
                <w:lang w:eastAsia="en-AU"/>
              </w:rPr>
            </w:pPr>
            <w:r w:rsidRPr="00643528">
              <w:rPr>
                <w:lang w:eastAsia="en-AU"/>
              </w:rPr>
              <w:t>244,256</w:t>
            </w:r>
          </w:p>
        </w:tc>
        <w:tc>
          <w:tcPr>
            <w:tcW w:w="581" w:type="pct"/>
            <w:tcBorders>
              <w:top w:val="nil"/>
              <w:left w:val="nil"/>
              <w:bottom w:val="single" w:sz="4" w:space="0" w:color="auto"/>
              <w:right w:val="nil"/>
            </w:tcBorders>
            <w:shd w:val="clear" w:color="auto" w:fill="auto"/>
            <w:vAlign w:val="center"/>
            <w:hideMark/>
          </w:tcPr>
          <w:p w14:paraId="121F77EE" w14:textId="77777777" w:rsidR="00056CBE" w:rsidRPr="00643528" w:rsidRDefault="00056CBE" w:rsidP="00E24E06">
            <w:pPr>
              <w:pStyle w:val="TableText"/>
              <w:jc w:val="right"/>
              <w:rPr>
                <w:lang w:eastAsia="en-AU"/>
              </w:rPr>
            </w:pPr>
            <w:r w:rsidRPr="00643528">
              <w:rPr>
                <w:lang w:eastAsia="en-AU"/>
              </w:rPr>
              <w:t>57,790</w:t>
            </w:r>
          </w:p>
        </w:tc>
        <w:tc>
          <w:tcPr>
            <w:tcW w:w="480" w:type="pct"/>
            <w:tcBorders>
              <w:top w:val="nil"/>
              <w:left w:val="nil"/>
              <w:bottom w:val="single" w:sz="4" w:space="0" w:color="auto"/>
              <w:right w:val="nil"/>
            </w:tcBorders>
            <w:shd w:val="clear" w:color="auto" w:fill="auto"/>
            <w:vAlign w:val="center"/>
            <w:hideMark/>
          </w:tcPr>
          <w:p w14:paraId="5C489C02" w14:textId="77777777" w:rsidR="00056CBE" w:rsidRPr="00643528" w:rsidRDefault="00056CBE" w:rsidP="00E24E06">
            <w:pPr>
              <w:pStyle w:val="TableText"/>
              <w:jc w:val="right"/>
              <w:rPr>
                <w:lang w:eastAsia="en-AU"/>
              </w:rPr>
            </w:pPr>
            <w:r w:rsidRPr="00643528">
              <w:rPr>
                <w:lang w:eastAsia="en-AU"/>
              </w:rPr>
              <w:t>24</w:t>
            </w:r>
          </w:p>
        </w:tc>
        <w:tc>
          <w:tcPr>
            <w:tcW w:w="571" w:type="pct"/>
            <w:tcBorders>
              <w:top w:val="nil"/>
              <w:left w:val="nil"/>
              <w:bottom w:val="single" w:sz="4" w:space="0" w:color="auto"/>
              <w:right w:val="nil"/>
            </w:tcBorders>
            <w:shd w:val="clear" w:color="auto" w:fill="auto"/>
            <w:vAlign w:val="center"/>
            <w:hideMark/>
          </w:tcPr>
          <w:p w14:paraId="6895DB8E" w14:textId="77777777" w:rsidR="00056CBE" w:rsidRPr="00643528" w:rsidRDefault="00056CBE" w:rsidP="00E24E06">
            <w:pPr>
              <w:pStyle w:val="TableText"/>
              <w:jc w:val="right"/>
              <w:rPr>
                <w:lang w:eastAsia="en-AU"/>
              </w:rPr>
            </w:pPr>
            <w:r w:rsidRPr="00643528">
              <w:rPr>
                <w:lang w:eastAsia="en-AU"/>
              </w:rPr>
              <w:t>245,662</w:t>
            </w:r>
          </w:p>
        </w:tc>
      </w:tr>
      <w:tr w:rsidR="00056CBE" w:rsidRPr="00643528" w14:paraId="454F1687" w14:textId="77777777" w:rsidTr="00643528">
        <w:tc>
          <w:tcPr>
            <w:tcW w:w="943" w:type="pct"/>
            <w:vMerge/>
            <w:tcBorders>
              <w:top w:val="nil"/>
              <w:left w:val="nil"/>
              <w:bottom w:val="single" w:sz="8" w:space="0" w:color="000000"/>
              <w:right w:val="nil"/>
            </w:tcBorders>
            <w:hideMark/>
          </w:tcPr>
          <w:p w14:paraId="301C909A" w14:textId="77777777" w:rsidR="00056CBE" w:rsidRPr="00643528" w:rsidRDefault="00056CBE" w:rsidP="00256F28">
            <w:pPr>
              <w:pStyle w:val="TableText"/>
              <w:rPr>
                <w:lang w:eastAsia="en-AU"/>
              </w:rPr>
            </w:pPr>
          </w:p>
        </w:tc>
        <w:tc>
          <w:tcPr>
            <w:tcW w:w="1282" w:type="pct"/>
            <w:tcBorders>
              <w:top w:val="nil"/>
              <w:left w:val="nil"/>
              <w:bottom w:val="single" w:sz="4" w:space="0" w:color="auto"/>
              <w:right w:val="nil"/>
            </w:tcBorders>
            <w:shd w:val="clear" w:color="auto" w:fill="auto"/>
            <w:hideMark/>
          </w:tcPr>
          <w:p w14:paraId="52E438C3" w14:textId="0605957A" w:rsidR="00056CBE" w:rsidRPr="00643528" w:rsidRDefault="00056CBE" w:rsidP="00256F28">
            <w:pPr>
              <w:pStyle w:val="TableText"/>
              <w:rPr>
                <w:lang w:eastAsia="en-AU"/>
              </w:rPr>
            </w:pPr>
            <w:r w:rsidRPr="00643528">
              <w:rPr>
                <w:lang w:eastAsia="en-AU"/>
              </w:rPr>
              <w:t xml:space="preserve">Manual </w:t>
            </w:r>
            <w:r w:rsidR="00530A5D">
              <w:rPr>
                <w:lang w:eastAsia="en-AU"/>
              </w:rPr>
              <w:t>d</w:t>
            </w:r>
            <w:r w:rsidRPr="00643528">
              <w:rPr>
                <w:lang w:eastAsia="en-AU"/>
              </w:rPr>
              <w:t>ocuments</w:t>
            </w:r>
          </w:p>
        </w:tc>
        <w:tc>
          <w:tcPr>
            <w:tcW w:w="571" w:type="pct"/>
            <w:tcBorders>
              <w:top w:val="nil"/>
              <w:left w:val="nil"/>
              <w:bottom w:val="single" w:sz="4" w:space="0" w:color="auto"/>
              <w:right w:val="nil"/>
            </w:tcBorders>
            <w:shd w:val="clear" w:color="auto" w:fill="auto"/>
            <w:vAlign w:val="center"/>
            <w:hideMark/>
          </w:tcPr>
          <w:p w14:paraId="1862825C" w14:textId="77777777" w:rsidR="00056CBE" w:rsidRPr="00643528" w:rsidRDefault="00056CBE" w:rsidP="00E24E06">
            <w:pPr>
              <w:pStyle w:val="TableText"/>
              <w:jc w:val="right"/>
              <w:rPr>
                <w:lang w:eastAsia="en-AU"/>
              </w:rPr>
            </w:pPr>
            <w:r w:rsidRPr="00643528">
              <w:rPr>
                <w:lang w:eastAsia="en-AU"/>
              </w:rPr>
              <w:t>653</w:t>
            </w:r>
          </w:p>
        </w:tc>
        <w:tc>
          <w:tcPr>
            <w:tcW w:w="571" w:type="pct"/>
            <w:tcBorders>
              <w:top w:val="nil"/>
              <w:left w:val="nil"/>
              <w:bottom w:val="single" w:sz="4" w:space="0" w:color="auto"/>
              <w:right w:val="nil"/>
            </w:tcBorders>
            <w:shd w:val="clear" w:color="auto" w:fill="auto"/>
            <w:vAlign w:val="center"/>
            <w:hideMark/>
          </w:tcPr>
          <w:p w14:paraId="162FBE05" w14:textId="77777777" w:rsidR="00056CBE" w:rsidRPr="00643528" w:rsidRDefault="00056CBE" w:rsidP="00E24E06">
            <w:pPr>
              <w:pStyle w:val="TableText"/>
              <w:jc w:val="right"/>
              <w:rPr>
                <w:lang w:eastAsia="en-AU"/>
              </w:rPr>
            </w:pPr>
            <w:r w:rsidRPr="00643528">
              <w:rPr>
                <w:lang w:eastAsia="en-AU"/>
              </w:rPr>
              <w:t>1,135</w:t>
            </w:r>
          </w:p>
        </w:tc>
        <w:tc>
          <w:tcPr>
            <w:tcW w:w="581" w:type="pct"/>
            <w:tcBorders>
              <w:top w:val="nil"/>
              <w:left w:val="nil"/>
              <w:bottom w:val="single" w:sz="4" w:space="0" w:color="auto"/>
              <w:right w:val="nil"/>
            </w:tcBorders>
            <w:shd w:val="clear" w:color="auto" w:fill="auto"/>
            <w:vAlign w:val="center"/>
            <w:hideMark/>
          </w:tcPr>
          <w:p w14:paraId="40997AF1" w14:textId="77777777" w:rsidR="00056CBE" w:rsidRPr="00643528" w:rsidRDefault="00056CBE" w:rsidP="00E24E06">
            <w:pPr>
              <w:pStyle w:val="TableText"/>
              <w:jc w:val="right"/>
              <w:rPr>
                <w:lang w:eastAsia="en-AU"/>
              </w:rPr>
            </w:pPr>
            <w:r w:rsidRPr="00643528">
              <w:rPr>
                <w:lang w:eastAsia="en-AU"/>
              </w:rPr>
              <w:t>(482)</w:t>
            </w:r>
          </w:p>
        </w:tc>
        <w:tc>
          <w:tcPr>
            <w:tcW w:w="480" w:type="pct"/>
            <w:tcBorders>
              <w:top w:val="nil"/>
              <w:left w:val="nil"/>
              <w:bottom w:val="single" w:sz="4" w:space="0" w:color="auto"/>
              <w:right w:val="nil"/>
            </w:tcBorders>
            <w:shd w:val="clear" w:color="auto" w:fill="auto"/>
            <w:vAlign w:val="center"/>
            <w:hideMark/>
          </w:tcPr>
          <w:p w14:paraId="5B0E4112" w14:textId="77777777" w:rsidR="00056CBE" w:rsidRPr="00643528" w:rsidRDefault="00056CBE" w:rsidP="00E24E06">
            <w:pPr>
              <w:pStyle w:val="TableText"/>
              <w:jc w:val="right"/>
              <w:rPr>
                <w:lang w:eastAsia="en-AU"/>
              </w:rPr>
            </w:pPr>
            <w:r w:rsidRPr="00643528">
              <w:rPr>
                <w:lang w:eastAsia="en-AU"/>
              </w:rPr>
              <w:t>(42)</w:t>
            </w:r>
          </w:p>
        </w:tc>
        <w:tc>
          <w:tcPr>
            <w:tcW w:w="571" w:type="pct"/>
            <w:tcBorders>
              <w:top w:val="nil"/>
              <w:left w:val="nil"/>
              <w:bottom w:val="single" w:sz="4" w:space="0" w:color="auto"/>
              <w:right w:val="nil"/>
            </w:tcBorders>
            <w:shd w:val="clear" w:color="auto" w:fill="auto"/>
            <w:vAlign w:val="center"/>
            <w:hideMark/>
          </w:tcPr>
          <w:p w14:paraId="4CE3415B" w14:textId="77777777" w:rsidR="00056CBE" w:rsidRPr="00643528" w:rsidRDefault="00056CBE" w:rsidP="00E24E06">
            <w:pPr>
              <w:pStyle w:val="TableText"/>
              <w:jc w:val="right"/>
              <w:rPr>
                <w:lang w:eastAsia="en-AU"/>
              </w:rPr>
            </w:pPr>
            <w:r w:rsidRPr="00643528">
              <w:rPr>
                <w:lang w:eastAsia="en-AU"/>
              </w:rPr>
              <w:t>773</w:t>
            </w:r>
          </w:p>
        </w:tc>
      </w:tr>
      <w:tr w:rsidR="00056CBE" w:rsidRPr="00643528" w14:paraId="5545B92B" w14:textId="77777777" w:rsidTr="00643528">
        <w:tc>
          <w:tcPr>
            <w:tcW w:w="943" w:type="pct"/>
            <w:vMerge/>
            <w:tcBorders>
              <w:top w:val="nil"/>
              <w:left w:val="nil"/>
              <w:bottom w:val="single" w:sz="8" w:space="0" w:color="000000"/>
              <w:right w:val="nil"/>
            </w:tcBorders>
            <w:hideMark/>
          </w:tcPr>
          <w:p w14:paraId="0620040D" w14:textId="77777777" w:rsidR="00056CBE" w:rsidRPr="00643528" w:rsidRDefault="00056CBE" w:rsidP="00256F28">
            <w:pPr>
              <w:pStyle w:val="TableText"/>
              <w:rPr>
                <w:lang w:eastAsia="en-AU"/>
              </w:rPr>
            </w:pPr>
          </w:p>
        </w:tc>
        <w:tc>
          <w:tcPr>
            <w:tcW w:w="1282" w:type="pct"/>
            <w:tcBorders>
              <w:top w:val="nil"/>
              <w:left w:val="nil"/>
              <w:bottom w:val="single" w:sz="8" w:space="0" w:color="auto"/>
              <w:right w:val="nil"/>
            </w:tcBorders>
            <w:shd w:val="clear" w:color="auto" w:fill="auto"/>
            <w:hideMark/>
          </w:tcPr>
          <w:p w14:paraId="15481362" w14:textId="125EFE2B" w:rsidR="00056CBE" w:rsidRPr="00643528" w:rsidRDefault="00056CBE" w:rsidP="00256F28">
            <w:pPr>
              <w:pStyle w:val="TableText"/>
              <w:rPr>
                <w:lang w:eastAsia="en-AU"/>
              </w:rPr>
            </w:pPr>
            <w:r w:rsidRPr="00643528">
              <w:rPr>
                <w:lang w:eastAsia="en-AU"/>
              </w:rPr>
              <w:t xml:space="preserve">Document – </w:t>
            </w:r>
            <w:r w:rsidR="00530A5D">
              <w:rPr>
                <w:lang w:eastAsia="en-AU"/>
              </w:rPr>
              <w:t>r</w:t>
            </w:r>
            <w:r w:rsidRPr="00643528">
              <w:rPr>
                <w:lang w:eastAsia="en-AU"/>
              </w:rPr>
              <w:t>eplacement</w:t>
            </w:r>
          </w:p>
        </w:tc>
        <w:tc>
          <w:tcPr>
            <w:tcW w:w="571" w:type="pct"/>
            <w:tcBorders>
              <w:top w:val="nil"/>
              <w:left w:val="nil"/>
              <w:bottom w:val="single" w:sz="8" w:space="0" w:color="auto"/>
              <w:right w:val="nil"/>
            </w:tcBorders>
            <w:shd w:val="clear" w:color="auto" w:fill="auto"/>
            <w:vAlign w:val="center"/>
            <w:hideMark/>
          </w:tcPr>
          <w:p w14:paraId="091C53F9" w14:textId="77777777" w:rsidR="00056CBE" w:rsidRPr="00643528" w:rsidRDefault="00056CBE" w:rsidP="00E24E06">
            <w:pPr>
              <w:pStyle w:val="TableText"/>
              <w:jc w:val="right"/>
              <w:rPr>
                <w:lang w:eastAsia="en-AU"/>
              </w:rPr>
            </w:pPr>
            <w:r w:rsidRPr="00643528">
              <w:rPr>
                <w:lang w:eastAsia="en-AU"/>
              </w:rPr>
              <w:t>2,750</w:t>
            </w:r>
          </w:p>
        </w:tc>
        <w:tc>
          <w:tcPr>
            <w:tcW w:w="571" w:type="pct"/>
            <w:tcBorders>
              <w:top w:val="nil"/>
              <w:left w:val="nil"/>
              <w:bottom w:val="single" w:sz="8" w:space="0" w:color="auto"/>
              <w:right w:val="nil"/>
            </w:tcBorders>
            <w:shd w:val="clear" w:color="auto" w:fill="auto"/>
            <w:vAlign w:val="center"/>
            <w:hideMark/>
          </w:tcPr>
          <w:p w14:paraId="1ECE21DE" w14:textId="77777777" w:rsidR="00056CBE" w:rsidRPr="00643528" w:rsidRDefault="00056CBE" w:rsidP="00E24E06">
            <w:pPr>
              <w:pStyle w:val="TableText"/>
              <w:jc w:val="right"/>
              <w:rPr>
                <w:lang w:eastAsia="en-AU"/>
              </w:rPr>
            </w:pPr>
            <w:r w:rsidRPr="00643528">
              <w:rPr>
                <w:lang w:eastAsia="en-AU"/>
              </w:rPr>
              <w:t>469</w:t>
            </w:r>
          </w:p>
        </w:tc>
        <w:tc>
          <w:tcPr>
            <w:tcW w:w="581" w:type="pct"/>
            <w:tcBorders>
              <w:top w:val="nil"/>
              <w:left w:val="nil"/>
              <w:bottom w:val="single" w:sz="8" w:space="0" w:color="auto"/>
              <w:right w:val="nil"/>
            </w:tcBorders>
            <w:shd w:val="clear" w:color="auto" w:fill="auto"/>
            <w:vAlign w:val="center"/>
            <w:hideMark/>
          </w:tcPr>
          <w:p w14:paraId="64F61424" w14:textId="77777777" w:rsidR="00056CBE" w:rsidRPr="00643528" w:rsidRDefault="00056CBE" w:rsidP="00E24E06">
            <w:pPr>
              <w:pStyle w:val="TableText"/>
              <w:jc w:val="right"/>
              <w:rPr>
                <w:lang w:eastAsia="en-AU"/>
              </w:rPr>
            </w:pPr>
            <w:r w:rsidRPr="00643528">
              <w:rPr>
                <w:lang w:eastAsia="en-AU"/>
              </w:rPr>
              <w:t>2,281</w:t>
            </w:r>
          </w:p>
        </w:tc>
        <w:tc>
          <w:tcPr>
            <w:tcW w:w="480" w:type="pct"/>
            <w:tcBorders>
              <w:top w:val="nil"/>
              <w:left w:val="nil"/>
              <w:bottom w:val="single" w:sz="8" w:space="0" w:color="auto"/>
              <w:right w:val="nil"/>
            </w:tcBorders>
            <w:shd w:val="clear" w:color="auto" w:fill="auto"/>
            <w:vAlign w:val="center"/>
            <w:hideMark/>
          </w:tcPr>
          <w:p w14:paraId="4F6FA8C1" w14:textId="77777777" w:rsidR="00056CBE" w:rsidRPr="00643528" w:rsidRDefault="00056CBE" w:rsidP="00E24E06">
            <w:pPr>
              <w:pStyle w:val="TableText"/>
              <w:jc w:val="right"/>
              <w:rPr>
                <w:lang w:eastAsia="en-AU"/>
              </w:rPr>
            </w:pPr>
            <w:r w:rsidRPr="00643528">
              <w:rPr>
                <w:lang w:eastAsia="en-AU"/>
              </w:rPr>
              <w:t>&gt;100</w:t>
            </w:r>
          </w:p>
        </w:tc>
        <w:tc>
          <w:tcPr>
            <w:tcW w:w="571" w:type="pct"/>
            <w:tcBorders>
              <w:top w:val="nil"/>
              <w:left w:val="nil"/>
              <w:bottom w:val="single" w:sz="8" w:space="0" w:color="auto"/>
              <w:right w:val="nil"/>
            </w:tcBorders>
            <w:shd w:val="clear" w:color="auto" w:fill="auto"/>
            <w:vAlign w:val="center"/>
            <w:hideMark/>
          </w:tcPr>
          <w:p w14:paraId="09A9E1BD" w14:textId="77777777" w:rsidR="00056CBE" w:rsidRPr="00643528" w:rsidRDefault="00056CBE" w:rsidP="00E24E06">
            <w:pPr>
              <w:pStyle w:val="TableText"/>
              <w:jc w:val="right"/>
              <w:rPr>
                <w:lang w:eastAsia="en-AU"/>
              </w:rPr>
            </w:pPr>
            <w:r w:rsidRPr="00643528">
              <w:rPr>
                <w:lang w:eastAsia="en-AU"/>
              </w:rPr>
              <w:t>2,285</w:t>
            </w:r>
          </w:p>
        </w:tc>
      </w:tr>
      <w:tr w:rsidR="00056CBE" w:rsidRPr="00643528" w14:paraId="5777A253" w14:textId="77777777" w:rsidTr="00643528">
        <w:tc>
          <w:tcPr>
            <w:tcW w:w="943" w:type="pct"/>
            <w:tcBorders>
              <w:top w:val="nil"/>
              <w:left w:val="nil"/>
              <w:bottom w:val="single" w:sz="8" w:space="0" w:color="auto"/>
              <w:right w:val="nil"/>
            </w:tcBorders>
            <w:shd w:val="clear" w:color="auto" w:fill="auto"/>
            <w:hideMark/>
          </w:tcPr>
          <w:p w14:paraId="6EDD9896" w14:textId="77777777" w:rsidR="00056CBE" w:rsidRPr="00643528" w:rsidRDefault="00056CBE" w:rsidP="00256F28">
            <w:pPr>
              <w:pStyle w:val="TableText"/>
              <w:rPr>
                <w:lang w:eastAsia="en-AU"/>
              </w:rPr>
            </w:pPr>
            <w:r w:rsidRPr="00643528">
              <w:rPr>
                <w:lang w:eastAsia="en-AU"/>
              </w:rPr>
              <w:t xml:space="preserve">Organics </w:t>
            </w:r>
            <w:r w:rsidRPr="00084D2D">
              <w:rPr>
                <w:b/>
                <w:bCs/>
                <w:vertAlign w:val="superscript"/>
                <w:lang w:eastAsia="en-AU"/>
              </w:rPr>
              <w:t>a</w:t>
            </w:r>
          </w:p>
        </w:tc>
        <w:tc>
          <w:tcPr>
            <w:tcW w:w="1282" w:type="pct"/>
            <w:tcBorders>
              <w:top w:val="nil"/>
              <w:left w:val="nil"/>
              <w:bottom w:val="single" w:sz="8" w:space="0" w:color="auto"/>
              <w:right w:val="nil"/>
            </w:tcBorders>
            <w:shd w:val="clear" w:color="auto" w:fill="auto"/>
            <w:hideMark/>
          </w:tcPr>
          <w:p w14:paraId="463396E5" w14:textId="77777777" w:rsidR="00056CBE" w:rsidRPr="00643528" w:rsidRDefault="00056CBE" w:rsidP="00256F28">
            <w:pPr>
              <w:pStyle w:val="TableText"/>
              <w:rPr>
                <w:lang w:eastAsia="en-AU"/>
              </w:rPr>
            </w:pPr>
            <w:r w:rsidRPr="00643528">
              <w:rPr>
                <w:lang w:eastAsia="en-AU"/>
              </w:rPr>
              <w:t>Organic certifying organisation</w:t>
            </w:r>
          </w:p>
        </w:tc>
        <w:tc>
          <w:tcPr>
            <w:tcW w:w="571" w:type="pct"/>
            <w:tcBorders>
              <w:top w:val="nil"/>
              <w:left w:val="nil"/>
              <w:bottom w:val="single" w:sz="8" w:space="0" w:color="auto"/>
              <w:right w:val="nil"/>
            </w:tcBorders>
            <w:shd w:val="clear" w:color="auto" w:fill="auto"/>
            <w:vAlign w:val="center"/>
            <w:hideMark/>
          </w:tcPr>
          <w:p w14:paraId="4430B851" w14:textId="77777777" w:rsidR="00056CBE" w:rsidRPr="00643528" w:rsidRDefault="00056CBE" w:rsidP="00E24E06">
            <w:pPr>
              <w:pStyle w:val="TableText"/>
              <w:jc w:val="right"/>
              <w:rPr>
                <w:lang w:eastAsia="en-AU"/>
              </w:rPr>
            </w:pPr>
            <w:r w:rsidRPr="00643528">
              <w:rPr>
                <w:lang w:eastAsia="en-AU"/>
              </w:rPr>
              <w:t>1</w:t>
            </w:r>
          </w:p>
        </w:tc>
        <w:tc>
          <w:tcPr>
            <w:tcW w:w="571" w:type="pct"/>
            <w:tcBorders>
              <w:top w:val="nil"/>
              <w:left w:val="nil"/>
              <w:bottom w:val="single" w:sz="8" w:space="0" w:color="auto"/>
              <w:right w:val="nil"/>
            </w:tcBorders>
            <w:shd w:val="clear" w:color="auto" w:fill="auto"/>
            <w:vAlign w:val="center"/>
            <w:hideMark/>
          </w:tcPr>
          <w:p w14:paraId="1C1BCF33" w14:textId="77777777" w:rsidR="00056CBE" w:rsidRPr="00643528" w:rsidRDefault="00056CBE" w:rsidP="00E24E06">
            <w:pPr>
              <w:pStyle w:val="TableText"/>
              <w:jc w:val="right"/>
              <w:rPr>
                <w:lang w:eastAsia="en-AU"/>
              </w:rPr>
            </w:pPr>
            <w:r w:rsidRPr="00643528">
              <w:rPr>
                <w:lang w:eastAsia="en-AU"/>
              </w:rPr>
              <w:t>1</w:t>
            </w:r>
          </w:p>
        </w:tc>
        <w:tc>
          <w:tcPr>
            <w:tcW w:w="581" w:type="pct"/>
            <w:tcBorders>
              <w:top w:val="nil"/>
              <w:left w:val="nil"/>
              <w:bottom w:val="single" w:sz="8" w:space="0" w:color="auto"/>
              <w:right w:val="nil"/>
            </w:tcBorders>
            <w:shd w:val="clear" w:color="auto" w:fill="auto"/>
            <w:vAlign w:val="center"/>
            <w:hideMark/>
          </w:tcPr>
          <w:p w14:paraId="71E88DD9" w14:textId="77777777" w:rsidR="00056CBE" w:rsidRPr="00643528" w:rsidRDefault="00056CBE" w:rsidP="00E24E06">
            <w:pPr>
              <w:pStyle w:val="TableText"/>
              <w:jc w:val="right"/>
              <w:rPr>
                <w:lang w:eastAsia="en-AU"/>
              </w:rPr>
            </w:pPr>
            <w:r w:rsidRPr="00643528">
              <w:rPr>
                <w:lang w:eastAsia="en-AU"/>
              </w:rPr>
              <w:t>–</w:t>
            </w:r>
          </w:p>
        </w:tc>
        <w:tc>
          <w:tcPr>
            <w:tcW w:w="480" w:type="pct"/>
            <w:tcBorders>
              <w:top w:val="nil"/>
              <w:left w:val="nil"/>
              <w:bottom w:val="single" w:sz="8" w:space="0" w:color="auto"/>
              <w:right w:val="nil"/>
            </w:tcBorders>
            <w:shd w:val="clear" w:color="auto" w:fill="auto"/>
            <w:vAlign w:val="center"/>
            <w:hideMark/>
          </w:tcPr>
          <w:p w14:paraId="0196B220" w14:textId="77777777" w:rsidR="00056CBE" w:rsidRPr="00643528" w:rsidRDefault="00056CBE" w:rsidP="00E24E06">
            <w:pPr>
              <w:pStyle w:val="TableText"/>
              <w:jc w:val="right"/>
              <w:rPr>
                <w:lang w:eastAsia="en-AU"/>
              </w:rPr>
            </w:pPr>
            <w:r w:rsidRPr="00643528">
              <w:rPr>
                <w:lang w:eastAsia="en-AU"/>
              </w:rPr>
              <w:t>–</w:t>
            </w:r>
          </w:p>
        </w:tc>
        <w:tc>
          <w:tcPr>
            <w:tcW w:w="571" w:type="pct"/>
            <w:tcBorders>
              <w:top w:val="nil"/>
              <w:left w:val="nil"/>
              <w:bottom w:val="single" w:sz="8" w:space="0" w:color="auto"/>
              <w:right w:val="nil"/>
            </w:tcBorders>
            <w:shd w:val="clear" w:color="auto" w:fill="auto"/>
            <w:vAlign w:val="center"/>
            <w:hideMark/>
          </w:tcPr>
          <w:p w14:paraId="0D3C2582" w14:textId="77777777" w:rsidR="00056CBE" w:rsidRPr="00643528" w:rsidRDefault="00056CBE" w:rsidP="00E24E06">
            <w:pPr>
              <w:pStyle w:val="TableText"/>
              <w:jc w:val="right"/>
              <w:rPr>
                <w:lang w:eastAsia="en-AU"/>
              </w:rPr>
            </w:pPr>
            <w:r w:rsidRPr="00643528">
              <w:rPr>
                <w:lang w:eastAsia="en-AU"/>
              </w:rPr>
              <w:t>1</w:t>
            </w:r>
          </w:p>
        </w:tc>
      </w:tr>
    </w:tbl>
    <w:p w14:paraId="168917E8" w14:textId="5D8742BB" w:rsidR="00764D6A" w:rsidRPr="00643528" w:rsidRDefault="00E93778" w:rsidP="00013C7C">
      <w:pPr>
        <w:pStyle w:val="FigureTableNoteSource"/>
      </w:pPr>
      <w:proofErr w:type="spellStart"/>
      <w:proofErr w:type="gramStart"/>
      <w:r w:rsidRPr="00643528">
        <w:rPr>
          <w:rStyle w:val="Strong"/>
        </w:rPr>
        <w:t>a</w:t>
      </w:r>
      <w:proofErr w:type="spellEnd"/>
      <w:proofErr w:type="gramEnd"/>
      <w:r w:rsidRPr="00643528">
        <w:t xml:space="preserve"> </w:t>
      </w:r>
      <w:r w:rsidR="006964A5" w:rsidRPr="00643528">
        <w:t xml:space="preserve">Organic certifiers support a small number of exporters in each export arrangement (excluding Live Animal Exports) </w:t>
      </w:r>
      <w:r w:rsidR="00084D2D">
        <w:t xml:space="preserve">with </w:t>
      </w:r>
      <w:r w:rsidR="006964A5" w:rsidRPr="00643528">
        <w:t>revenue and expense reflected in each arrangement.</w:t>
      </w:r>
    </w:p>
    <w:p w14:paraId="5395A6F8" w14:textId="36D888A8" w:rsidR="00816657" w:rsidRPr="00643528" w:rsidRDefault="00E93778" w:rsidP="00816657">
      <w:pPr>
        <w:pStyle w:val="Caption"/>
      </w:pPr>
      <w:bookmarkStart w:id="29" w:name="_Ref178848532"/>
      <w:bookmarkStart w:id="30" w:name="_Toc178849865"/>
      <w:bookmarkStart w:id="31" w:name="_Toc181704920"/>
      <w:r w:rsidRPr="00643528">
        <w:lastRenderedPageBreak/>
        <w:t xml:space="preserve">Table </w:t>
      </w:r>
      <w:r w:rsidRPr="00643528">
        <w:rPr>
          <w:noProof/>
        </w:rPr>
        <w:fldChar w:fldCharType="begin"/>
      </w:r>
      <w:r w:rsidRPr="00643528">
        <w:rPr>
          <w:noProof/>
        </w:rPr>
        <w:instrText xml:space="preserve"> SEQ Table \* ARABIC </w:instrText>
      </w:r>
      <w:r w:rsidRPr="00643528">
        <w:rPr>
          <w:noProof/>
        </w:rPr>
        <w:fldChar w:fldCharType="separate"/>
      </w:r>
      <w:r w:rsidR="00351083">
        <w:rPr>
          <w:noProof/>
        </w:rPr>
        <w:t>3</w:t>
      </w:r>
      <w:r w:rsidRPr="00643528">
        <w:rPr>
          <w:noProof/>
        </w:rPr>
        <w:fldChar w:fldCharType="end"/>
      </w:r>
      <w:bookmarkEnd w:id="29"/>
      <w:r w:rsidRPr="00643528">
        <w:rPr>
          <w:noProof/>
        </w:rPr>
        <w:t xml:space="preserve"> </w:t>
      </w:r>
      <w:r w:rsidR="00301836" w:rsidRPr="00643528">
        <w:t>R</w:t>
      </w:r>
      <w:r w:rsidR="00816657" w:rsidRPr="00643528">
        <w:t xml:space="preserve">evenue by charge point, </w:t>
      </w:r>
      <w:r w:rsidR="00D61175" w:rsidRPr="00643528">
        <w:t xml:space="preserve">meat </w:t>
      </w:r>
      <w:r w:rsidR="00816657" w:rsidRPr="00643528">
        <w:t>export arrangement for 2023</w:t>
      </w:r>
      <w:r w:rsidR="00256F28" w:rsidRPr="00643528">
        <w:t>–</w:t>
      </w:r>
      <w:r w:rsidR="00816657" w:rsidRPr="00643528">
        <w:t>24</w:t>
      </w:r>
      <w:bookmarkEnd w:id="30"/>
      <w:bookmarkEnd w:id="31"/>
    </w:p>
    <w:tbl>
      <w:tblPr>
        <w:tblW w:w="5000" w:type="pct"/>
        <w:tblLook w:val="04A0" w:firstRow="1" w:lastRow="0" w:firstColumn="1" w:lastColumn="0" w:noHBand="0" w:noVBand="1"/>
      </w:tblPr>
      <w:tblGrid>
        <w:gridCol w:w="1704"/>
        <w:gridCol w:w="2318"/>
        <w:gridCol w:w="1039"/>
        <w:gridCol w:w="1039"/>
        <w:gridCol w:w="1060"/>
        <w:gridCol w:w="871"/>
        <w:gridCol w:w="1039"/>
      </w:tblGrid>
      <w:tr w:rsidR="00D61175" w:rsidRPr="00643528" w14:paraId="33D0A2EA" w14:textId="77777777" w:rsidTr="003B2E54">
        <w:trPr>
          <w:cantSplit/>
          <w:tblHeader/>
        </w:trPr>
        <w:tc>
          <w:tcPr>
            <w:tcW w:w="939" w:type="pct"/>
            <w:tcBorders>
              <w:top w:val="single" w:sz="8" w:space="0" w:color="auto"/>
              <w:left w:val="nil"/>
              <w:bottom w:val="single" w:sz="8" w:space="0" w:color="auto"/>
              <w:right w:val="nil"/>
            </w:tcBorders>
            <w:shd w:val="clear" w:color="auto" w:fill="auto"/>
            <w:hideMark/>
          </w:tcPr>
          <w:p w14:paraId="514FC709" w14:textId="4A35C9CC" w:rsidR="00D61175" w:rsidRPr="00643528" w:rsidRDefault="00D61175" w:rsidP="00256F28">
            <w:pPr>
              <w:pStyle w:val="TableHeading"/>
              <w:rPr>
                <w:lang w:eastAsia="en-AU"/>
              </w:rPr>
            </w:pPr>
            <w:bookmarkStart w:id="32" w:name="Title_3"/>
            <w:bookmarkStart w:id="33" w:name="_Hlk178064720"/>
            <w:bookmarkEnd w:id="32"/>
            <w:r w:rsidRPr="00643528">
              <w:rPr>
                <w:lang w:eastAsia="en-AU"/>
              </w:rPr>
              <w:t xml:space="preserve">Type of </w:t>
            </w:r>
            <w:r w:rsidR="00301836" w:rsidRPr="00643528">
              <w:rPr>
                <w:lang w:eastAsia="en-AU"/>
              </w:rPr>
              <w:t>c</w:t>
            </w:r>
            <w:r w:rsidRPr="00643528">
              <w:rPr>
                <w:lang w:eastAsia="en-AU"/>
              </w:rPr>
              <w:t>harge</w:t>
            </w:r>
          </w:p>
        </w:tc>
        <w:tc>
          <w:tcPr>
            <w:tcW w:w="1278" w:type="pct"/>
            <w:tcBorders>
              <w:top w:val="single" w:sz="8" w:space="0" w:color="auto"/>
              <w:left w:val="nil"/>
              <w:bottom w:val="single" w:sz="8" w:space="0" w:color="auto"/>
              <w:right w:val="nil"/>
            </w:tcBorders>
            <w:shd w:val="clear" w:color="auto" w:fill="auto"/>
            <w:hideMark/>
          </w:tcPr>
          <w:p w14:paraId="7C937796" w14:textId="77777777" w:rsidR="00D61175" w:rsidRPr="00643528" w:rsidRDefault="00D61175" w:rsidP="00256F28">
            <w:pPr>
              <w:pStyle w:val="TableHeading"/>
              <w:rPr>
                <w:lang w:eastAsia="en-AU"/>
              </w:rPr>
            </w:pPr>
            <w:r w:rsidRPr="00643528">
              <w:rPr>
                <w:lang w:eastAsia="en-AU"/>
              </w:rPr>
              <w:t>Cost recovery charges</w:t>
            </w:r>
          </w:p>
        </w:tc>
        <w:tc>
          <w:tcPr>
            <w:tcW w:w="573" w:type="pct"/>
            <w:tcBorders>
              <w:top w:val="single" w:sz="8" w:space="0" w:color="auto"/>
              <w:left w:val="nil"/>
              <w:bottom w:val="single" w:sz="8" w:space="0" w:color="auto"/>
              <w:right w:val="nil"/>
            </w:tcBorders>
            <w:shd w:val="clear" w:color="auto" w:fill="auto"/>
            <w:hideMark/>
          </w:tcPr>
          <w:p w14:paraId="405FB518" w14:textId="77777777" w:rsidR="00D61175" w:rsidRPr="00643528" w:rsidRDefault="00D61175" w:rsidP="0008747B">
            <w:pPr>
              <w:pStyle w:val="TableHeading"/>
              <w:jc w:val="right"/>
              <w:rPr>
                <w:lang w:eastAsia="en-AU"/>
              </w:rPr>
            </w:pPr>
            <w:r w:rsidRPr="00643528">
              <w:rPr>
                <w:lang w:eastAsia="en-AU"/>
              </w:rPr>
              <w:t>Actual ($)</w:t>
            </w:r>
          </w:p>
        </w:tc>
        <w:tc>
          <w:tcPr>
            <w:tcW w:w="573" w:type="pct"/>
            <w:tcBorders>
              <w:top w:val="single" w:sz="8" w:space="0" w:color="auto"/>
              <w:left w:val="nil"/>
              <w:bottom w:val="single" w:sz="8" w:space="0" w:color="auto"/>
              <w:right w:val="nil"/>
            </w:tcBorders>
            <w:shd w:val="clear" w:color="auto" w:fill="auto"/>
            <w:hideMark/>
          </w:tcPr>
          <w:p w14:paraId="32B34072" w14:textId="77777777" w:rsidR="00D61175" w:rsidRPr="00643528" w:rsidRDefault="00D61175" w:rsidP="0008747B">
            <w:pPr>
              <w:pStyle w:val="TableHeading"/>
              <w:jc w:val="right"/>
              <w:rPr>
                <w:lang w:eastAsia="en-AU"/>
              </w:rPr>
            </w:pPr>
            <w:r w:rsidRPr="00643528">
              <w:rPr>
                <w:lang w:eastAsia="en-AU"/>
              </w:rPr>
              <w:t>CRIS ($)</w:t>
            </w:r>
          </w:p>
        </w:tc>
        <w:tc>
          <w:tcPr>
            <w:tcW w:w="584" w:type="pct"/>
            <w:tcBorders>
              <w:top w:val="single" w:sz="8" w:space="0" w:color="auto"/>
              <w:left w:val="nil"/>
              <w:bottom w:val="single" w:sz="8" w:space="0" w:color="auto"/>
              <w:right w:val="nil"/>
            </w:tcBorders>
            <w:shd w:val="clear" w:color="auto" w:fill="auto"/>
            <w:hideMark/>
          </w:tcPr>
          <w:p w14:paraId="21BC3061" w14:textId="77777777" w:rsidR="00D61175" w:rsidRPr="00643528" w:rsidRDefault="00D61175" w:rsidP="0008747B">
            <w:pPr>
              <w:pStyle w:val="TableHeading"/>
              <w:jc w:val="right"/>
              <w:rPr>
                <w:lang w:eastAsia="en-AU"/>
              </w:rPr>
            </w:pPr>
            <w:r w:rsidRPr="00643528">
              <w:rPr>
                <w:lang w:eastAsia="en-AU"/>
              </w:rPr>
              <w:t>Variance ($)</w:t>
            </w:r>
          </w:p>
        </w:tc>
        <w:tc>
          <w:tcPr>
            <w:tcW w:w="480" w:type="pct"/>
            <w:tcBorders>
              <w:top w:val="single" w:sz="8" w:space="0" w:color="auto"/>
              <w:left w:val="nil"/>
              <w:bottom w:val="single" w:sz="8" w:space="0" w:color="auto"/>
              <w:right w:val="nil"/>
            </w:tcBorders>
            <w:shd w:val="clear" w:color="auto" w:fill="auto"/>
            <w:hideMark/>
          </w:tcPr>
          <w:p w14:paraId="4B98C058" w14:textId="77777777" w:rsidR="00D61175" w:rsidRPr="00643528" w:rsidRDefault="00D61175" w:rsidP="0008747B">
            <w:pPr>
              <w:pStyle w:val="TableHeading"/>
              <w:jc w:val="right"/>
              <w:rPr>
                <w:lang w:eastAsia="en-AU"/>
              </w:rPr>
            </w:pPr>
            <w:r w:rsidRPr="00643528">
              <w:rPr>
                <w:lang w:eastAsia="en-AU"/>
              </w:rPr>
              <w:t>Variance (%)</w:t>
            </w:r>
          </w:p>
        </w:tc>
        <w:tc>
          <w:tcPr>
            <w:tcW w:w="573" w:type="pct"/>
            <w:tcBorders>
              <w:top w:val="single" w:sz="8" w:space="0" w:color="auto"/>
              <w:left w:val="nil"/>
              <w:bottom w:val="single" w:sz="8" w:space="0" w:color="auto"/>
              <w:right w:val="nil"/>
            </w:tcBorders>
            <w:shd w:val="clear" w:color="auto" w:fill="auto"/>
            <w:hideMark/>
          </w:tcPr>
          <w:p w14:paraId="3E17D845" w14:textId="77777777" w:rsidR="00D61175" w:rsidRPr="00643528" w:rsidRDefault="00D61175" w:rsidP="0008747B">
            <w:pPr>
              <w:pStyle w:val="TableHeading"/>
              <w:jc w:val="right"/>
              <w:rPr>
                <w:lang w:eastAsia="en-AU"/>
              </w:rPr>
            </w:pPr>
            <w:r w:rsidRPr="00643528">
              <w:rPr>
                <w:lang w:eastAsia="en-AU"/>
              </w:rPr>
              <w:t>Budget ($)</w:t>
            </w:r>
          </w:p>
        </w:tc>
      </w:tr>
      <w:tr w:rsidR="00D61175" w:rsidRPr="00643528" w14:paraId="49B53EC8" w14:textId="77777777" w:rsidTr="00962E4F">
        <w:tc>
          <w:tcPr>
            <w:tcW w:w="939" w:type="pct"/>
            <w:vMerge w:val="restart"/>
            <w:tcBorders>
              <w:top w:val="nil"/>
              <w:left w:val="nil"/>
              <w:bottom w:val="single" w:sz="8" w:space="0" w:color="000000"/>
              <w:right w:val="nil"/>
            </w:tcBorders>
            <w:shd w:val="clear" w:color="auto" w:fill="auto"/>
            <w:hideMark/>
          </w:tcPr>
          <w:p w14:paraId="6606A84C" w14:textId="77777777" w:rsidR="00D61175" w:rsidRPr="00643528" w:rsidRDefault="00D61175" w:rsidP="00256F28">
            <w:pPr>
              <w:pStyle w:val="TableText"/>
              <w:rPr>
                <w:lang w:eastAsia="en-AU"/>
              </w:rPr>
            </w:pPr>
            <w:r w:rsidRPr="00643528">
              <w:rPr>
                <w:lang w:eastAsia="en-AU"/>
              </w:rPr>
              <w:t>Charges</w:t>
            </w:r>
          </w:p>
        </w:tc>
        <w:tc>
          <w:tcPr>
            <w:tcW w:w="1278" w:type="pct"/>
            <w:tcBorders>
              <w:top w:val="nil"/>
              <w:left w:val="nil"/>
              <w:bottom w:val="single" w:sz="4" w:space="0" w:color="auto"/>
              <w:right w:val="nil"/>
            </w:tcBorders>
            <w:shd w:val="clear" w:color="auto" w:fill="auto"/>
            <w:hideMark/>
          </w:tcPr>
          <w:p w14:paraId="28735BC7" w14:textId="0933F1AD" w:rsidR="00D61175" w:rsidRPr="00643528" w:rsidRDefault="00D61175" w:rsidP="00256F28">
            <w:pPr>
              <w:pStyle w:val="TableText"/>
              <w:rPr>
                <w:lang w:eastAsia="en-AU"/>
              </w:rPr>
            </w:pPr>
            <w:r w:rsidRPr="00643528">
              <w:rPr>
                <w:lang w:eastAsia="en-AU"/>
              </w:rPr>
              <w:t xml:space="preserve">Document – </w:t>
            </w:r>
            <w:r w:rsidR="00186CF2">
              <w:rPr>
                <w:lang w:eastAsia="en-AU"/>
              </w:rPr>
              <w:t>c</w:t>
            </w:r>
            <w:r w:rsidRPr="00643528">
              <w:rPr>
                <w:lang w:eastAsia="en-AU"/>
              </w:rPr>
              <w:t>ertificates</w:t>
            </w:r>
          </w:p>
        </w:tc>
        <w:tc>
          <w:tcPr>
            <w:tcW w:w="573" w:type="pct"/>
            <w:tcBorders>
              <w:top w:val="nil"/>
              <w:left w:val="nil"/>
              <w:bottom w:val="single" w:sz="4" w:space="0" w:color="auto"/>
              <w:right w:val="nil"/>
            </w:tcBorders>
            <w:shd w:val="clear" w:color="auto" w:fill="auto"/>
            <w:hideMark/>
          </w:tcPr>
          <w:p w14:paraId="6C94B7E8" w14:textId="77777777" w:rsidR="00D61175" w:rsidRPr="00643528" w:rsidRDefault="00D61175" w:rsidP="0008747B">
            <w:pPr>
              <w:pStyle w:val="TableText"/>
              <w:jc w:val="right"/>
              <w:rPr>
                <w:lang w:eastAsia="en-AU"/>
              </w:rPr>
            </w:pPr>
            <w:r w:rsidRPr="00643528">
              <w:rPr>
                <w:lang w:eastAsia="en-AU"/>
              </w:rPr>
              <w:t>9,351,479</w:t>
            </w:r>
          </w:p>
        </w:tc>
        <w:tc>
          <w:tcPr>
            <w:tcW w:w="573" w:type="pct"/>
            <w:tcBorders>
              <w:top w:val="nil"/>
              <w:left w:val="nil"/>
              <w:bottom w:val="single" w:sz="4" w:space="0" w:color="auto"/>
              <w:right w:val="nil"/>
            </w:tcBorders>
            <w:shd w:val="clear" w:color="auto" w:fill="auto"/>
            <w:hideMark/>
          </w:tcPr>
          <w:p w14:paraId="20603E96" w14:textId="77777777" w:rsidR="00D61175" w:rsidRPr="00643528" w:rsidRDefault="00D61175" w:rsidP="0008747B">
            <w:pPr>
              <w:pStyle w:val="TableText"/>
              <w:jc w:val="right"/>
              <w:rPr>
                <w:lang w:eastAsia="en-AU"/>
              </w:rPr>
            </w:pPr>
            <w:r w:rsidRPr="00643528">
              <w:rPr>
                <w:lang w:eastAsia="en-AU"/>
              </w:rPr>
              <w:t>7,571,936</w:t>
            </w:r>
          </w:p>
        </w:tc>
        <w:tc>
          <w:tcPr>
            <w:tcW w:w="584" w:type="pct"/>
            <w:tcBorders>
              <w:top w:val="nil"/>
              <w:left w:val="nil"/>
              <w:bottom w:val="single" w:sz="4" w:space="0" w:color="auto"/>
              <w:right w:val="nil"/>
            </w:tcBorders>
            <w:shd w:val="clear" w:color="auto" w:fill="auto"/>
            <w:hideMark/>
          </w:tcPr>
          <w:p w14:paraId="274DCB59" w14:textId="77777777" w:rsidR="00D61175" w:rsidRPr="00643528" w:rsidRDefault="00D61175" w:rsidP="0008747B">
            <w:pPr>
              <w:pStyle w:val="TableText"/>
              <w:jc w:val="right"/>
              <w:rPr>
                <w:lang w:eastAsia="en-AU"/>
              </w:rPr>
            </w:pPr>
            <w:r w:rsidRPr="00643528">
              <w:rPr>
                <w:lang w:eastAsia="en-AU"/>
              </w:rPr>
              <w:t>1,779,543</w:t>
            </w:r>
          </w:p>
        </w:tc>
        <w:tc>
          <w:tcPr>
            <w:tcW w:w="480" w:type="pct"/>
            <w:tcBorders>
              <w:top w:val="nil"/>
              <w:left w:val="nil"/>
              <w:bottom w:val="single" w:sz="4" w:space="0" w:color="auto"/>
              <w:right w:val="nil"/>
            </w:tcBorders>
            <w:shd w:val="clear" w:color="auto" w:fill="auto"/>
            <w:hideMark/>
          </w:tcPr>
          <w:p w14:paraId="6E7EDA6A" w14:textId="77777777" w:rsidR="00D61175" w:rsidRPr="00643528" w:rsidRDefault="00D61175" w:rsidP="0008747B">
            <w:pPr>
              <w:pStyle w:val="TableText"/>
              <w:jc w:val="right"/>
              <w:rPr>
                <w:lang w:eastAsia="en-AU"/>
              </w:rPr>
            </w:pPr>
            <w:r w:rsidRPr="00643528">
              <w:rPr>
                <w:lang w:eastAsia="en-AU"/>
              </w:rPr>
              <w:t>24</w:t>
            </w:r>
          </w:p>
        </w:tc>
        <w:tc>
          <w:tcPr>
            <w:tcW w:w="573" w:type="pct"/>
            <w:tcBorders>
              <w:top w:val="nil"/>
              <w:left w:val="nil"/>
              <w:bottom w:val="single" w:sz="4" w:space="0" w:color="auto"/>
              <w:right w:val="nil"/>
            </w:tcBorders>
            <w:shd w:val="clear" w:color="auto" w:fill="auto"/>
            <w:hideMark/>
          </w:tcPr>
          <w:p w14:paraId="138E007C" w14:textId="77777777" w:rsidR="00D61175" w:rsidRPr="00643528" w:rsidRDefault="00D61175" w:rsidP="0008747B">
            <w:pPr>
              <w:pStyle w:val="TableText"/>
              <w:jc w:val="right"/>
              <w:rPr>
                <w:lang w:eastAsia="en-AU"/>
              </w:rPr>
            </w:pPr>
            <w:r w:rsidRPr="00643528">
              <w:rPr>
                <w:lang w:eastAsia="en-AU"/>
              </w:rPr>
              <w:t>7,615,515</w:t>
            </w:r>
          </w:p>
        </w:tc>
      </w:tr>
      <w:tr w:rsidR="00D61175" w:rsidRPr="00643528" w14:paraId="4FA7BEFB" w14:textId="77777777" w:rsidTr="00962E4F">
        <w:tc>
          <w:tcPr>
            <w:tcW w:w="939" w:type="pct"/>
            <w:vMerge/>
            <w:tcBorders>
              <w:top w:val="nil"/>
              <w:left w:val="nil"/>
              <w:bottom w:val="single" w:sz="8" w:space="0" w:color="000000"/>
              <w:right w:val="nil"/>
            </w:tcBorders>
            <w:hideMark/>
          </w:tcPr>
          <w:p w14:paraId="49365F2A"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45EDA64C" w14:textId="390BFF07" w:rsidR="00D61175" w:rsidRPr="00643528" w:rsidRDefault="00186CF2" w:rsidP="00256F28">
            <w:pPr>
              <w:pStyle w:val="TableText"/>
              <w:rPr>
                <w:lang w:eastAsia="en-AU"/>
              </w:rPr>
            </w:pPr>
            <w:r>
              <w:rPr>
                <w:lang w:eastAsia="en-AU"/>
              </w:rPr>
              <w:t>Meat export license</w:t>
            </w:r>
          </w:p>
        </w:tc>
        <w:tc>
          <w:tcPr>
            <w:tcW w:w="573" w:type="pct"/>
            <w:tcBorders>
              <w:top w:val="nil"/>
              <w:left w:val="nil"/>
              <w:bottom w:val="single" w:sz="4" w:space="0" w:color="auto"/>
              <w:right w:val="nil"/>
            </w:tcBorders>
            <w:shd w:val="clear" w:color="auto" w:fill="auto"/>
            <w:hideMark/>
          </w:tcPr>
          <w:p w14:paraId="49119BDC" w14:textId="77777777" w:rsidR="00D61175" w:rsidRPr="00643528" w:rsidRDefault="00D61175" w:rsidP="0008747B">
            <w:pPr>
              <w:pStyle w:val="TableText"/>
              <w:jc w:val="right"/>
              <w:rPr>
                <w:lang w:eastAsia="en-AU"/>
              </w:rPr>
            </w:pPr>
            <w:r w:rsidRPr="00643528">
              <w:rPr>
                <w:lang w:eastAsia="en-AU"/>
              </w:rPr>
              <w:t>110,763</w:t>
            </w:r>
          </w:p>
        </w:tc>
        <w:tc>
          <w:tcPr>
            <w:tcW w:w="573" w:type="pct"/>
            <w:tcBorders>
              <w:top w:val="nil"/>
              <w:left w:val="nil"/>
              <w:bottom w:val="single" w:sz="4" w:space="0" w:color="auto"/>
              <w:right w:val="nil"/>
            </w:tcBorders>
            <w:shd w:val="clear" w:color="auto" w:fill="auto"/>
            <w:hideMark/>
          </w:tcPr>
          <w:p w14:paraId="43951020" w14:textId="77777777" w:rsidR="00D61175" w:rsidRPr="00643528" w:rsidRDefault="00D61175" w:rsidP="0008747B">
            <w:pPr>
              <w:pStyle w:val="TableText"/>
              <w:jc w:val="right"/>
              <w:rPr>
                <w:lang w:eastAsia="en-AU"/>
              </w:rPr>
            </w:pPr>
            <w:r w:rsidRPr="00643528">
              <w:rPr>
                <w:lang w:eastAsia="en-AU"/>
              </w:rPr>
              <w:t>104,073</w:t>
            </w:r>
          </w:p>
        </w:tc>
        <w:tc>
          <w:tcPr>
            <w:tcW w:w="584" w:type="pct"/>
            <w:tcBorders>
              <w:top w:val="nil"/>
              <w:left w:val="nil"/>
              <w:bottom w:val="single" w:sz="4" w:space="0" w:color="auto"/>
              <w:right w:val="nil"/>
            </w:tcBorders>
            <w:shd w:val="clear" w:color="auto" w:fill="auto"/>
            <w:hideMark/>
          </w:tcPr>
          <w:p w14:paraId="48988739" w14:textId="77777777" w:rsidR="00D61175" w:rsidRPr="00643528" w:rsidRDefault="00D61175" w:rsidP="0008747B">
            <w:pPr>
              <w:pStyle w:val="TableText"/>
              <w:jc w:val="right"/>
              <w:rPr>
                <w:lang w:eastAsia="en-AU"/>
              </w:rPr>
            </w:pPr>
            <w:r w:rsidRPr="00643528">
              <w:rPr>
                <w:lang w:eastAsia="en-AU"/>
              </w:rPr>
              <w:t>6,690</w:t>
            </w:r>
          </w:p>
        </w:tc>
        <w:tc>
          <w:tcPr>
            <w:tcW w:w="480" w:type="pct"/>
            <w:tcBorders>
              <w:top w:val="nil"/>
              <w:left w:val="nil"/>
              <w:bottom w:val="single" w:sz="4" w:space="0" w:color="auto"/>
              <w:right w:val="nil"/>
            </w:tcBorders>
            <w:shd w:val="clear" w:color="auto" w:fill="auto"/>
            <w:hideMark/>
          </w:tcPr>
          <w:p w14:paraId="1E886941" w14:textId="77777777" w:rsidR="00D61175" w:rsidRPr="00643528" w:rsidRDefault="00D61175" w:rsidP="0008747B">
            <w:pPr>
              <w:pStyle w:val="TableText"/>
              <w:jc w:val="right"/>
              <w:rPr>
                <w:lang w:eastAsia="en-AU"/>
              </w:rPr>
            </w:pPr>
            <w:r w:rsidRPr="00643528">
              <w:rPr>
                <w:lang w:eastAsia="en-AU"/>
              </w:rPr>
              <w:t>6</w:t>
            </w:r>
          </w:p>
        </w:tc>
        <w:tc>
          <w:tcPr>
            <w:tcW w:w="573" w:type="pct"/>
            <w:tcBorders>
              <w:top w:val="nil"/>
              <w:left w:val="nil"/>
              <w:bottom w:val="single" w:sz="4" w:space="0" w:color="auto"/>
              <w:right w:val="nil"/>
            </w:tcBorders>
            <w:shd w:val="clear" w:color="auto" w:fill="auto"/>
            <w:hideMark/>
          </w:tcPr>
          <w:p w14:paraId="723AAA64" w14:textId="77777777" w:rsidR="00D61175" w:rsidRPr="00643528" w:rsidRDefault="00D61175" w:rsidP="0008747B">
            <w:pPr>
              <w:pStyle w:val="TableText"/>
              <w:jc w:val="right"/>
              <w:rPr>
                <w:lang w:eastAsia="en-AU"/>
              </w:rPr>
            </w:pPr>
            <w:r w:rsidRPr="00643528">
              <w:rPr>
                <w:lang w:eastAsia="en-AU"/>
              </w:rPr>
              <w:t>109,667</w:t>
            </w:r>
          </w:p>
        </w:tc>
      </w:tr>
      <w:tr w:rsidR="00D61175" w:rsidRPr="00643528" w14:paraId="21D167AB" w14:textId="77777777" w:rsidTr="00962E4F">
        <w:tc>
          <w:tcPr>
            <w:tcW w:w="939" w:type="pct"/>
            <w:vMerge/>
            <w:tcBorders>
              <w:top w:val="nil"/>
              <w:left w:val="nil"/>
              <w:bottom w:val="single" w:sz="8" w:space="0" w:color="000000"/>
              <w:right w:val="nil"/>
            </w:tcBorders>
            <w:hideMark/>
          </w:tcPr>
          <w:p w14:paraId="71567860"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1D54E8DF" w14:textId="62E6A9B5" w:rsidR="00D61175" w:rsidRPr="00643528" w:rsidRDefault="00D61175" w:rsidP="00256F28">
            <w:pPr>
              <w:pStyle w:val="TableText"/>
              <w:rPr>
                <w:lang w:eastAsia="en-AU"/>
              </w:rPr>
            </w:pPr>
            <w:r w:rsidRPr="00643528">
              <w:rPr>
                <w:lang w:eastAsia="en-AU"/>
              </w:rPr>
              <w:t xml:space="preserve">Registration </w:t>
            </w:r>
            <w:r w:rsidR="00186CF2">
              <w:rPr>
                <w:lang w:eastAsia="en-AU"/>
              </w:rPr>
              <w:t>a</w:t>
            </w:r>
            <w:r w:rsidRPr="00643528">
              <w:rPr>
                <w:lang w:eastAsia="en-AU"/>
              </w:rPr>
              <w:t>pplication</w:t>
            </w:r>
          </w:p>
        </w:tc>
        <w:tc>
          <w:tcPr>
            <w:tcW w:w="573" w:type="pct"/>
            <w:tcBorders>
              <w:top w:val="nil"/>
              <w:left w:val="nil"/>
              <w:bottom w:val="single" w:sz="4" w:space="0" w:color="auto"/>
              <w:right w:val="nil"/>
            </w:tcBorders>
            <w:shd w:val="clear" w:color="auto" w:fill="auto"/>
            <w:hideMark/>
          </w:tcPr>
          <w:p w14:paraId="5D767F5D" w14:textId="77777777" w:rsidR="00D61175" w:rsidRPr="00643528" w:rsidRDefault="00D61175" w:rsidP="0008747B">
            <w:pPr>
              <w:pStyle w:val="TableText"/>
              <w:jc w:val="right"/>
              <w:rPr>
                <w:lang w:eastAsia="en-AU"/>
              </w:rPr>
            </w:pPr>
            <w:r w:rsidRPr="00643528">
              <w:rPr>
                <w:lang w:eastAsia="en-AU"/>
              </w:rPr>
              <w:t>25,140</w:t>
            </w:r>
          </w:p>
        </w:tc>
        <w:tc>
          <w:tcPr>
            <w:tcW w:w="573" w:type="pct"/>
            <w:tcBorders>
              <w:top w:val="nil"/>
              <w:left w:val="nil"/>
              <w:bottom w:val="single" w:sz="4" w:space="0" w:color="auto"/>
              <w:right w:val="nil"/>
            </w:tcBorders>
            <w:shd w:val="clear" w:color="auto" w:fill="auto"/>
            <w:hideMark/>
          </w:tcPr>
          <w:p w14:paraId="2600F026" w14:textId="77777777" w:rsidR="00D61175" w:rsidRPr="00643528" w:rsidRDefault="00D61175" w:rsidP="0008747B">
            <w:pPr>
              <w:pStyle w:val="TableText"/>
              <w:jc w:val="right"/>
              <w:rPr>
                <w:lang w:eastAsia="en-AU"/>
              </w:rPr>
            </w:pPr>
            <w:r w:rsidRPr="00643528">
              <w:rPr>
                <w:lang w:eastAsia="en-AU"/>
              </w:rPr>
              <w:t>31,006</w:t>
            </w:r>
          </w:p>
        </w:tc>
        <w:tc>
          <w:tcPr>
            <w:tcW w:w="584" w:type="pct"/>
            <w:tcBorders>
              <w:top w:val="nil"/>
              <w:left w:val="nil"/>
              <w:bottom w:val="single" w:sz="4" w:space="0" w:color="auto"/>
              <w:right w:val="nil"/>
            </w:tcBorders>
            <w:shd w:val="clear" w:color="auto" w:fill="auto"/>
            <w:hideMark/>
          </w:tcPr>
          <w:p w14:paraId="0D09A1B9" w14:textId="77777777" w:rsidR="00D61175" w:rsidRPr="00643528" w:rsidRDefault="00D61175" w:rsidP="0008747B">
            <w:pPr>
              <w:pStyle w:val="TableText"/>
              <w:jc w:val="right"/>
              <w:rPr>
                <w:lang w:eastAsia="en-AU"/>
              </w:rPr>
            </w:pPr>
            <w:r w:rsidRPr="00643528">
              <w:rPr>
                <w:lang w:eastAsia="en-AU"/>
              </w:rPr>
              <w:t>(5,866)</w:t>
            </w:r>
          </w:p>
        </w:tc>
        <w:tc>
          <w:tcPr>
            <w:tcW w:w="480" w:type="pct"/>
            <w:tcBorders>
              <w:top w:val="nil"/>
              <w:left w:val="nil"/>
              <w:bottom w:val="single" w:sz="4" w:space="0" w:color="auto"/>
              <w:right w:val="nil"/>
            </w:tcBorders>
            <w:shd w:val="clear" w:color="auto" w:fill="auto"/>
            <w:hideMark/>
          </w:tcPr>
          <w:p w14:paraId="458DE75C" w14:textId="77777777" w:rsidR="00D61175" w:rsidRPr="00643528" w:rsidRDefault="00D61175" w:rsidP="0008747B">
            <w:pPr>
              <w:pStyle w:val="TableText"/>
              <w:jc w:val="right"/>
              <w:rPr>
                <w:lang w:eastAsia="en-AU"/>
              </w:rPr>
            </w:pPr>
            <w:r w:rsidRPr="00643528">
              <w:rPr>
                <w:lang w:eastAsia="en-AU"/>
              </w:rPr>
              <w:t>(19)</w:t>
            </w:r>
          </w:p>
        </w:tc>
        <w:tc>
          <w:tcPr>
            <w:tcW w:w="573" w:type="pct"/>
            <w:tcBorders>
              <w:top w:val="nil"/>
              <w:left w:val="nil"/>
              <w:bottom w:val="single" w:sz="4" w:space="0" w:color="auto"/>
              <w:right w:val="nil"/>
            </w:tcBorders>
            <w:shd w:val="clear" w:color="auto" w:fill="auto"/>
            <w:hideMark/>
          </w:tcPr>
          <w:p w14:paraId="6FF19441" w14:textId="77777777" w:rsidR="00D61175" w:rsidRPr="00643528" w:rsidRDefault="00D61175" w:rsidP="0008747B">
            <w:pPr>
              <w:pStyle w:val="TableText"/>
              <w:jc w:val="right"/>
              <w:rPr>
                <w:lang w:eastAsia="en-AU"/>
              </w:rPr>
            </w:pPr>
            <w:r w:rsidRPr="00643528">
              <w:rPr>
                <w:lang w:eastAsia="en-AU"/>
              </w:rPr>
              <w:t>32,020</w:t>
            </w:r>
          </w:p>
        </w:tc>
      </w:tr>
      <w:tr w:rsidR="00D61175" w:rsidRPr="00643528" w14:paraId="59455928" w14:textId="77777777" w:rsidTr="00962E4F">
        <w:tc>
          <w:tcPr>
            <w:tcW w:w="939" w:type="pct"/>
            <w:vMerge/>
            <w:tcBorders>
              <w:top w:val="nil"/>
              <w:left w:val="nil"/>
              <w:bottom w:val="single" w:sz="8" w:space="0" w:color="000000"/>
              <w:right w:val="nil"/>
            </w:tcBorders>
            <w:hideMark/>
          </w:tcPr>
          <w:p w14:paraId="7982CDE1"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2A212AE0" w14:textId="72EBA2F4" w:rsidR="00D61175" w:rsidRPr="00643528" w:rsidRDefault="00D61175" w:rsidP="00256F28">
            <w:pPr>
              <w:pStyle w:val="TableText"/>
              <w:rPr>
                <w:lang w:eastAsia="en-AU"/>
              </w:rPr>
            </w:pPr>
            <w:r w:rsidRPr="00643528">
              <w:rPr>
                <w:lang w:eastAsia="en-AU"/>
              </w:rPr>
              <w:t xml:space="preserve">Establishment – </w:t>
            </w:r>
            <w:r w:rsidR="00186CF2">
              <w:rPr>
                <w:lang w:eastAsia="en-AU"/>
              </w:rPr>
              <w:t>p</w:t>
            </w:r>
            <w:r w:rsidRPr="00643528">
              <w:rPr>
                <w:lang w:eastAsia="en-AU"/>
              </w:rPr>
              <w:t>oultry</w:t>
            </w:r>
          </w:p>
        </w:tc>
        <w:tc>
          <w:tcPr>
            <w:tcW w:w="573" w:type="pct"/>
            <w:tcBorders>
              <w:top w:val="nil"/>
              <w:left w:val="nil"/>
              <w:bottom w:val="single" w:sz="4" w:space="0" w:color="auto"/>
              <w:right w:val="nil"/>
            </w:tcBorders>
            <w:shd w:val="clear" w:color="auto" w:fill="auto"/>
            <w:hideMark/>
          </w:tcPr>
          <w:p w14:paraId="557689D9" w14:textId="77777777" w:rsidR="00D61175" w:rsidRPr="00643528" w:rsidRDefault="00D61175" w:rsidP="0008747B">
            <w:pPr>
              <w:pStyle w:val="TableText"/>
              <w:jc w:val="right"/>
              <w:rPr>
                <w:lang w:eastAsia="en-AU"/>
              </w:rPr>
            </w:pPr>
            <w:r w:rsidRPr="00643528">
              <w:rPr>
                <w:lang w:eastAsia="en-AU"/>
              </w:rPr>
              <w:t>486,486</w:t>
            </w:r>
          </w:p>
        </w:tc>
        <w:tc>
          <w:tcPr>
            <w:tcW w:w="573" w:type="pct"/>
            <w:tcBorders>
              <w:top w:val="nil"/>
              <w:left w:val="nil"/>
              <w:bottom w:val="single" w:sz="4" w:space="0" w:color="auto"/>
              <w:right w:val="nil"/>
            </w:tcBorders>
            <w:shd w:val="clear" w:color="auto" w:fill="auto"/>
            <w:hideMark/>
          </w:tcPr>
          <w:p w14:paraId="3F9325B2" w14:textId="77777777" w:rsidR="00D61175" w:rsidRPr="00643528" w:rsidRDefault="00D61175" w:rsidP="0008747B">
            <w:pPr>
              <w:pStyle w:val="TableText"/>
              <w:jc w:val="right"/>
              <w:rPr>
                <w:lang w:eastAsia="en-AU"/>
              </w:rPr>
            </w:pPr>
            <w:r w:rsidRPr="00643528">
              <w:rPr>
                <w:lang w:eastAsia="en-AU"/>
              </w:rPr>
              <w:t>465,894</w:t>
            </w:r>
          </w:p>
        </w:tc>
        <w:tc>
          <w:tcPr>
            <w:tcW w:w="584" w:type="pct"/>
            <w:tcBorders>
              <w:top w:val="nil"/>
              <w:left w:val="nil"/>
              <w:bottom w:val="single" w:sz="4" w:space="0" w:color="auto"/>
              <w:right w:val="nil"/>
            </w:tcBorders>
            <w:shd w:val="clear" w:color="auto" w:fill="auto"/>
            <w:hideMark/>
          </w:tcPr>
          <w:p w14:paraId="0B19EBAB" w14:textId="77777777" w:rsidR="00D61175" w:rsidRPr="00643528" w:rsidRDefault="00D61175" w:rsidP="0008747B">
            <w:pPr>
              <w:pStyle w:val="TableText"/>
              <w:jc w:val="right"/>
              <w:rPr>
                <w:lang w:eastAsia="en-AU"/>
              </w:rPr>
            </w:pPr>
            <w:r w:rsidRPr="00643528">
              <w:rPr>
                <w:lang w:eastAsia="en-AU"/>
              </w:rPr>
              <w:t>20,592</w:t>
            </w:r>
          </w:p>
        </w:tc>
        <w:tc>
          <w:tcPr>
            <w:tcW w:w="480" w:type="pct"/>
            <w:tcBorders>
              <w:top w:val="nil"/>
              <w:left w:val="nil"/>
              <w:bottom w:val="single" w:sz="4" w:space="0" w:color="auto"/>
              <w:right w:val="nil"/>
            </w:tcBorders>
            <w:shd w:val="clear" w:color="auto" w:fill="auto"/>
            <w:hideMark/>
          </w:tcPr>
          <w:p w14:paraId="7C72B5F7" w14:textId="77777777" w:rsidR="00D61175" w:rsidRPr="00643528" w:rsidRDefault="00D61175" w:rsidP="0008747B">
            <w:pPr>
              <w:pStyle w:val="TableText"/>
              <w:jc w:val="right"/>
              <w:rPr>
                <w:lang w:eastAsia="en-AU"/>
              </w:rPr>
            </w:pPr>
            <w:r w:rsidRPr="00643528">
              <w:rPr>
                <w:lang w:eastAsia="en-AU"/>
              </w:rPr>
              <w:t>4</w:t>
            </w:r>
          </w:p>
        </w:tc>
        <w:tc>
          <w:tcPr>
            <w:tcW w:w="573" w:type="pct"/>
            <w:tcBorders>
              <w:top w:val="nil"/>
              <w:left w:val="nil"/>
              <w:bottom w:val="single" w:sz="4" w:space="0" w:color="auto"/>
              <w:right w:val="nil"/>
            </w:tcBorders>
            <w:shd w:val="clear" w:color="auto" w:fill="auto"/>
            <w:hideMark/>
          </w:tcPr>
          <w:p w14:paraId="57BBC36F" w14:textId="77777777" w:rsidR="00D61175" w:rsidRPr="00643528" w:rsidRDefault="00D61175" w:rsidP="0008747B">
            <w:pPr>
              <w:pStyle w:val="TableText"/>
              <w:jc w:val="right"/>
              <w:rPr>
                <w:lang w:eastAsia="en-AU"/>
              </w:rPr>
            </w:pPr>
            <w:r w:rsidRPr="00643528">
              <w:rPr>
                <w:lang w:eastAsia="en-AU"/>
              </w:rPr>
              <w:t>476,846</w:t>
            </w:r>
          </w:p>
        </w:tc>
      </w:tr>
      <w:tr w:rsidR="00D61175" w:rsidRPr="00643528" w14:paraId="2D7151AB" w14:textId="77777777" w:rsidTr="00962E4F">
        <w:tc>
          <w:tcPr>
            <w:tcW w:w="939" w:type="pct"/>
            <w:vMerge/>
            <w:tcBorders>
              <w:top w:val="nil"/>
              <w:left w:val="nil"/>
              <w:bottom w:val="single" w:sz="8" w:space="0" w:color="000000"/>
              <w:right w:val="nil"/>
            </w:tcBorders>
            <w:hideMark/>
          </w:tcPr>
          <w:p w14:paraId="547A3995"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6FFFF21A" w14:textId="65EE8070" w:rsidR="00D61175" w:rsidRPr="00643528" w:rsidRDefault="00D61175" w:rsidP="00256F28">
            <w:pPr>
              <w:pStyle w:val="TableText"/>
              <w:rPr>
                <w:lang w:eastAsia="en-AU"/>
              </w:rPr>
            </w:pPr>
            <w:r w:rsidRPr="00643528">
              <w:rPr>
                <w:lang w:eastAsia="en-AU"/>
              </w:rPr>
              <w:t xml:space="preserve">Establishment – </w:t>
            </w:r>
            <w:r w:rsidR="00186CF2">
              <w:rPr>
                <w:lang w:eastAsia="en-AU"/>
              </w:rPr>
              <w:t>f</w:t>
            </w:r>
            <w:r w:rsidRPr="00643528">
              <w:rPr>
                <w:lang w:eastAsia="en-AU"/>
              </w:rPr>
              <w:t>urther processing</w:t>
            </w:r>
          </w:p>
        </w:tc>
        <w:tc>
          <w:tcPr>
            <w:tcW w:w="573" w:type="pct"/>
            <w:tcBorders>
              <w:top w:val="nil"/>
              <w:left w:val="nil"/>
              <w:bottom w:val="single" w:sz="4" w:space="0" w:color="auto"/>
              <w:right w:val="nil"/>
            </w:tcBorders>
            <w:shd w:val="clear" w:color="auto" w:fill="auto"/>
            <w:hideMark/>
          </w:tcPr>
          <w:p w14:paraId="48F7BBA4" w14:textId="77777777" w:rsidR="00D61175" w:rsidRPr="00643528" w:rsidRDefault="00D61175" w:rsidP="0008747B">
            <w:pPr>
              <w:pStyle w:val="TableText"/>
              <w:jc w:val="right"/>
              <w:rPr>
                <w:lang w:eastAsia="en-AU"/>
              </w:rPr>
            </w:pPr>
            <w:r w:rsidRPr="00643528">
              <w:rPr>
                <w:lang w:eastAsia="en-AU"/>
              </w:rPr>
              <w:t>1,191,762</w:t>
            </w:r>
          </w:p>
        </w:tc>
        <w:tc>
          <w:tcPr>
            <w:tcW w:w="573" w:type="pct"/>
            <w:tcBorders>
              <w:top w:val="nil"/>
              <w:left w:val="nil"/>
              <w:bottom w:val="single" w:sz="4" w:space="0" w:color="auto"/>
              <w:right w:val="nil"/>
            </w:tcBorders>
            <w:shd w:val="clear" w:color="auto" w:fill="auto"/>
            <w:hideMark/>
          </w:tcPr>
          <w:p w14:paraId="62E66781" w14:textId="77777777" w:rsidR="00D61175" w:rsidRPr="00643528" w:rsidRDefault="00D61175" w:rsidP="0008747B">
            <w:pPr>
              <w:pStyle w:val="TableText"/>
              <w:jc w:val="right"/>
              <w:rPr>
                <w:lang w:eastAsia="en-AU"/>
              </w:rPr>
            </w:pPr>
            <w:r w:rsidRPr="00643528">
              <w:rPr>
                <w:lang w:eastAsia="en-AU"/>
              </w:rPr>
              <w:t>1,127,412</w:t>
            </w:r>
          </w:p>
        </w:tc>
        <w:tc>
          <w:tcPr>
            <w:tcW w:w="584" w:type="pct"/>
            <w:tcBorders>
              <w:top w:val="nil"/>
              <w:left w:val="nil"/>
              <w:bottom w:val="single" w:sz="4" w:space="0" w:color="auto"/>
              <w:right w:val="nil"/>
            </w:tcBorders>
            <w:shd w:val="clear" w:color="auto" w:fill="auto"/>
            <w:hideMark/>
          </w:tcPr>
          <w:p w14:paraId="3C1DB367" w14:textId="77777777" w:rsidR="00D61175" w:rsidRPr="00643528" w:rsidRDefault="00D61175" w:rsidP="0008747B">
            <w:pPr>
              <w:pStyle w:val="TableText"/>
              <w:jc w:val="right"/>
              <w:rPr>
                <w:lang w:eastAsia="en-AU"/>
              </w:rPr>
            </w:pPr>
            <w:r w:rsidRPr="00643528">
              <w:rPr>
                <w:lang w:eastAsia="en-AU"/>
              </w:rPr>
              <w:t>64,350</w:t>
            </w:r>
          </w:p>
        </w:tc>
        <w:tc>
          <w:tcPr>
            <w:tcW w:w="480" w:type="pct"/>
            <w:tcBorders>
              <w:top w:val="nil"/>
              <w:left w:val="nil"/>
              <w:bottom w:val="single" w:sz="4" w:space="0" w:color="auto"/>
              <w:right w:val="nil"/>
            </w:tcBorders>
            <w:shd w:val="clear" w:color="auto" w:fill="auto"/>
            <w:hideMark/>
          </w:tcPr>
          <w:p w14:paraId="5A7853B4" w14:textId="77777777" w:rsidR="00D61175" w:rsidRPr="00643528" w:rsidRDefault="00D61175" w:rsidP="0008747B">
            <w:pPr>
              <w:pStyle w:val="TableText"/>
              <w:jc w:val="right"/>
              <w:rPr>
                <w:lang w:eastAsia="en-AU"/>
              </w:rPr>
            </w:pPr>
            <w:r w:rsidRPr="00643528">
              <w:rPr>
                <w:lang w:eastAsia="en-AU"/>
              </w:rPr>
              <w:t>6</w:t>
            </w:r>
          </w:p>
        </w:tc>
        <w:tc>
          <w:tcPr>
            <w:tcW w:w="573" w:type="pct"/>
            <w:tcBorders>
              <w:top w:val="nil"/>
              <w:left w:val="nil"/>
              <w:bottom w:val="single" w:sz="4" w:space="0" w:color="auto"/>
              <w:right w:val="nil"/>
            </w:tcBorders>
            <w:shd w:val="clear" w:color="auto" w:fill="auto"/>
            <w:hideMark/>
          </w:tcPr>
          <w:p w14:paraId="552FFFB3" w14:textId="77777777" w:rsidR="00D61175" w:rsidRPr="00643528" w:rsidRDefault="00D61175" w:rsidP="0008747B">
            <w:pPr>
              <w:pStyle w:val="TableText"/>
              <w:jc w:val="right"/>
              <w:rPr>
                <w:lang w:eastAsia="en-AU"/>
              </w:rPr>
            </w:pPr>
            <w:r w:rsidRPr="00643528">
              <w:rPr>
                <w:lang w:eastAsia="en-AU"/>
              </w:rPr>
              <w:t>1,214,426</w:t>
            </w:r>
          </w:p>
        </w:tc>
      </w:tr>
      <w:tr w:rsidR="00D61175" w:rsidRPr="00643528" w14:paraId="5B9BF477" w14:textId="77777777" w:rsidTr="00962E4F">
        <w:tc>
          <w:tcPr>
            <w:tcW w:w="939" w:type="pct"/>
            <w:vMerge/>
            <w:tcBorders>
              <w:top w:val="nil"/>
              <w:left w:val="nil"/>
              <w:bottom w:val="single" w:sz="8" w:space="0" w:color="000000"/>
              <w:right w:val="nil"/>
            </w:tcBorders>
            <w:hideMark/>
          </w:tcPr>
          <w:p w14:paraId="6F56C637"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6EFF158D" w14:textId="7D5F0567" w:rsidR="00D61175" w:rsidRPr="00643528" w:rsidRDefault="00D61175" w:rsidP="00256F28">
            <w:pPr>
              <w:pStyle w:val="TableText"/>
              <w:rPr>
                <w:lang w:eastAsia="en-AU"/>
              </w:rPr>
            </w:pPr>
            <w:r w:rsidRPr="00643528">
              <w:rPr>
                <w:lang w:eastAsia="en-AU"/>
              </w:rPr>
              <w:t xml:space="preserve">Establishment – </w:t>
            </w:r>
            <w:r w:rsidR="00186CF2">
              <w:rPr>
                <w:lang w:eastAsia="en-AU"/>
              </w:rPr>
              <w:t>i</w:t>
            </w:r>
            <w:r w:rsidRPr="00643528">
              <w:rPr>
                <w:lang w:eastAsia="en-AU"/>
              </w:rPr>
              <w:t>ndependent boning room</w:t>
            </w:r>
          </w:p>
        </w:tc>
        <w:tc>
          <w:tcPr>
            <w:tcW w:w="573" w:type="pct"/>
            <w:tcBorders>
              <w:top w:val="nil"/>
              <w:left w:val="nil"/>
              <w:bottom w:val="single" w:sz="4" w:space="0" w:color="auto"/>
              <w:right w:val="nil"/>
            </w:tcBorders>
            <w:shd w:val="clear" w:color="auto" w:fill="auto"/>
            <w:hideMark/>
          </w:tcPr>
          <w:p w14:paraId="4AEABFE1" w14:textId="77777777" w:rsidR="00D61175" w:rsidRPr="00643528" w:rsidRDefault="00D61175" w:rsidP="0008747B">
            <w:pPr>
              <w:pStyle w:val="TableText"/>
              <w:jc w:val="right"/>
              <w:rPr>
                <w:lang w:eastAsia="en-AU"/>
              </w:rPr>
            </w:pPr>
            <w:r w:rsidRPr="00643528">
              <w:rPr>
                <w:lang w:eastAsia="en-AU"/>
              </w:rPr>
              <w:t>216,216</w:t>
            </w:r>
          </w:p>
        </w:tc>
        <w:tc>
          <w:tcPr>
            <w:tcW w:w="573" w:type="pct"/>
            <w:tcBorders>
              <w:top w:val="nil"/>
              <w:left w:val="nil"/>
              <w:bottom w:val="single" w:sz="4" w:space="0" w:color="auto"/>
              <w:right w:val="nil"/>
            </w:tcBorders>
            <w:shd w:val="clear" w:color="auto" w:fill="auto"/>
            <w:hideMark/>
          </w:tcPr>
          <w:p w14:paraId="2ACFE5BE" w14:textId="77777777" w:rsidR="00D61175" w:rsidRPr="00643528" w:rsidRDefault="00D61175" w:rsidP="0008747B">
            <w:pPr>
              <w:pStyle w:val="TableText"/>
              <w:jc w:val="right"/>
              <w:rPr>
                <w:lang w:eastAsia="en-AU"/>
              </w:rPr>
            </w:pPr>
            <w:r w:rsidRPr="00643528">
              <w:rPr>
                <w:lang w:eastAsia="en-AU"/>
              </w:rPr>
              <w:t>249,678</w:t>
            </w:r>
          </w:p>
        </w:tc>
        <w:tc>
          <w:tcPr>
            <w:tcW w:w="584" w:type="pct"/>
            <w:tcBorders>
              <w:top w:val="nil"/>
              <w:left w:val="nil"/>
              <w:bottom w:val="single" w:sz="4" w:space="0" w:color="auto"/>
              <w:right w:val="nil"/>
            </w:tcBorders>
            <w:shd w:val="clear" w:color="auto" w:fill="auto"/>
            <w:hideMark/>
          </w:tcPr>
          <w:p w14:paraId="04AD7D0C" w14:textId="77777777" w:rsidR="00D61175" w:rsidRPr="00643528" w:rsidRDefault="00D61175" w:rsidP="0008747B">
            <w:pPr>
              <w:pStyle w:val="TableText"/>
              <w:jc w:val="right"/>
              <w:rPr>
                <w:lang w:eastAsia="en-AU"/>
              </w:rPr>
            </w:pPr>
            <w:r w:rsidRPr="00643528">
              <w:rPr>
                <w:lang w:eastAsia="en-AU"/>
              </w:rPr>
              <w:t>(33,462)</w:t>
            </w:r>
          </w:p>
        </w:tc>
        <w:tc>
          <w:tcPr>
            <w:tcW w:w="480" w:type="pct"/>
            <w:tcBorders>
              <w:top w:val="nil"/>
              <w:left w:val="nil"/>
              <w:bottom w:val="single" w:sz="4" w:space="0" w:color="auto"/>
              <w:right w:val="nil"/>
            </w:tcBorders>
            <w:shd w:val="clear" w:color="auto" w:fill="auto"/>
            <w:hideMark/>
          </w:tcPr>
          <w:p w14:paraId="0EA2F2BB" w14:textId="77777777" w:rsidR="00D61175" w:rsidRPr="00643528" w:rsidRDefault="00D61175" w:rsidP="0008747B">
            <w:pPr>
              <w:pStyle w:val="TableText"/>
              <w:jc w:val="right"/>
              <w:rPr>
                <w:lang w:eastAsia="en-AU"/>
              </w:rPr>
            </w:pPr>
            <w:r w:rsidRPr="00643528">
              <w:rPr>
                <w:lang w:eastAsia="en-AU"/>
              </w:rPr>
              <w:t>(13)</w:t>
            </w:r>
          </w:p>
        </w:tc>
        <w:tc>
          <w:tcPr>
            <w:tcW w:w="573" w:type="pct"/>
            <w:tcBorders>
              <w:top w:val="nil"/>
              <w:left w:val="nil"/>
              <w:bottom w:val="single" w:sz="4" w:space="0" w:color="auto"/>
              <w:right w:val="nil"/>
            </w:tcBorders>
            <w:shd w:val="clear" w:color="auto" w:fill="auto"/>
            <w:hideMark/>
          </w:tcPr>
          <w:p w14:paraId="1C469A58" w14:textId="77777777" w:rsidR="00D61175" w:rsidRPr="00643528" w:rsidRDefault="00D61175" w:rsidP="0008747B">
            <w:pPr>
              <w:pStyle w:val="TableText"/>
              <w:jc w:val="right"/>
              <w:rPr>
                <w:lang w:eastAsia="en-AU"/>
              </w:rPr>
            </w:pPr>
            <w:r w:rsidRPr="00643528">
              <w:rPr>
                <w:lang w:eastAsia="en-AU"/>
              </w:rPr>
              <w:t>214,298</w:t>
            </w:r>
          </w:p>
        </w:tc>
      </w:tr>
      <w:tr w:rsidR="00D61175" w:rsidRPr="00643528" w14:paraId="61948B84" w14:textId="77777777" w:rsidTr="00962E4F">
        <w:tc>
          <w:tcPr>
            <w:tcW w:w="939" w:type="pct"/>
            <w:vMerge/>
            <w:tcBorders>
              <w:top w:val="nil"/>
              <w:left w:val="nil"/>
              <w:bottom w:val="single" w:sz="8" w:space="0" w:color="000000"/>
              <w:right w:val="nil"/>
            </w:tcBorders>
            <w:hideMark/>
          </w:tcPr>
          <w:p w14:paraId="08FE528C"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1FB18C1E" w14:textId="6677E3B9" w:rsidR="00D61175" w:rsidRPr="00643528" w:rsidRDefault="00D61175" w:rsidP="00256F28">
            <w:pPr>
              <w:pStyle w:val="TableText"/>
              <w:rPr>
                <w:lang w:eastAsia="en-AU"/>
              </w:rPr>
            </w:pPr>
            <w:r w:rsidRPr="00643528">
              <w:rPr>
                <w:lang w:eastAsia="en-AU"/>
              </w:rPr>
              <w:t xml:space="preserve">Establishment </w:t>
            </w:r>
            <w:r w:rsidR="00186CF2">
              <w:rPr>
                <w:lang w:eastAsia="en-AU"/>
              </w:rPr>
              <w:t>—casing</w:t>
            </w:r>
          </w:p>
        </w:tc>
        <w:tc>
          <w:tcPr>
            <w:tcW w:w="573" w:type="pct"/>
            <w:tcBorders>
              <w:top w:val="nil"/>
              <w:left w:val="nil"/>
              <w:bottom w:val="single" w:sz="4" w:space="0" w:color="auto"/>
              <w:right w:val="nil"/>
            </w:tcBorders>
            <w:shd w:val="clear" w:color="auto" w:fill="auto"/>
            <w:hideMark/>
          </w:tcPr>
          <w:p w14:paraId="79592AC5" w14:textId="77777777" w:rsidR="00D61175" w:rsidRPr="00643528" w:rsidRDefault="00D61175" w:rsidP="0008747B">
            <w:pPr>
              <w:pStyle w:val="TableText"/>
              <w:jc w:val="right"/>
              <w:rPr>
                <w:lang w:eastAsia="en-AU"/>
              </w:rPr>
            </w:pPr>
            <w:r w:rsidRPr="00643528">
              <w:rPr>
                <w:lang w:eastAsia="en-AU"/>
              </w:rPr>
              <w:t>72,660</w:t>
            </w:r>
          </w:p>
        </w:tc>
        <w:tc>
          <w:tcPr>
            <w:tcW w:w="573" w:type="pct"/>
            <w:tcBorders>
              <w:top w:val="nil"/>
              <w:left w:val="nil"/>
              <w:bottom w:val="single" w:sz="4" w:space="0" w:color="auto"/>
              <w:right w:val="nil"/>
            </w:tcBorders>
            <w:shd w:val="clear" w:color="auto" w:fill="auto"/>
            <w:hideMark/>
          </w:tcPr>
          <w:p w14:paraId="6CCAB988" w14:textId="77777777" w:rsidR="00D61175" w:rsidRPr="00643528" w:rsidRDefault="00D61175" w:rsidP="0008747B">
            <w:pPr>
              <w:pStyle w:val="TableText"/>
              <w:jc w:val="right"/>
              <w:rPr>
                <w:lang w:eastAsia="en-AU"/>
              </w:rPr>
            </w:pPr>
            <w:r w:rsidRPr="00643528">
              <w:rPr>
                <w:lang w:eastAsia="en-AU"/>
              </w:rPr>
              <w:t>83,040</w:t>
            </w:r>
          </w:p>
        </w:tc>
        <w:tc>
          <w:tcPr>
            <w:tcW w:w="584" w:type="pct"/>
            <w:tcBorders>
              <w:top w:val="nil"/>
              <w:left w:val="nil"/>
              <w:bottom w:val="single" w:sz="4" w:space="0" w:color="auto"/>
              <w:right w:val="nil"/>
            </w:tcBorders>
            <w:shd w:val="clear" w:color="auto" w:fill="auto"/>
            <w:hideMark/>
          </w:tcPr>
          <w:p w14:paraId="383C7AE3" w14:textId="77777777" w:rsidR="00D61175" w:rsidRPr="00643528" w:rsidRDefault="00D61175" w:rsidP="0008747B">
            <w:pPr>
              <w:pStyle w:val="TableText"/>
              <w:jc w:val="right"/>
              <w:rPr>
                <w:lang w:eastAsia="en-AU"/>
              </w:rPr>
            </w:pPr>
            <w:r w:rsidRPr="00643528">
              <w:rPr>
                <w:lang w:eastAsia="en-AU"/>
              </w:rPr>
              <w:t>(10,380)</w:t>
            </w:r>
          </w:p>
        </w:tc>
        <w:tc>
          <w:tcPr>
            <w:tcW w:w="480" w:type="pct"/>
            <w:tcBorders>
              <w:top w:val="nil"/>
              <w:left w:val="nil"/>
              <w:bottom w:val="single" w:sz="4" w:space="0" w:color="auto"/>
              <w:right w:val="nil"/>
            </w:tcBorders>
            <w:shd w:val="clear" w:color="auto" w:fill="auto"/>
            <w:hideMark/>
          </w:tcPr>
          <w:p w14:paraId="03432046" w14:textId="77777777" w:rsidR="00D61175" w:rsidRPr="00643528" w:rsidRDefault="00D61175" w:rsidP="0008747B">
            <w:pPr>
              <w:pStyle w:val="TableText"/>
              <w:jc w:val="right"/>
              <w:rPr>
                <w:lang w:eastAsia="en-AU"/>
              </w:rPr>
            </w:pPr>
            <w:r w:rsidRPr="00643528">
              <w:rPr>
                <w:lang w:eastAsia="en-AU"/>
              </w:rPr>
              <w:t>(13)</w:t>
            </w:r>
          </w:p>
        </w:tc>
        <w:tc>
          <w:tcPr>
            <w:tcW w:w="573" w:type="pct"/>
            <w:tcBorders>
              <w:top w:val="nil"/>
              <w:left w:val="nil"/>
              <w:bottom w:val="single" w:sz="4" w:space="0" w:color="auto"/>
              <w:right w:val="nil"/>
            </w:tcBorders>
            <w:shd w:val="clear" w:color="auto" w:fill="auto"/>
            <w:hideMark/>
          </w:tcPr>
          <w:p w14:paraId="4139CDAF" w14:textId="77777777" w:rsidR="00D61175" w:rsidRPr="00643528" w:rsidRDefault="00D61175" w:rsidP="0008747B">
            <w:pPr>
              <w:pStyle w:val="TableText"/>
              <w:jc w:val="right"/>
              <w:rPr>
                <w:lang w:eastAsia="en-AU"/>
              </w:rPr>
            </w:pPr>
            <w:r w:rsidRPr="00643528">
              <w:rPr>
                <w:lang w:eastAsia="en-AU"/>
              </w:rPr>
              <w:t>82,815</w:t>
            </w:r>
          </w:p>
        </w:tc>
      </w:tr>
      <w:tr w:rsidR="00D61175" w:rsidRPr="00643528" w14:paraId="293C1CE9" w14:textId="77777777" w:rsidTr="00962E4F">
        <w:tc>
          <w:tcPr>
            <w:tcW w:w="939" w:type="pct"/>
            <w:vMerge/>
            <w:tcBorders>
              <w:top w:val="nil"/>
              <w:left w:val="nil"/>
              <w:bottom w:val="single" w:sz="8" w:space="0" w:color="000000"/>
              <w:right w:val="nil"/>
            </w:tcBorders>
            <w:hideMark/>
          </w:tcPr>
          <w:p w14:paraId="1AB928BD"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4C5C8FB5" w14:textId="52C65AFD" w:rsidR="00D61175" w:rsidRPr="00643528" w:rsidRDefault="00D61175" w:rsidP="00256F28">
            <w:pPr>
              <w:pStyle w:val="TableText"/>
              <w:rPr>
                <w:lang w:eastAsia="en-AU"/>
              </w:rPr>
            </w:pPr>
            <w:r w:rsidRPr="00643528">
              <w:rPr>
                <w:lang w:eastAsia="en-AU"/>
              </w:rPr>
              <w:t xml:space="preserve">Establishment – </w:t>
            </w:r>
            <w:r w:rsidR="00186CF2">
              <w:rPr>
                <w:lang w:eastAsia="en-AU"/>
              </w:rPr>
              <w:t>s</w:t>
            </w:r>
            <w:r w:rsidRPr="00643528">
              <w:rPr>
                <w:lang w:eastAsia="en-AU"/>
              </w:rPr>
              <w:t>torage and transport</w:t>
            </w:r>
          </w:p>
        </w:tc>
        <w:tc>
          <w:tcPr>
            <w:tcW w:w="573" w:type="pct"/>
            <w:tcBorders>
              <w:top w:val="nil"/>
              <w:left w:val="nil"/>
              <w:bottom w:val="single" w:sz="4" w:space="0" w:color="auto"/>
              <w:right w:val="nil"/>
            </w:tcBorders>
            <w:shd w:val="clear" w:color="auto" w:fill="auto"/>
            <w:hideMark/>
          </w:tcPr>
          <w:p w14:paraId="160203AC" w14:textId="77777777" w:rsidR="00D61175" w:rsidRPr="00643528" w:rsidRDefault="00D61175" w:rsidP="0008747B">
            <w:pPr>
              <w:pStyle w:val="TableText"/>
              <w:jc w:val="right"/>
              <w:rPr>
                <w:lang w:eastAsia="en-AU"/>
              </w:rPr>
            </w:pPr>
            <w:r w:rsidRPr="00643528">
              <w:rPr>
                <w:lang w:eastAsia="en-AU"/>
              </w:rPr>
              <w:t>1,596,790</w:t>
            </w:r>
          </w:p>
        </w:tc>
        <w:tc>
          <w:tcPr>
            <w:tcW w:w="573" w:type="pct"/>
            <w:tcBorders>
              <w:top w:val="nil"/>
              <w:left w:val="nil"/>
              <w:bottom w:val="single" w:sz="4" w:space="0" w:color="auto"/>
              <w:right w:val="nil"/>
            </w:tcBorders>
            <w:shd w:val="clear" w:color="auto" w:fill="auto"/>
            <w:hideMark/>
          </w:tcPr>
          <w:p w14:paraId="6653AD0E" w14:textId="77777777" w:rsidR="00D61175" w:rsidRPr="00643528" w:rsidRDefault="00D61175" w:rsidP="0008747B">
            <w:pPr>
              <w:pStyle w:val="TableText"/>
              <w:jc w:val="right"/>
              <w:rPr>
                <w:lang w:eastAsia="en-AU"/>
              </w:rPr>
            </w:pPr>
            <w:r w:rsidRPr="00643528">
              <w:rPr>
                <w:lang w:eastAsia="en-AU"/>
              </w:rPr>
              <w:t>1,419,465</w:t>
            </w:r>
          </w:p>
        </w:tc>
        <w:tc>
          <w:tcPr>
            <w:tcW w:w="584" w:type="pct"/>
            <w:tcBorders>
              <w:top w:val="nil"/>
              <w:left w:val="nil"/>
              <w:bottom w:val="single" w:sz="4" w:space="0" w:color="auto"/>
              <w:right w:val="nil"/>
            </w:tcBorders>
            <w:shd w:val="clear" w:color="auto" w:fill="auto"/>
            <w:hideMark/>
          </w:tcPr>
          <w:p w14:paraId="3322EE8B" w14:textId="77777777" w:rsidR="00D61175" w:rsidRPr="00643528" w:rsidRDefault="00D61175" w:rsidP="0008747B">
            <w:pPr>
              <w:pStyle w:val="TableText"/>
              <w:jc w:val="right"/>
              <w:rPr>
                <w:lang w:eastAsia="en-AU"/>
              </w:rPr>
            </w:pPr>
            <w:r w:rsidRPr="00643528">
              <w:rPr>
                <w:lang w:eastAsia="en-AU"/>
              </w:rPr>
              <w:t>177,325</w:t>
            </w:r>
          </w:p>
        </w:tc>
        <w:tc>
          <w:tcPr>
            <w:tcW w:w="480" w:type="pct"/>
            <w:tcBorders>
              <w:top w:val="nil"/>
              <w:left w:val="nil"/>
              <w:bottom w:val="single" w:sz="4" w:space="0" w:color="auto"/>
              <w:right w:val="nil"/>
            </w:tcBorders>
            <w:shd w:val="clear" w:color="auto" w:fill="auto"/>
            <w:hideMark/>
          </w:tcPr>
          <w:p w14:paraId="5E261905" w14:textId="77777777" w:rsidR="00D61175" w:rsidRPr="00643528" w:rsidRDefault="00D61175" w:rsidP="0008747B">
            <w:pPr>
              <w:pStyle w:val="TableText"/>
              <w:jc w:val="right"/>
              <w:rPr>
                <w:lang w:eastAsia="en-AU"/>
              </w:rPr>
            </w:pPr>
            <w:r w:rsidRPr="00643528">
              <w:rPr>
                <w:lang w:eastAsia="en-AU"/>
              </w:rPr>
              <w:t>12</w:t>
            </w:r>
          </w:p>
        </w:tc>
        <w:tc>
          <w:tcPr>
            <w:tcW w:w="573" w:type="pct"/>
            <w:tcBorders>
              <w:top w:val="nil"/>
              <w:left w:val="nil"/>
              <w:bottom w:val="single" w:sz="4" w:space="0" w:color="auto"/>
              <w:right w:val="nil"/>
            </w:tcBorders>
            <w:shd w:val="clear" w:color="auto" w:fill="auto"/>
            <w:hideMark/>
          </w:tcPr>
          <w:p w14:paraId="769ABC70" w14:textId="77777777" w:rsidR="00D61175" w:rsidRPr="00643528" w:rsidRDefault="00D61175" w:rsidP="0008747B">
            <w:pPr>
              <w:pStyle w:val="TableText"/>
              <w:jc w:val="right"/>
              <w:rPr>
                <w:lang w:eastAsia="en-AU"/>
              </w:rPr>
            </w:pPr>
            <w:r w:rsidRPr="00643528">
              <w:rPr>
                <w:lang w:eastAsia="en-AU"/>
              </w:rPr>
              <w:t>1,533,031</w:t>
            </w:r>
          </w:p>
        </w:tc>
      </w:tr>
      <w:tr w:rsidR="00D61175" w:rsidRPr="00643528" w14:paraId="258DF450" w14:textId="77777777" w:rsidTr="00962E4F">
        <w:tc>
          <w:tcPr>
            <w:tcW w:w="939" w:type="pct"/>
            <w:vMerge/>
            <w:tcBorders>
              <w:top w:val="nil"/>
              <w:left w:val="nil"/>
              <w:bottom w:val="single" w:sz="8" w:space="0" w:color="000000"/>
              <w:right w:val="nil"/>
            </w:tcBorders>
            <w:hideMark/>
          </w:tcPr>
          <w:p w14:paraId="022DD2D1" w14:textId="77777777" w:rsidR="00D61175" w:rsidRPr="00643528" w:rsidRDefault="00D61175" w:rsidP="00256F28">
            <w:pPr>
              <w:pStyle w:val="TableText"/>
              <w:rPr>
                <w:lang w:eastAsia="en-AU"/>
              </w:rPr>
            </w:pPr>
          </w:p>
        </w:tc>
        <w:tc>
          <w:tcPr>
            <w:tcW w:w="1278" w:type="pct"/>
            <w:tcBorders>
              <w:top w:val="nil"/>
              <w:left w:val="nil"/>
              <w:bottom w:val="nil"/>
              <w:right w:val="nil"/>
            </w:tcBorders>
            <w:shd w:val="clear" w:color="auto" w:fill="auto"/>
            <w:hideMark/>
          </w:tcPr>
          <w:p w14:paraId="32FD49EF" w14:textId="189305BF" w:rsidR="00D61175" w:rsidRPr="00643528" w:rsidRDefault="00D61175" w:rsidP="00256F28">
            <w:pPr>
              <w:pStyle w:val="TableText"/>
              <w:rPr>
                <w:lang w:eastAsia="en-AU"/>
              </w:rPr>
            </w:pPr>
            <w:r w:rsidRPr="00643528">
              <w:rPr>
                <w:lang w:eastAsia="en-AU"/>
              </w:rPr>
              <w:t xml:space="preserve">Establishment – </w:t>
            </w:r>
            <w:r w:rsidR="00186CF2">
              <w:rPr>
                <w:lang w:eastAsia="en-AU"/>
              </w:rPr>
              <w:t>a</w:t>
            </w:r>
            <w:r w:rsidRPr="00643528">
              <w:rPr>
                <w:lang w:eastAsia="en-AU"/>
              </w:rPr>
              <w:t>battoir</w:t>
            </w:r>
          </w:p>
        </w:tc>
        <w:tc>
          <w:tcPr>
            <w:tcW w:w="573" w:type="pct"/>
            <w:tcBorders>
              <w:top w:val="nil"/>
              <w:left w:val="nil"/>
              <w:bottom w:val="nil"/>
              <w:right w:val="nil"/>
            </w:tcBorders>
            <w:shd w:val="clear" w:color="auto" w:fill="auto"/>
            <w:hideMark/>
          </w:tcPr>
          <w:p w14:paraId="3A0A1D89" w14:textId="77777777" w:rsidR="00D61175" w:rsidRPr="00643528" w:rsidRDefault="00D61175" w:rsidP="0008747B">
            <w:pPr>
              <w:pStyle w:val="TableText"/>
              <w:jc w:val="right"/>
              <w:rPr>
                <w:lang w:eastAsia="en-AU"/>
              </w:rPr>
            </w:pPr>
            <w:r w:rsidRPr="00643528">
              <w:rPr>
                <w:lang w:eastAsia="en-AU"/>
              </w:rPr>
              <w:t>982,640</w:t>
            </w:r>
          </w:p>
        </w:tc>
        <w:tc>
          <w:tcPr>
            <w:tcW w:w="573" w:type="pct"/>
            <w:tcBorders>
              <w:top w:val="nil"/>
              <w:left w:val="nil"/>
              <w:bottom w:val="nil"/>
              <w:right w:val="nil"/>
            </w:tcBorders>
            <w:shd w:val="clear" w:color="auto" w:fill="auto"/>
            <w:hideMark/>
          </w:tcPr>
          <w:p w14:paraId="311BD4BB" w14:textId="77777777" w:rsidR="00D61175" w:rsidRPr="00643528" w:rsidRDefault="00D61175" w:rsidP="0008747B">
            <w:pPr>
              <w:pStyle w:val="TableText"/>
              <w:jc w:val="right"/>
              <w:rPr>
                <w:lang w:eastAsia="en-AU"/>
              </w:rPr>
            </w:pPr>
            <w:r w:rsidRPr="00643528">
              <w:rPr>
                <w:lang w:eastAsia="en-AU"/>
              </w:rPr>
              <w:t>761,200</w:t>
            </w:r>
          </w:p>
        </w:tc>
        <w:tc>
          <w:tcPr>
            <w:tcW w:w="584" w:type="pct"/>
            <w:tcBorders>
              <w:top w:val="nil"/>
              <w:left w:val="nil"/>
              <w:bottom w:val="nil"/>
              <w:right w:val="nil"/>
            </w:tcBorders>
            <w:shd w:val="clear" w:color="auto" w:fill="auto"/>
            <w:hideMark/>
          </w:tcPr>
          <w:p w14:paraId="13BCDA1C" w14:textId="77777777" w:rsidR="00D61175" w:rsidRPr="00643528" w:rsidRDefault="00D61175" w:rsidP="0008747B">
            <w:pPr>
              <w:pStyle w:val="TableText"/>
              <w:jc w:val="right"/>
              <w:rPr>
                <w:lang w:eastAsia="en-AU"/>
              </w:rPr>
            </w:pPr>
            <w:r w:rsidRPr="00643528">
              <w:rPr>
                <w:lang w:eastAsia="en-AU"/>
              </w:rPr>
              <w:t>221,440</w:t>
            </w:r>
          </w:p>
        </w:tc>
        <w:tc>
          <w:tcPr>
            <w:tcW w:w="480" w:type="pct"/>
            <w:tcBorders>
              <w:top w:val="nil"/>
              <w:left w:val="nil"/>
              <w:bottom w:val="nil"/>
              <w:right w:val="nil"/>
            </w:tcBorders>
            <w:shd w:val="clear" w:color="auto" w:fill="auto"/>
            <w:hideMark/>
          </w:tcPr>
          <w:p w14:paraId="4F082549" w14:textId="77777777" w:rsidR="00D61175" w:rsidRPr="00643528" w:rsidRDefault="00D61175" w:rsidP="0008747B">
            <w:pPr>
              <w:pStyle w:val="TableText"/>
              <w:jc w:val="right"/>
              <w:rPr>
                <w:lang w:eastAsia="en-AU"/>
              </w:rPr>
            </w:pPr>
            <w:r w:rsidRPr="00643528">
              <w:rPr>
                <w:lang w:eastAsia="en-AU"/>
              </w:rPr>
              <w:t>29</w:t>
            </w:r>
          </w:p>
        </w:tc>
        <w:tc>
          <w:tcPr>
            <w:tcW w:w="573" w:type="pct"/>
            <w:tcBorders>
              <w:top w:val="nil"/>
              <w:left w:val="nil"/>
              <w:bottom w:val="single" w:sz="8" w:space="0" w:color="auto"/>
              <w:right w:val="nil"/>
            </w:tcBorders>
            <w:shd w:val="clear" w:color="auto" w:fill="auto"/>
            <w:hideMark/>
          </w:tcPr>
          <w:p w14:paraId="068B3571" w14:textId="77777777" w:rsidR="00D61175" w:rsidRPr="00643528" w:rsidRDefault="00D61175" w:rsidP="0008747B">
            <w:pPr>
              <w:pStyle w:val="TableText"/>
              <w:jc w:val="right"/>
              <w:rPr>
                <w:lang w:eastAsia="en-AU"/>
              </w:rPr>
            </w:pPr>
            <w:r w:rsidRPr="00643528">
              <w:rPr>
                <w:lang w:eastAsia="en-AU"/>
              </w:rPr>
              <w:t>957,815</w:t>
            </w:r>
          </w:p>
        </w:tc>
      </w:tr>
      <w:tr w:rsidR="00D61175" w:rsidRPr="00643528" w14:paraId="0878D70B" w14:textId="77777777" w:rsidTr="00962E4F">
        <w:tc>
          <w:tcPr>
            <w:tcW w:w="939" w:type="pct"/>
            <w:vMerge/>
            <w:tcBorders>
              <w:top w:val="nil"/>
              <w:left w:val="nil"/>
              <w:bottom w:val="single" w:sz="8" w:space="0" w:color="000000"/>
              <w:right w:val="nil"/>
            </w:tcBorders>
            <w:hideMark/>
          </w:tcPr>
          <w:p w14:paraId="51E266BF" w14:textId="77777777" w:rsidR="00D61175" w:rsidRPr="00643528" w:rsidRDefault="00D61175" w:rsidP="00256F28">
            <w:pPr>
              <w:pStyle w:val="TableText"/>
              <w:rPr>
                <w:lang w:eastAsia="en-AU"/>
              </w:rPr>
            </w:pPr>
          </w:p>
        </w:tc>
        <w:tc>
          <w:tcPr>
            <w:tcW w:w="1278" w:type="pct"/>
            <w:tcBorders>
              <w:top w:val="single" w:sz="8" w:space="0" w:color="auto"/>
              <w:left w:val="nil"/>
              <w:bottom w:val="single" w:sz="4" w:space="0" w:color="auto"/>
              <w:right w:val="nil"/>
            </w:tcBorders>
            <w:shd w:val="clear" w:color="auto" w:fill="auto"/>
            <w:hideMark/>
          </w:tcPr>
          <w:p w14:paraId="758C8460" w14:textId="543D2F08" w:rsidR="00D61175" w:rsidRPr="00643528" w:rsidRDefault="00D61175" w:rsidP="00256F28">
            <w:pPr>
              <w:pStyle w:val="TableText"/>
              <w:rPr>
                <w:lang w:eastAsia="en-AU"/>
              </w:rPr>
            </w:pPr>
            <w:r w:rsidRPr="00643528">
              <w:rPr>
                <w:lang w:eastAsia="en-AU"/>
              </w:rPr>
              <w:t xml:space="preserve">Through Put – </w:t>
            </w:r>
            <w:r w:rsidR="00186CF2">
              <w:rPr>
                <w:lang w:eastAsia="en-AU"/>
              </w:rPr>
              <w:t>f</w:t>
            </w:r>
            <w:r w:rsidRPr="00643528">
              <w:rPr>
                <w:lang w:eastAsia="en-AU"/>
              </w:rPr>
              <w:t xml:space="preserve">ull </w:t>
            </w:r>
            <w:r w:rsidR="00186CF2">
              <w:rPr>
                <w:lang w:eastAsia="en-AU"/>
              </w:rPr>
              <w:t>u</w:t>
            </w:r>
            <w:r w:rsidRPr="00643528">
              <w:rPr>
                <w:lang w:eastAsia="en-AU"/>
              </w:rPr>
              <w:t>nit (</w:t>
            </w:r>
            <w:r w:rsidR="00186CF2">
              <w:rPr>
                <w:lang w:eastAsia="en-AU"/>
              </w:rPr>
              <w:t>c</w:t>
            </w:r>
            <w:r w:rsidRPr="00643528">
              <w:rPr>
                <w:lang w:eastAsia="en-AU"/>
              </w:rPr>
              <w:t>attle/</w:t>
            </w:r>
            <w:r w:rsidR="00186CF2">
              <w:rPr>
                <w:lang w:eastAsia="en-AU"/>
              </w:rPr>
              <w:t>b</w:t>
            </w:r>
            <w:r w:rsidRPr="00643528">
              <w:rPr>
                <w:lang w:eastAsia="en-AU"/>
              </w:rPr>
              <w:t>uffalo/</w:t>
            </w:r>
            <w:r w:rsidR="00186CF2">
              <w:rPr>
                <w:lang w:eastAsia="en-AU"/>
              </w:rPr>
              <w:t>c</w:t>
            </w:r>
            <w:r w:rsidRPr="00643528">
              <w:rPr>
                <w:lang w:eastAsia="en-AU"/>
              </w:rPr>
              <w:t>amel)</w:t>
            </w:r>
          </w:p>
        </w:tc>
        <w:tc>
          <w:tcPr>
            <w:tcW w:w="573" w:type="pct"/>
            <w:tcBorders>
              <w:top w:val="single" w:sz="8" w:space="0" w:color="auto"/>
              <w:left w:val="nil"/>
              <w:bottom w:val="single" w:sz="4" w:space="0" w:color="auto"/>
              <w:right w:val="nil"/>
            </w:tcBorders>
            <w:shd w:val="clear" w:color="auto" w:fill="auto"/>
            <w:hideMark/>
          </w:tcPr>
          <w:p w14:paraId="2ABF52A8" w14:textId="77777777" w:rsidR="00D61175" w:rsidRPr="00643528" w:rsidRDefault="00D61175" w:rsidP="0008747B">
            <w:pPr>
              <w:pStyle w:val="TableText"/>
              <w:jc w:val="right"/>
              <w:rPr>
                <w:lang w:eastAsia="en-AU"/>
              </w:rPr>
            </w:pPr>
            <w:r w:rsidRPr="00643528">
              <w:rPr>
                <w:lang w:eastAsia="en-AU"/>
              </w:rPr>
              <w:t>3,309,511</w:t>
            </w:r>
          </w:p>
        </w:tc>
        <w:tc>
          <w:tcPr>
            <w:tcW w:w="573" w:type="pct"/>
            <w:tcBorders>
              <w:top w:val="single" w:sz="8" w:space="0" w:color="auto"/>
              <w:left w:val="nil"/>
              <w:bottom w:val="single" w:sz="4" w:space="0" w:color="auto"/>
              <w:right w:val="nil"/>
            </w:tcBorders>
            <w:shd w:val="clear" w:color="auto" w:fill="auto"/>
            <w:hideMark/>
          </w:tcPr>
          <w:p w14:paraId="08D2D392" w14:textId="77777777" w:rsidR="00D61175" w:rsidRPr="00643528" w:rsidRDefault="00D61175" w:rsidP="0008747B">
            <w:pPr>
              <w:pStyle w:val="TableText"/>
              <w:jc w:val="right"/>
              <w:rPr>
                <w:lang w:eastAsia="en-AU"/>
              </w:rPr>
            </w:pPr>
            <w:r w:rsidRPr="00643528">
              <w:rPr>
                <w:lang w:eastAsia="en-AU"/>
              </w:rPr>
              <w:t>2,876,935</w:t>
            </w:r>
          </w:p>
        </w:tc>
        <w:tc>
          <w:tcPr>
            <w:tcW w:w="584" w:type="pct"/>
            <w:tcBorders>
              <w:top w:val="single" w:sz="8" w:space="0" w:color="auto"/>
              <w:left w:val="nil"/>
              <w:bottom w:val="single" w:sz="4" w:space="0" w:color="auto"/>
              <w:right w:val="nil"/>
            </w:tcBorders>
            <w:shd w:val="clear" w:color="auto" w:fill="auto"/>
            <w:hideMark/>
          </w:tcPr>
          <w:p w14:paraId="1B0B4808" w14:textId="77777777" w:rsidR="00D61175" w:rsidRPr="00643528" w:rsidRDefault="00D61175" w:rsidP="0008747B">
            <w:pPr>
              <w:pStyle w:val="TableText"/>
              <w:jc w:val="right"/>
              <w:rPr>
                <w:lang w:eastAsia="en-AU"/>
              </w:rPr>
            </w:pPr>
            <w:r w:rsidRPr="00643528">
              <w:rPr>
                <w:lang w:eastAsia="en-AU"/>
              </w:rPr>
              <w:t>432,576</w:t>
            </w:r>
          </w:p>
        </w:tc>
        <w:tc>
          <w:tcPr>
            <w:tcW w:w="480" w:type="pct"/>
            <w:tcBorders>
              <w:top w:val="single" w:sz="8" w:space="0" w:color="auto"/>
              <w:left w:val="nil"/>
              <w:bottom w:val="single" w:sz="4" w:space="0" w:color="auto"/>
              <w:right w:val="nil"/>
            </w:tcBorders>
            <w:shd w:val="clear" w:color="auto" w:fill="auto"/>
            <w:hideMark/>
          </w:tcPr>
          <w:p w14:paraId="1AD71308" w14:textId="77777777" w:rsidR="00D61175" w:rsidRPr="00643528" w:rsidRDefault="00D61175" w:rsidP="0008747B">
            <w:pPr>
              <w:pStyle w:val="TableText"/>
              <w:jc w:val="right"/>
              <w:rPr>
                <w:lang w:eastAsia="en-AU"/>
              </w:rPr>
            </w:pPr>
            <w:r w:rsidRPr="00643528">
              <w:rPr>
                <w:lang w:eastAsia="en-AU"/>
              </w:rPr>
              <w:t>15</w:t>
            </w:r>
          </w:p>
        </w:tc>
        <w:tc>
          <w:tcPr>
            <w:tcW w:w="573" w:type="pct"/>
            <w:tcBorders>
              <w:top w:val="nil"/>
              <w:left w:val="nil"/>
              <w:bottom w:val="single" w:sz="4" w:space="0" w:color="auto"/>
              <w:right w:val="nil"/>
            </w:tcBorders>
            <w:shd w:val="clear" w:color="auto" w:fill="auto"/>
            <w:hideMark/>
          </w:tcPr>
          <w:p w14:paraId="4801CF41" w14:textId="77777777" w:rsidR="00D61175" w:rsidRPr="00643528" w:rsidRDefault="00D61175" w:rsidP="0008747B">
            <w:pPr>
              <w:pStyle w:val="TableText"/>
              <w:jc w:val="right"/>
              <w:rPr>
                <w:lang w:eastAsia="en-AU"/>
              </w:rPr>
            </w:pPr>
            <w:r w:rsidRPr="00643528">
              <w:rPr>
                <w:lang w:eastAsia="en-AU"/>
              </w:rPr>
              <w:t>2,772,202</w:t>
            </w:r>
          </w:p>
        </w:tc>
      </w:tr>
      <w:tr w:rsidR="00D61175" w:rsidRPr="00643528" w14:paraId="1821A549" w14:textId="77777777" w:rsidTr="00962E4F">
        <w:tc>
          <w:tcPr>
            <w:tcW w:w="939" w:type="pct"/>
            <w:vMerge/>
            <w:tcBorders>
              <w:top w:val="nil"/>
              <w:left w:val="nil"/>
              <w:bottom w:val="single" w:sz="8" w:space="0" w:color="000000"/>
              <w:right w:val="nil"/>
            </w:tcBorders>
            <w:hideMark/>
          </w:tcPr>
          <w:p w14:paraId="1EDE8017"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58E4A395" w14:textId="3D398010" w:rsidR="00D61175" w:rsidRPr="00643528" w:rsidRDefault="00D61175" w:rsidP="00256F28">
            <w:pPr>
              <w:pStyle w:val="TableText"/>
              <w:rPr>
                <w:lang w:eastAsia="en-AU"/>
              </w:rPr>
            </w:pPr>
            <w:r w:rsidRPr="00643528">
              <w:rPr>
                <w:lang w:eastAsia="en-AU"/>
              </w:rPr>
              <w:t>Through</w:t>
            </w:r>
            <w:r w:rsidR="00186CF2">
              <w:rPr>
                <w:lang w:eastAsia="en-AU"/>
              </w:rPr>
              <w:t>p</w:t>
            </w:r>
            <w:r w:rsidRPr="00643528">
              <w:rPr>
                <w:lang w:eastAsia="en-AU"/>
              </w:rPr>
              <w:t xml:space="preserve">ut – </w:t>
            </w:r>
            <w:r w:rsidR="00186CF2">
              <w:rPr>
                <w:lang w:eastAsia="en-AU"/>
              </w:rPr>
              <w:t>p</w:t>
            </w:r>
            <w:r w:rsidRPr="00643528">
              <w:rPr>
                <w:lang w:eastAsia="en-AU"/>
              </w:rPr>
              <w:t>ig</w:t>
            </w:r>
          </w:p>
        </w:tc>
        <w:tc>
          <w:tcPr>
            <w:tcW w:w="573" w:type="pct"/>
            <w:tcBorders>
              <w:top w:val="nil"/>
              <w:left w:val="nil"/>
              <w:bottom w:val="single" w:sz="4" w:space="0" w:color="auto"/>
              <w:right w:val="nil"/>
            </w:tcBorders>
            <w:shd w:val="clear" w:color="auto" w:fill="auto"/>
            <w:hideMark/>
          </w:tcPr>
          <w:p w14:paraId="566471EE" w14:textId="77777777" w:rsidR="00D61175" w:rsidRPr="00643528" w:rsidRDefault="00D61175" w:rsidP="0008747B">
            <w:pPr>
              <w:pStyle w:val="TableText"/>
              <w:jc w:val="right"/>
              <w:rPr>
                <w:lang w:eastAsia="en-AU"/>
              </w:rPr>
            </w:pPr>
            <w:r w:rsidRPr="00643528">
              <w:rPr>
                <w:lang w:eastAsia="en-AU"/>
              </w:rPr>
              <w:t>766,229</w:t>
            </w:r>
          </w:p>
        </w:tc>
        <w:tc>
          <w:tcPr>
            <w:tcW w:w="573" w:type="pct"/>
            <w:tcBorders>
              <w:top w:val="nil"/>
              <w:left w:val="nil"/>
              <w:bottom w:val="single" w:sz="4" w:space="0" w:color="auto"/>
              <w:right w:val="nil"/>
            </w:tcBorders>
            <w:shd w:val="clear" w:color="auto" w:fill="auto"/>
            <w:hideMark/>
          </w:tcPr>
          <w:p w14:paraId="66739964" w14:textId="77777777" w:rsidR="00D61175" w:rsidRPr="00643528" w:rsidRDefault="00D61175" w:rsidP="0008747B">
            <w:pPr>
              <w:pStyle w:val="TableText"/>
              <w:jc w:val="right"/>
              <w:rPr>
                <w:lang w:eastAsia="en-AU"/>
              </w:rPr>
            </w:pPr>
            <w:r w:rsidRPr="00643528">
              <w:rPr>
                <w:lang w:eastAsia="en-AU"/>
              </w:rPr>
              <w:t>568,223</w:t>
            </w:r>
          </w:p>
        </w:tc>
        <w:tc>
          <w:tcPr>
            <w:tcW w:w="584" w:type="pct"/>
            <w:tcBorders>
              <w:top w:val="nil"/>
              <w:left w:val="nil"/>
              <w:bottom w:val="single" w:sz="4" w:space="0" w:color="auto"/>
              <w:right w:val="nil"/>
            </w:tcBorders>
            <w:shd w:val="clear" w:color="auto" w:fill="auto"/>
            <w:hideMark/>
          </w:tcPr>
          <w:p w14:paraId="7BD07AAD" w14:textId="77777777" w:rsidR="00D61175" w:rsidRPr="00643528" w:rsidRDefault="00D61175" w:rsidP="0008747B">
            <w:pPr>
              <w:pStyle w:val="TableText"/>
              <w:jc w:val="right"/>
              <w:rPr>
                <w:lang w:eastAsia="en-AU"/>
              </w:rPr>
            </w:pPr>
            <w:r w:rsidRPr="00643528">
              <w:rPr>
                <w:lang w:eastAsia="en-AU"/>
              </w:rPr>
              <w:t>198,006</w:t>
            </w:r>
          </w:p>
        </w:tc>
        <w:tc>
          <w:tcPr>
            <w:tcW w:w="480" w:type="pct"/>
            <w:tcBorders>
              <w:top w:val="nil"/>
              <w:left w:val="nil"/>
              <w:bottom w:val="single" w:sz="4" w:space="0" w:color="auto"/>
              <w:right w:val="nil"/>
            </w:tcBorders>
            <w:shd w:val="clear" w:color="auto" w:fill="auto"/>
            <w:hideMark/>
          </w:tcPr>
          <w:p w14:paraId="07FF2787" w14:textId="77777777" w:rsidR="00D61175" w:rsidRPr="00643528" w:rsidRDefault="00D61175" w:rsidP="0008747B">
            <w:pPr>
              <w:pStyle w:val="TableText"/>
              <w:jc w:val="right"/>
              <w:rPr>
                <w:lang w:eastAsia="en-AU"/>
              </w:rPr>
            </w:pPr>
            <w:r w:rsidRPr="00643528">
              <w:rPr>
                <w:lang w:eastAsia="en-AU"/>
              </w:rPr>
              <w:t>35</w:t>
            </w:r>
          </w:p>
        </w:tc>
        <w:tc>
          <w:tcPr>
            <w:tcW w:w="573" w:type="pct"/>
            <w:tcBorders>
              <w:top w:val="nil"/>
              <w:left w:val="nil"/>
              <w:bottom w:val="single" w:sz="4" w:space="0" w:color="auto"/>
              <w:right w:val="nil"/>
            </w:tcBorders>
            <w:shd w:val="clear" w:color="auto" w:fill="auto"/>
            <w:hideMark/>
          </w:tcPr>
          <w:p w14:paraId="629C1013" w14:textId="77777777" w:rsidR="00D61175" w:rsidRPr="00643528" w:rsidRDefault="00D61175" w:rsidP="0008747B">
            <w:pPr>
              <w:pStyle w:val="TableText"/>
              <w:jc w:val="right"/>
              <w:rPr>
                <w:lang w:eastAsia="en-AU"/>
              </w:rPr>
            </w:pPr>
            <w:r w:rsidRPr="00643528">
              <w:rPr>
                <w:lang w:eastAsia="en-AU"/>
              </w:rPr>
              <w:t>705,582</w:t>
            </w:r>
          </w:p>
        </w:tc>
      </w:tr>
      <w:tr w:rsidR="00D61175" w:rsidRPr="00643528" w14:paraId="36C61EB7" w14:textId="77777777" w:rsidTr="00962E4F">
        <w:tc>
          <w:tcPr>
            <w:tcW w:w="939" w:type="pct"/>
            <w:vMerge/>
            <w:tcBorders>
              <w:top w:val="nil"/>
              <w:left w:val="nil"/>
              <w:bottom w:val="single" w:sz="8" w:space="0" w:color="000000"/>
              <w:right w:val="nil"/>
            </w:tcBorders>
            <w:hideMark/>
          </w:tcPr>
          <w:p w14:paraId="5DCEA913"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5C3929A6" w14:textId="552BEE4E" w:rsidR="00D61175" w:rsidRPr="00643528" w:rsidRDefault="00D61175" w:rsidP="00256F28">
            <w:pPr>
              <w:pStyle w:val="TableText"/>
              <w:rPr>
                <w:lang w:eastAsia="en-AU"/>
              </w:rPr>
            </w:pPr>
            <w:r w:rsidRPr="00643528">
              <w:rPr>
                <w:lang w:eastAsia="en-AU"/>
              </w:rPr>
              <w:t>Through</w:t>
            </w:r>
            <w:r w:rsidR="00186CF2">
              <w:rPr>
                <w:lang w:eastAsia="en-AU"/>
              </w:rPr>
              <w:t>p</w:t>
            </w:r>
            <w:r w:rsidRPr="00643528">
              <w:rPr>
                <w:lang w:eastAsia="en-AU"/>
              </w:rPr>
              <w:t xml:space="preserve">ut – </w:t>
            </w:r>
            <w:r w:rsidR="00186CF2">
              <w:rPr>
                <w:lang w:eastAsia="en-AU"/>
              </w:rPr>
              <w:t>g</w:t>
            </w:r>
            <w:r w:rsidRPr="00643528">
              <w:rPr>
                <w:lang w:eastAsia="en-AU"/>
              </w:rPr>
              <w:t xml:space="preserve">oat, </w:t>
            </w:r>
            <w:r w:rsidR="00186CF2">
              <w:rPr>
                <w:lang w:eastAsia="en-AU"/>
              </w:rPr>
              <w:t>l</w:t>
            </w:r>
            <w:r w:rsidRPr="00643528">
              <w:rPr>
                <w:lang w:eastAsia="en-AU"/>
              </w:rPr>
              <w:t xml:space="preserve">amb, </w:t>
            </w:r>
            <w:r w:rsidR="00186CF2">
              <w:rPr>
                <w:lang w:eastAsia="en-AU"/>
              </w:rPr>
              <w:t>s</w:t>
            </w:r>
            <w:r w:rsidRPr="00643528">
              <w:rPr>
                <w:lang w:eastAsia="en-AU"/>
              </w:rPr>
              <w:t>heep</w:t>
            </w:r>
          </w:p>
        </w:tc>
        <w:tc>
          <w:tcPr>
            <w:tcW w:w="573" w:type="pct"/>
            <w:tcBorders>
              <w:top w:val="nil"/>
              <w:left w:val="nil"/>
              <w:bottom w:val="single" w:sz="4" w:space="0" w:color="auto"/>
              <w:right w:val="nil"/>
            </w:tcBorders>
            <w:shd w:val="clear" w:color="auto" w:fill="auto"/>
            <w:hideMark/>
          </w:tcPr>
          <w:p w14:paraId="17FFA6CA" w14:textId="77777777" w:rsidR="00D61175" w:rsidRPr="00643528" w:rsidRDefault="00D61175" w:rsidP="0008747B">
            <w:pPr>
              <w:pStyle w:val="TableText"/>
              <w:jc w:val="right"/>
              <w:rPr>
                <w:lang w:eastAsia="en-AU"/>
              </w:rPr>
            </w:pPr>
            <w:r w:rsidRPr="00643528">
              <w:rPr>
                <w:lang w:eastAsia="en-AU"/>
              </w:rPr>
              <w:t>4,466,138</w:t>
            </w:r>
          </w:p>
        </w:tc>
        <w:tc>
          <w:tcPr>
            <w:tcW w:w="573" w:type="pct"/>
            <w:tcBorders>
              <w:top w:val="nil"/>
              <w:left w:val="nil"/>
              <w:bottom w:val="single" w:sz="4" w:space="0" w:color="auto"/>
              <w:right w:val="nil"/>
            </w:tcBorders>
            <w:shd w:val="clear" w:color="auto" w:fill="auto"/>
            <w:hideMark/>
          </w:tcPr>
          <w:p w14:paraId="45AE52EC" w14:textId="77777777" w:rsidR="00D61175" w:rsidRPr="00643528" w:rsidRDefault="00D61175" w:rsidP="0008747B">
            <w:pPr>
              <w:pStyle w:val="TableText"/>
              <w:jc w:val="right"/>
              <w:rPr>
                <w:lang w:eastAsia="en-AU"/>
              </w:rPr>
            </w:pPr>
            <w:r w:rsidRPr="00643528">
              <w:rPr>
                <w:lang w:eastAsia="en-AU"/>
              </w:rPr>
              <w:t>3,013,123</w:t>
            </w:r>
          </w:p>
        </w:tc>
        <w:tc>
          <w:tcPr>
            <w:tcW w:w="584" w:type="pct"/>
            <w:tcBorders>
              <w:top w:val="nil"/>
              <w:left w:val="nil"/>
              <w:bottom w:val="single" w:sz="4" w:space="0" w:color="auto"/>
              <w:right w:val="nil"/>
            </w:tcBorders>
            <w:shd w:val="clear" w:color="auto" w:fill="auto"/>
            <w:hideMark/>
          </w:tcPr>
          <w:p w14:paraId="4BB002C6" w14:textId="77777777" w:rsidR="00D61175" w:rsidRPr="00643528" w:rsidRDefault="00D61175" w:rsidP="0008747B">
            <w:pPr>
              <w:pStyle w:val="TableText"/>
              <w:jc w:val="right"/>
              <w:rPr>
                <w:lang w:eastAsia="en-AU"/>
              </w:rPr>
            </w:pPr>
            <w:r w:rsidRPr="00643528">
              <w:rPr>
                <w:lang w:eastAsia="en-AU"/>
              </w:rPr>
              <w:t>1,453,015</w:t>
            </w:r>
          </w:p>
        </w:tc>
        <w:tc>
          <w:tcPr>
            <w:tcW w:w="480" w:type="pct"/>
            <w:tcBorders>
              <w:top w:val="nil"/>
              <w:left w:val="nil"/>
              <w:bottom w:val="single" w:sz="4" w:space="0" w:color="auto"/>
              <w:right w:val="nil"/>
            </w:tcBorders>
            <w:shd w:val="clear" w:color="auto" w:fill="auto"/>
            <w:hideMark/>
          </w:tcPr>
          <w:p w14:paraId="3A673401" w14:textId="77777777" w:rsidR="00D61175" w:rsidRPr="00643528" w:rsidRDefault="00D61175" w:rsidP="0008747B">
            <w:pPr>
              <w:pStyle w:val="TableText"/>
              <w:jc w:val="right"/>
              <w:rPr>
                <w:lang w:eastAsia="en-AU"/>
              </w:rPr>
            </w:pPr>
            <w:r w:rsidRPr="00643528">
              <w:rPr>
                <w:lang w:eastAsia="en-AU"/>
              </w:rPr>
              <w:t>48</w:t>
            </w:r>
          </w:p>
        </w:tc>
        <w:tc>
          <w:tcPr>
            <w:tcW w:w="573" w:type="pct"/>
            <w:tcBorders>
              <w:top w:val="nil"/>
              <w:left w:val="nil"/>
              <w:bottom w:val="single" w:sz="4" w:space="0" w:color="auto"/>
              <w:right w:val="nil"/>
            </w:tcBorders>
            <w:shd w:val="clear" w:color="auto" w:fill="auto"/>
            <w:hideMark/>
          </w:tcPr>
          <w:p w14:paraId="2442EE8B" w14:textId="77777777" w:rsidR="00D61175" w:rsidRPr="00643528" w:rsidRDefault="00D61175" w:rsidP="0008747B">
            <w:pPr>
              <w:pStyle w:val="TableText"/>
              <w:jc w:val="right"/>
              <w:rPr>
                <w:lang w:eastAsia="en-AU"/>
              </w:rPr>
            </w:pPr>
            <w:r w:rsidRPr="00643528">
              <w:rPr>
                <w:lang w:eastAsia="en-AU"/>
              </w:rPr>
              <w:t>3,382,346</w:t>
            </w:r>
          </w:p>
        </w:tc>
      </w:tr>
      <w:tr w:rsidR="00D61175" w:rsidRPr="00643528" w14:paraId="77FEDBAC" w14:textId="77777777" w:rsidTr="00962E4F">
        <w:tc>
          <w:tcPr>
            <w:tcW w:w="939" w:type="pct"/>
            <w:vMerge/>
            <w:tcBorders>
              <w:top w:val="nil"/>
              <w:left w:val="nil"/>
              <w:bottom w:val="single" w:sz="8" w:space="0" w:color="000000"/>
              <w:right w:val="nil"/>
            </w:tcBorders>
            <w:hideMark/>
          </w:tcPr>
          <w:p w14:paraId="6995329C"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1BC38C9A" w14:textId="29272E59" w:rsidR="00D61175" w:rsidRPr="00643528" w:rsidRDefault="00D61175" w:rsidP="00256F28">
            <w:pPr>
              <w:pStyle w:val="TableText"/>
              <w:rPr>
                <w:lang w:eastAsia="en-AU"/>
              </w:rPr>
            </w:pPr>
            <w:r w:rsidRPr="00643528">
              <w:rPr>
                <w:lang w:eastAsia="en-AU"/>
              </w:rPr>
              <w:t>Through</w:t>
            </w:r>
            <w:r w:rsidR="00186CF2">
              <w:rPr>
                <w:lang w:eastAsia="en-AU"/>
              </w:rPr>
              <w:t>p</w:t>
            </w:r>
            <w:r w:rsidRPr="00643528">
              <w:rPr>
                <w:lang w:eastAsia="en-AU"/>
              </w:rPr>
              <w:t xml:space="preserve">ut – </w:t>
            </w:r>
            <w:r w:rsidR="00186CF2">
              <w:rPr>
                <w:lang w:eastAsia="en-AU"/>
              </w:rPr>
              <w:t>d</w:t>
            </w:r>
            <w:r w:rsidRPr="00643528">
              <w:rPr>
                <w:lang w:eastAsia="en-AU"/>
              </w:rPr>
              <w:t xml:space="preserve">eer, </w:t>
            </w:r>
            <w:r w:rsidR="00186CF2">
              <w:rPr>
                <w:lang w:eastAsia="en-AU"/>
              </w:rPr>
              <w:t>g</w:t>
            </w:r>
            <w:r w:rsidRPr="00643528">
              <w:rPr>
                <w:lang w:eastAsia="en-AU"/>
              </w:rPr>
              <w:t xml:space="preserve">ame </w:t>
            </w:r>
            <w:r w:rsidR="00186CF2">
              <w:rPr>
                <w:lang w:eastAsia="en-AU"/>
              </w:rPr>
              <w:t>d</w:t>
            </w:r>
            <w:r w:rsidRPr="00643528">
              <w:rPr>
                <w:lang w:eastAsia="en-AU"/>
              </w:rPr>
              <w:t>eer</w:t>
            </w:r>
          </w:p>
        </w:tc>
        <w:tc>
          <w:tcPr>
            <w:tcW w:w="573" w:type="pct"/>
            <w:tcBorders>
              <w:top w:val="nil"/>
              <w:left w:val="nil"/>
              <w:bottom w:val="single" w:sz="4" w:space="0" w:color="auto"/>
              <w:right w:val="nil"/>
            </w:tcBorders>
            <w:shd w:val="clear" w:color="auto" w:fill="auto"/>
            <w:hideMark/>
          </w:tcPr>
          <w:p w14:paraId="37F5A213" w14:textId="77777777" w:rsidR="00D61175" w:rsidRPr="00643528" w:rsidRDefault="00D61175" w:rsidP="0008747B">
            <w:pPr>
              <w:pStyle w:val="TableText"/>
              <w:jc w:val="right"/>
              <w:rPr>
                <w:lang w:eastAsia="en-AU"/>
              </w:rPr>
            </w:pPr>
            <w:r w:rsidRPr="00643528">
              <w:rPr>
                <w:lang w:eastAsia="en-AU"/>
              </w:rPr>
              <w:t>846</w:t>
            </w:r>
          </w:p>
        </w:tc>
        <w:tc>
          <w:tcPr>
            <w:tcW w:w="573" w:type="pct"/>
            <w:tcBorders>
              <w:top w:val="nil"/>
              <w:left w:val="nil"/>
              <w:bottom w:val="single" w:sz="4" w:space="0" w:color="auto"/>
              <w:right w:val="nil"/>
            </w:tcBorders>
            <w:shd w:val="clear" w:color="auto" w:fill="auto"/>
            <w:hideMark/>
          </w:tcPr>
          <w:p w14:paraId="65577A3B" w14:textId="77777777" w:rsidR="00D61175" w:rsidRPr="00643528" w:rsidRDefault="00D61175" w:rsidP="0008747B">
            <w:pPr>
              <w:pStyle w:val="TableText"/>
              <w:jc w:val="right"/>
              <w:rPr>
                <w:lang w:eastAsia="en-AU"/>
              </w:rPr>
            </w:pPr>
            <w:r w:rsidRPr="00643528">
              <w:rPr>
                <w:lang w:eastAsia="en-AU"/>
              </w:rPr>
              <w:t>263</w:t>
            </w:r>
          </w:p>
        </w:tc>
        <w:tc>
          <w:tcPr>
            <w:tcW w:w="584" w:type="pct"/>
            <w:tcBorders>
              <w:top w:val="nil"/>
              <w:left w:val="nil"/>
              <w:bottom w:val="single" w:sz="4" w:space="0" w:color="auto"/>
              <w:right w:val="nil"/>
            </w:tcBorders>
            <w:shd w:val="clear" w:color="auto" w:fill="auto"/>
            <w:hideMark/>
          </w:tcPr>
          <w:p w14:paraId="67F926A3" w14:textId="77777777" w:rsidR="00D61175" w:rsidRPr="00643528" w:rsidRDefault="00D61175" w:rsidP="0008747B">
            <w:pPr>
              <w:pStyle w:val="TableText"/>
              <w:jc w:val="right"/>
              <w:rPr>
                <w:lang w:eastAsia="en-AU"/>
              </w:rPr>
            </w:pPr>
            <w:r w:rsidRPr="00643528">
              <w:rPr>
                <w:lang w:eastAsia="en-AU"/>
              </w:rPr>
              <w:t>583</w:t>
            </w:r>
          </w:p>
        </w:tc>
        <w:tc>
          <w:tcPr>
            <w:tcW w:w="480" w:type="pct"/>
            <w:tcBorders>
              <w:top w:val="nil"/>
              <w:left w:val="nil"/>
              <w:bottom w:val="single" w:sz="4" w:space="0" w:color="auto"/>
              <w:right w:val="nil"/>
            </w:tcBorders>
            <w:shd w:val="clear" w:color="auto" w:fill="auto"/>
            <w:hideMark/>
          </w:tcPr>
          <w:p w14:paraId="5C4C290F" w14:textId="77777777" w:rsidR="00D61175" w:rsidRPr="00643528" w:rsidRDefault="00D61175" w:rsidP="0008747B">
            <w:pPr>
              <w:pStyle w:val="TableText"/>
              <w:jc w:val="right"/>
              <w:rPr>
                <w:lang w:eastAsia="en-AU"/>
              </w:rPr>
            </w:pPr>
            <w:r w:rsidRPr="00643528">
              <w:rPr>
                <w:lang w:eastAsia="en-AU"/>
              </w:rPr>
              <w:t>&gt;100</w:t>
            </w:r>
          </w:p>
        </w:tc>
        <w:tc>
          <w:tcPr>
            <w:tcW w:w="573" w:type="pct"/>
            <w:tcBorders>
              <w:top w:val="nil"/>
              <w:left w:val="nil"/>
              <w:bottom w:val="single" w:sz="4" w:space="0" w:color="auto"/>
              <w:right w:val="nil"/>
            </w:tcBorders>
            <w:shd w:val="clear" w:color="auto" w:fill="auto"/>
            <w:hideMark/>
          </w:tcPr>
          <w:p w14:paraId="70D0093A" w14:textId="77777777" w:rsidR="00D61175" w:rsidRPr="00643528" w:rsidRDefault="00D61175" w:rsidP="0008747B">
            <w:pPr>
              <w:pStyle w:val="TableText"/>
              <w:jc w:val="right"/>
              <w:rPr>
                <w:lang w:eastAsia="en-AU"/>
              </w:rPr>
            </w:pPr>
            <w:r w:rsidRPr="00643528">
              <w:rPr>
                <w:lang w:eastAsia="en-AU"/>
              </w:rPr>
              <w:t>635</w:t>
            </w:r>
          </w:p>
        </w:tc>
      </w:tr>
      <w:tr w:rsidR="00D61175" w:rsidRPr="00643528" w14:paraId="5D0B5B0E" w14:textId="77777777" w:rsidTr="00962E4F">
        <w:tc>
          <w:tcPr>
            <w:tcW w:w="939" w:type="pct"/>
            <w:vMerge/>
            <w:tcBorders>
              <w:top w:val="nil"/>
              <w:left w:val="nil"/>
              <w:bottom w:val="single" w:sz="8" w:space="0" w:color="000000"/>
              <w:right w:val="nil"/>
            </w:tcBorders>
            <w:hideMark/>
          </w:tcPr>
          <w:p w14:paraId="073E3B04"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796AC0B9" w14:textId="07E3EF23" w:rsidR="00D61175" w:rsidRPr="00643528" w:rsidRDefault="00D61175" w:rsidP="00256F28">
            <w:pPr>
              <w:pStyle w:val="TableText"/>
              <w:rPr>
                <w:lang w:eastAsia="en-AU"/>
              </w:rPr>
            </w:pPr>
            <w:r w:rsidRPr="00643528">
              <w:rPr>
                <w:lang w:eastAsia="en-AU"/>
              </w:rPr>
              <w:t>Through</w:t>
            </w:r>
            <w:r w:rsidR="00186CF2">
              <w:rPr>
                <w:lang w:eastAsia="en-AU"/>
              </w:rPr>
              <w:t>p</w:t>
            </w:r>
            <w:r w:rsidRPr="00643528">
              <w:rPr>
                <w:lang w:eastAsia="en-AU"/>
              </w:rPr>
              <w:t xml:space="preserve">ut – </w:t>
            </w:r>
            <w:r w:rsidR="00186CF2">
              <w:rPr>
                <w:lang w:eastAsia="en-AU"/>
              </w:rPr>
              <w:t>e</w:t>
            </w:r>
            <w:r w:rsidRPr="00643528">
              <w:rPr>
                <w:lang w:eastAsia="en-AU"/>
              </w:rPr>
              <w:t xml:space="preserve">mu, </w:t>
            </w:r>
            <w:r w:rsidR="00186CF2">
              <w:rPr>
                <w:lang w:eastAsia="en-AU"/>
              </w:rPr>
              <w:t>o</w:t>
            </w:r>
            <w:r w:rsidRPr="00643528">
              <w:rPr>
                <w:lang w:eastAsia="en-AU"/>
              </w:rPr>
              <w:t>strich</w:t>
            </w:r>
          </w:p>
        </w:tc>
        <w:tc>
          <w:tcPr>
            <w:tcW w:w="573" w:type="pct"/>
            <w:tcBorders>
              <w:top w:val="nil"/>
              <w:left w:val="nil"/>
              <w:bottom w:val="single" w:sz="4" w:space="0" w:color="auto"/>
              <w:right w:val="nil"/>
            </w:tcBorders>
            <w:shd w:val="clear" w:color="auto" w:fill="auto"/>
            <w:hideMark/>
          </w:tcPr>
          <w:p w14:paraId="0F7062DC" w14:textId="77777777" w:rsidR="00D61175" w:rsidRPr="00643528" w:rsidRDefault="00D61175" w:rsidP="0008747B">
            <w:pPr>
              <w:pStyle w:val="TableText"/>
              <w:jc w:val="right"/>
              <w:rPr>
                <w:lang w:eastAsia="en-AU"/>
              </w:rPr>
            </w:pPr>
            <w:r w:rsidRPr="00643528">
              <w:rPr>
                <w:lang w:eastAsia="en-AU"/>
              </w:rPr>
              <w:t>0</w:t>
            </w:r>
          </w:p>
        </w:tc>
        <w:tc>
          <w:tcPr>
            <w:tcW w:w="573" w:type="pct"/>
            <w:tcBorders>
              <w:top w:val="nil"/>
              <w:left w:val="nil"/>
              <w:bottom w:val="single" w:sz="4" w:space="0" w:color="auto"/>
              <w:right w:val="nil"/>
            </w:tcBorders>
            <w:shd w:val="clear" w:color="auto" w:fill="auto"/>
            <w:hideMark/>
          </w:tcPr>
          <w:p w14:paraId="658D49E4" w14:textId="77777777" w:rsidR="00D61175" w:rsidRPr="00643528" w:rsidRDefault="00D61175" w:rsidP="0008747B">
            <w:pPr>
              <w:pStyle w:val="TableText"/>
              <w:jc w:val="right"/>
              <w:rPr>
                <w:lang w:eastAsia="en-AU"/>
              </w:rPr>
            </w:pPr>
            <w:r w:rsidRPr="00643528">
              <w:rPr>
                <w:lang w:eastAsia="en-AU"/>
              </w:rPr>
              <w:t>91</w:t>
            </w:r>
          </w:p>
        </w:tc>
        <w:tc>
          <w:tcPr>
            <w:tcW w:w="584" w:type="pct"/>
            <w:tcBorders>
              <w:top w:val="nil"/>
              <w:left w:val="nil"/>
              <w:bottom w:val="single" w:sz="4" w:space="0" w:color="auto"/>
              <w:right w:val="nil"/>
            </w:tcBorders>
            <w:shd w:val="clear" w:color="auto" w:fill="auto"/>
            <w:hideMark/>
          </w:tcPr>
          <w:p w14:paraId="7858A3F7" w14:textId="77777777" w:rsidR="00D61175" w:rsidRPr="00643528" w:rsidRDefault="00D61175" w:rsidP="0008747B">
            <w:pPr>
              <w:pStyle w:val="TableText"/>
              <w:jc w:val="right"/>
              <w:rPr>
                <w:lang w:eastAsia="en-AU"/>
              </w:rPr>
            </w:pPr>
            <w:r w:rsidRPr="00643528">
              <w:rPr>
                <w:lang w:eastAsia="en-AU"/>
              </w:rPr>
              <w:t>(91)</w:t>
            </w:r>
          </w:p>
        </w:tc>
        <w:tc>
          <w:tcPr>
            <w:tcW w:w="480" w:type="pct"/>
            <w:tcBorders>
              <w:top w:val="nil"/>
              <w:left w:val="nil"/>
              <w:bottom w:val="single" w:sz="4" w:space="0" w:color="auto"/>
              <w:right w:val="nil"/>
            </w:tcBorders>
            <w:shd w:val="clear" w:color="auto" w:fill="auto"/>
            <w:hideMark/>
          </w:tcPr>
          <w:p w14:paraId="7B972965" w14:textId="77777777" w:rsidR="00D61175" w:rsidRPr="00643528" w:rsidRDefault="00D61175" w:rsidP="0008747B">
            <w:pPr>
              <w:pStyle w:val="TableText"/>
              <w:jc w:val="right"/>
              <w:rPr>
                <w:lang w:eastAsia="en-AU"/>
              </w:rPr>
            </w:pPr>
            <w:r w:rsidRPr="00643528">
              <w:rPr>
                <w:lang w:eastAsia="en-AU"/>
              </w:rPr>
              <w:t>(100)</w:t>
            </w:r>
          </w:p>
        </w:tc>
        <w:tc>
          <w:tcPr>
            <w:tcW w:w="573" w:type="pct"/>
            <w:tcBorders>
              <w:top w:val="nil"/>
              <w:left w:val="nil"/>
              <w:bottom w:val="single" w:sz="4" w:space="0" w:color="auto"/>
              <w:right w:val="nil"/>
            </w:tcBorders>
            <w:shd w:val="clear" w:color="auto" w:fill="auto"/>
            <w:hideMark/>
          </w:tcPr>
          <w:p w14:paraId="711C12D5" w14:textId="77777777" w:rsidR="00D61175" w:rsidRPr="00643528" w:rsidRDefault="00D61175" w:rsidP="0008747B">
            <w:pPr>
              <w:pStyle w:val="TableText"/>
              <w:jc w:val="right"/>
              <w:rPr>
                <w:lang w:eastAsia="en-AU"/>
              </w:rPr>
            </w:pPr>
            <w:r w:rsidRPr="00643528">
              <w:rPr>
                <w:lang w:eastAsia="en-AU"/>
              </w:rPr>
              <w:t>2</w:t>
            </w:r>
          </w:p>
        </w:tc>
      </w:tr>
      <w:tr w:rsidR="00D61175" w:rsidRPr="00643528" w14:paraId="2C366B1B" w14:textId="77777777" w:rsidTr="00962E4F">
        <w:tc>
          <w:tcPr>
            <w:tcW w:w="939" w:type="pct"/>
            <w:vMerge/>
            <w:tcBorders>
              <w:top w:val="nil"/>
              <w:left w:val="nil"/>
              <w:bottom w:val="single" w:sz="8" w:space="0" w:color="000000"/>
              <w:right w:val="nil"/>
            </w:tcBorders>
            <w:hideMark/>
          </w:tcPr>
          <w:p w14:paraId="17B114A9"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7F72526F" w14:textId="5F1A2526" w:rsidR="00D61175" w:rsidRPr="00643528" w:rsidRDefault="00D61175" w:rsidP="00256F28">
            <w:pPr>
              <w:pStyle w:val="TableText"/>
              <w:rPr>
                <w:lang w:eastAsia="en-AU"/>
              </w:rPr>
            </w:pPr>
            <w:r w:rsidRPr="00643528">
              <w:rPr>
                <w:lang w:eastAsia="en-AU"/>
              </w:rPr>
              <w:t>Throug</w:t>
            </w:r>
            <w:r w:rsidR="00186CF2">
              <w:rPr>
                <w:lang w:eastAsia="en-AU"/>
              </w:rPr>
              <w:t>hp</w:t>
            </w:r>
            <w:r w:rsidRPr="00643528">
              <w:rPr>
                <w:lang w:eastAsia="en-AU"/>
              </w:rPr>
              <w:t xml:space="preserve">ut – </w:t>
            </w:r>
            <w:r w:rsidR="00186CF2">
              <w:rPr>
                <w:lang w:eastAsia="en-AU"/>
              </w:rPr>
              <w:t>c</w:t>
            </w:r>
            <w:r w:rsidRPr="00643528">
              <w:rPr>
                <w:lang w:eastAsia="en-AU"/>
              </w:rPr>
              <w:t>alf</w:t>
            </w:r>
          </w:p>
        </w:tc>
        <w:tc>
          <w:tcPr>
            <w:tcW w:w="573" w:type="pct"/>
            <w:tcBorders>
              <w:top w:val="nil"/>
              <w:left w:val="nil"/>
              <w:bottom w:val="single" w:sz="4" w:space="0" w:color="auto"/>
              <w:right w:val="nil"/>
            </w:tcBorders>
            <w:shd w:val="clear" w:color="auto" w:fill="auto"/>
            <w:hideMark/>
          </w:tcPr>
          <w:p w14:paraId="5FD1719F" w14:textId="77777777" w:rsidR="00D61175" w:rsidRPr="00643528" w:rsidRDefault="00D61175" w:rsidP="0008747B">
            <w:pPr>
              <w:pStyle w:val="TableText"/>
              <w:jc w:val="right"/>
              <w:rPr>
                <w:lang w:eastAsia="en-AU"/>
              </w:rPr>
            </w:pPr>
            <w:r w:rsidRPr="00643528">
              <w:rPr>
                <w:lang w:eastAsia="en-AU"/>
              </w:rPr>
              <w:t>16,550</w:t>
            </w:r>
          </w:p>
        </w:tc>
        <w:tc>
          <w:tcPr>
            <w:tcW w:w="573" w:type="pct"/>
            <w:tcBorders>
              <w:top w:val="nil"/>
              <w:left w:val="nil"/>
              <w:bottom w:val="single" w:sz="4" w:space="0" w:color="auto"/>
              <w:right w:val="nil"/>
            </w:tcBorders>
            <w:shd w:val="clear" w:color="auto" w:fill="auto"/>
            <w:hideMark/>
          </w:tcPr>
          <w:p w14:paraId="0100C000" w14:textId="77777777" w:rsidR="00D61175" w:rsidRPr="00643528" w:rsidRDefault="00D61175" w:rsidP="0008747B">
            <w:pPr>
              <w:pStyle w:val="TableText"/>
              <w:jc w:val="right"/>
              <w:rPr>
                <w:lang w:eastAsia="en-AU"/>
              </w:rPr>
            </w:pPr>
            <w:r w:rsidRPr="00643528">
              <w:rPr>
                <w:lang w:eastAsia="en-AU"/>
              </w:rPr>
              <w:t>14,119</w:t>
            </w:r>
          </w:p>
        </w:tc>
        <w:tc>
          <w:tcPr>
            <w:tcW w:w="584" w:type="pct"/>
            <w:tcBorders>
              <w:top w:val="nil"/>
              <w:left w:val="nil"/>
              <w:bottom w:val="single" w:sz="4" w:space="0" w:color="auto"/>
              <w:right w:val="nil"/>
            </w:tcBorders>
            <w:shd w:val="clear" w:color="auto" w:fill="auto"/>
            <w:hideMark/>
          </w:tcPr>
          <w:p w14:paraId="14D26E4F" w14:textId="77777777" w:rsidR="00D61175" w:rsidRPr="00643528" w:rsidRDefault="00D61175" w:rsidP="0008747B">
            <w:pPr>
              <w:pStyle w:val="TableText"/>
              <w:jc w:val="right"/>
              <w:rPr>
                <w:lang w:eastAsia="en-AU"/>
              </w:rPr>
            </w:pPr>
            <w:r w:rsidRPr="00643528">
              <w:rPr>
                <w:lang w:eastAsia="en-AU"/>
              </w:rPr>
              <w:t>2,431</w:t>
            </w:r>
          </w:p>
        </w:tc>
        <w:tc>
          <w:tcPr>
            <w:tcW w:w="480" w:type="pct"/>
            <w:tcBorders>
              <w:top w:val="nil"/>
              <w:left w:val="nil"/>
              <w:bottom w:val="single" w:sz="4" w:space="0" w:color="auto"/>
              <w:right w:val="nil"/>
            </w:tcBorders>
            <w:shd w:val="clear" w:color="auto" w:fill="auto"/>
            <w:hideMark/>
          </w:tcPr>
          <w:p w14:paraId="67DE89EA" w14:textId="77777777" w:rsidR="00D61175" w:rsidRPr="00643528" w:rsidRDefault="00D61175" w:rsidP="0008747B">
            <w:pPr>
              <w:pStyle w:val="TableText"/>
              <w:jc w:val="right"/>
              <w:rPr>
                <w:lang w:eastAsia="en-AU"/>
              </w:rPr>
            </w:pPr>
            <w:r w:rsidRPr="00643528">
              <w:rPr>
                <w:lang w:eastAsia="en-AU"/>
              </w:rPr>
              <w:t>17</w:t>
            </w:r>
          </w:p>
        </w:tc>
        <w:tc>
          <w:tcPr>
            <w:tcW w:w="573" w:type="pct"/>
            <w:tcBorders>
              <w:top w:val="nil"/>
              <w:left w:val="nil"/>
              <w:bottom w:val="single" w:sz="4" w:space="0" w:color="auto"/>
              <w:right w:val="nil"/>
            </w:tcBorders>
            <w:shd w:val="clear" w:color="auto" w:fill="auto"/>
            <w:hideMark/>
          </w:tcPr>
          <w:p w14:paraId="5F5DCAB5" w14:textId="77777777" w:rsidR="00D61175" w:rsidRPr="00643528" w:rsidRDefault="00D61175" w:rsidP="0008747B">
            <w:pPr>
              <w:pStyle w:val="TableText"/>
              <w:jc w:val="right"/>
              <w:rPr>
                <w:lang w:eastAsia="en-AU"/>
              </w:rPr>
            </w:pPr>
            <w:r w:rsidRPr="00643528">
              <w:rPr>
                <w:lang w:eastAsia="en-AU"/>
              </w:rPr>
              <w:t>13,587</w:t>
            </w:r>
          </w:p>
        </w:tc>
      </w:tr>
      <w:tr w:rsidR="00D61175" w:rsidRPr="00643528" w14:paraId="01577978" w14:textId="77777777" w:rsidTr="00962E4F">
        <w:tc>
          <w:tcPr>
            <w:tcW w:w="939" w:type="pct"/>
            <w:vMerge/>
            <w:tcBorders>
              <w:top w:val="nil"/>
              <w:left w:val="nil"/>
              <w:bottom w:val="single" w:sz="8" w:space="0" w:color="000000"/>
              <w:right w:val="nil"/>
            </w:tcBorders>
            <w:hideMark/>
          </w:tcPr>
          <w:p w14:paraId="3EB7AD1F"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27794E96" w14:textId="1DF331E4" w:rsidR="00D61175" w:rsidRPr="00643528" w:rsidRDefault="00D61175" w:rsidP="00256F28">
            <w:pPr>
              <w:pStyle w:val="TableText"/>
              <w:rPr>
                <w:lang w:eastAsia="en-AU"/>
              </w:rPr>
            </w:pPr>
            <w:r w:rsidRPr="00643528">
              <w:rPr>
                <w:lang w:eastAsia="en-AU"/>
              </w:rPr>
              <w:t>Through</w:t>
            </w:r>
            <w:r w:rsidR="00186CF2">
              <w:rPr>
                <w:lang w:eastAsia="en-AU"/>
              </w:rPr>
              <w:t>p</w:t>
            </w:r>
            <w:r w:rsidRPr="00643528">
              <w:rPr>
                <w:lang w:eastAsia="en-AU"/>
              </w:rPr>
              <w:t xml:space="preserve">ut – </w:t>
            </w:r>
            <w:r w:rsidR="00186CF2">
              <w:rPr>
                <w:lang w:eastAsia="en-AU"/>
              </w:rPr>
              <w:t>k</w:t>
            </w:r>
            <w:r w:rsidRPr="00643528">
              <w:rPr>
                <w:lang w:eastAsia="en-AU"/>
              </w:rPr>
              <w:t xml:space="preserve">angaroo, </w:t>
            </w:r>
            <w:r w:rsidR="00186CF2">
              <w:rPr>
                <w:lang w:eastAsia="en-AU"/>
              </w:rPr>
              <w:t>w</w:t>
            </w:r>
            <w:r w:rsidRPr="00643528">
              <w:rPr>
                <w:lang w:eastAsia="en-AU"/>
              </w:rPr>
              <w:t xml:space="preserve">ild </w:t>
            </w:r>
            <w:r w:rsidR="00186CF2">
              <w:rPr>
                <w:lang w:eastAsia="en-AU"/>
              </w:rPr>
              <w:t>b</w:t>
            </w:r>
            <w:r w:rsidRPr="00643528">
              <w:rPr>
                <w:lang w:eastAsia="en-AU"/>
              </w:rPr>
              <w:t>oar</w:t>
            </w:r>
          </w:p>
        </w:tc>
        <w:tc>
          <w:tcPr>
            <w:tcW w:w="573" w:type="pct"/>
            <w:tcBorders>
              <w:top w:val="nil"/>
              <w:left w:val="nil"/>
              <w:bottom w:val="single" w:sz="4" w:space="0" w:color="auto"/>
              <w:right w:val="nil"/>
            </w:tcBorders>
            <w:shd w:val="clear" w:color="auto" w:fill="auto"/>
            <w:hideMark/>
          </w:tcPr>
          <w:p w14:paraId="73C89F8A" w14:textId="77777777" w:rsidR="00D61175" w:rsidRPr="00643528" w:rsidRDefault="00D61175" w:rsidP="0008747B">
            <w:pPr>
              <w:pStyle w:val="TableText"/>
              <w:jc w:val="right"/>
              <w:rPr>
                <w:lang w:eastAsia="en-AU"/>
              </w:rPr>
            </w:pPr>
            <w:r w:rsidRPr="00643528">
              <w:rPr>
                <w:lang w:eastAsia="en-AU"/>
              </w:rPr>
              <w:t>15,898</w:t>
            </w:r>
          </w:p>
        </w:tc>
        <w:tc>
          <w:tcPr>
            <w:tcW w:w="573" w:type="pct"/>
            <w:tcBorders>
              <w:top w:val="nil"/>
              <w:left w:val="nil"/>
              <w:bottom w:val="single" w:sz="4" w:space="0" w:color="auto"/>
              <w:right w:val="nil"/>
            </w:tcBorders>
            <w:shd w:val="clear" w:color="auto" w:fill="auto"/>
            <w:hideMark/>
          </w:tcPr>
          <w:p w14:paraId="729D632C" w14:textId="77777777" w:rsidR="00D61175" w:rsidRPr="00643528" w:rsidRDefault="00D61175" w:rsidP="0008747B">
            <w:pPr>
              <w:pStyle w:val="TableText"/>
              <w:jc w:val="right"/>
              <w:rPr>
                <w:lang w:eastAsia="en-AU"/>
              </w:rPr>
            </w:pPr>
            <w:r w:rsidRPr="00643528">
              <w:rPr>
                <w:lang w:eastAsia="en-AU"/>
              </w:rPr>
              <w:t>23,138</w:t>
            </w:r>
          </w:p>
        </w:tc>
        <w:tc>
          <w:tcPr>
            <w:tcW w:w="584" w:type="pct"/>
            <w:tcBorders>
              <w:top w:val="nil"/>
              <w:left w:val="nil"/>
              <w:bottom w:val="single" w:sz="4" w:space="0" w:color="auto"/>
              <w:right w:val="nil"/>
            </w:tcBorders>
            <w:shd w:val="clear" w:color="auto" w:fill="auto"/>
            <w:hideMark/>
          </w:tcPr>
          <w:p w14:paraId="1AF27A82" w14:textId="77777777" w:rsidR="00D61175" w:rsidRPr="00643528" w:rsidRDefault="00D61175" w:rsidP="0008747B">
            <w:pPr>
              <w:pStyle w:val="TableText"/>
              <w:jc w:val="right"/>
              <w:rPr>
                <w:lang w:eastAsia="en-AU"/>
              </w:rPr>
            </w:pPr>
            <w:r w:rsidRPr="00643528">
              <w:rPr>
                <w:lang w:eastAsia="en-AU"/>
              </w:rPr>
              <w:t>(7,240)</w:t>
            </w:r>
          </w:p>
        </w:tc>
        <w:tc>
          <w:tcPr>
            <w:tcW w:w="480" w:type="pct"/>
            <w:tcBorders>
              <w:top w:val="nil"/>
              <w:left w:val="nil"/>
              <w:bottom w:val="single" w:sz="4" w:space="0" w:color="auto"/>
              <w:right w:val="nil"/>
            </w:tcBorders>
            <w:shd w:val="clear" w:color="auto" w:fill="auto"/>
            <w:hideMark/>
          </w:tcPr>
          <w:p w14:paraId="635299E0" w14:textId="77777777" w:rsidR="00D61175" w:rsidRPr="00643528" w:rsidRDefault="00D61175" w:rsidP="0008747B">
            <w:pPr>
              <w:pStyle w:val="TableText"/>
              <w:jc w:val="right"/>
              <w:rPr>
                <w:lang w:eastAsia="en-AU"/>
              </w:rPr>
            </w:pPr>
            <w:r w:rsidRPr="00643528">
              <w:rPr>
                <w:lang w:eastAsia="en-AU"/>
              </w:rPr>
              <w:t>(31)</w:t>
            </w:r>
          </w:p>
        </w:tc>
        <w:tc>
          <w:tcPr>
            <w:tcW w:w="573" w:type="pct"/>
            <w:tcBorders>
              <w:top w:val="nil"/>
              <w:left w:val="nil"/>
              <w:bottom w:val="single" w:sz="4" w:space="0" w:color="auto"/>
              <w:right w:val="nil"/>
            </w:tcBorders>
            <w:shd w:val="clear" w:color="auto" w:fill="auto"/>
            <w:hideMark/>
          </w:tcPr>
          <w:p w14:paraId="72E61F9B" w14:textId="77777777" w:rsidR="00D61175" w:rsidRPr="00643528" w:rsidRDefault="00D61175" w:rsidP="0008747B">
            <w:pPr>
              <w:pStyle w:val="TableText"/>
              <w:jc w:val="right"/>
              <w:rPr>
                <w:lang w:eastAsia="en-AU"/>
              </w:rPr>
            </w:pPr>
            <w:r w:rsidRPr="00643528">
              <w:rPr>
                <w:lang w:eastAsia="en-AU"/>
              </w:rPr>
              <w:t>17,791</w:t>
            </w:r>
          </w:p>
        </w:tc>
      </w:tr>
      <w:tr w:rsidR="00D61175" w:rsidRPr="00643528" w14:paraId="323BD0D8" w14:textId="77777777" w:rsidTr="00962E4F">
        <w:tc>
          <w:tcPr>
            <w:tcW w:w="939" w:type="pct"/>
            <w:vMerge/>
            <w:tcBorders>
              <w:top w:val="nil"/>
              <w:left w:val="nil"/>
              <w:bottom w:val="single" w:sz="8" w:space="0" w:color="000000"/>
              <w:right w:val="nil"/>
            </w:tcBorders>
            <w:hideMark/>
          </w:tcPr>
          <w:p w14:paraId="13DBA353" w14:textId="77777777" w:rsidR="00D61175" w:rsidRPr="00643528" w:rsidRDefault="00D61175" w:rsidP="00256F28">
            <w:pPr>
              <w:pStyle w:val="TableText"/>
              <w:rPr>
                <w:lang w:eastAsia="en-AU"/>
              </w:rPr>
            </w:pPr>
          </w:p>
        </w:tc>
        <w:tc>
          <w:tcPr>
            <w:tcW w:w="1278" w:type="pct"/>
            <w:tcBorders>
              <w:top w:val="nil"/>
              <w:left w:val="nil"/>
              <w:bottom w:val="nil"/>
              <w:right w:val="nil"/>
            </w:tcBorders>
            <w:shd w:val="clear" w:color="auto" w:fill="auto"/>
            <w:hideMark/>
          </w:tcPr>
          <w:p w14:paraId="6C155981" w14:textId="3B6D34D0" w:rsidR="00D61175" w:rsidRPr="00643528" w:rsidRDefault="00D61175" w:rsidP="00256F28">
            <w:pPr>
              <w:pStyle w:val="TableText"/>
              <w:rPr>
                <w:lang w:eastAsia="en-AU"/>
              </w:rPr>
            </w:pPr>
            <w:r w:rsidRPr="00643528">
              <w:rPr>
                <w:lang w:eastAsia="en-AU"/>
              </w:rPr>
              <w:t>Through</w:t>
            </w:r>
            <w:r w:rsidR="00186CF2">
              <w:rPr>
                <w:lang w:eastAsia="en-AU"/>
              </w:rPr>
              <w:t>p</w:t>
            </w:r>
            <w:r w:rsidRPr="00643528">
              <w:rPr>
                <w:lang w:eastAsia="en-AU"/>
              </w:rPr>
              <w:t xml:space="preserve">ut – </w:t>
            </w:r>
            <w:r w:rsidR="00186CF2">
              <w:rPr>
                <w:lang w:eastAsia="en-AU"/>
              </w:rPr>
              <w:t>r</w:t>
            </w:r>
            <w:r w:rsidRPr="00643528">
              <w:rPr>
                <w:lang w:eastAsia="en-AU"/>
              </w:rPr>
              <w:t>abbit/</w:t>
            </w:r>
            <w:r w:rsidR="00186CF2">
              <w:rPr>
                <w:lang w:eastAsia="en-AU"/>
              </w:rPr>
              <w:t>p</w:t>
            </w:r>
            <w:r w:rsidRPr="00643528">
              <w:rPr>
                <w:lang w:eastAsia="en-AU"/>
              </w:rPr>
              <w:t>ossum/</w:t>
            </w:r>
            <w:r w:rsidR="00186CF2">
              <w:rPr>
                <w:lang w:eastAsia="en-AU"/>
              </w:rPr>
              <w:t>h</w:t>
            </w:r>
            <w:r w:rsidRPr="00643528">
              <w:rPr>
                <w:lang w:eastAsia="en-AU"/>
              </w:rPr>
              <w:t>are</w:t>
            </w:r>
          </w:p>
        </w:tc>
        <w:tc>
          <w:tcPr>
            <w:tcW w:w="573" w:type="pct"/>
            <w:tcBorders>
              <w:top w:val="nil"/>
              <w:left w:val="nil"/>
              <w:bottom w:val="nil"/>
              <w:right w:val="nil"/>
            </w:tcBorders>
            <w:shd w:val="clear" w:color="auto" w:fill="auto"/>
            <w:hideMark/>
          </w:tcPr>
          <w:p w14:paraId="0A17919B" w14:textId="77777777" w:rsidR="00D61175" w:rsidRPr="00643528" w:rsidRDefault="00D61175" w:rsidP="0008747B">
            <w:pPr>
              <w:pStyle w:val="TableText"/>
              <w:jc w:val="right"/>
              <w:rPr>
                <w:lang w:eastAsia="en-AU"/>
              </w:rPr>
            </w:pPr>
            <w:r w:rsidRPr="00643528">
              <w:rPr>
                <w:lang w:eastAsia="en-AU"/>
              </w:rPr>
              <w:t>18</w:t>
            </w:r>
          </w:p>
        </w:tc>
        <w:tc>
          <w:tcPr>
            <w:tcW w:w="573" w:type="pct"/>
            <w:tcBorders>
              <w:top w:val="nil"/>
              <w:left w:val="nil"/>
              <w:bottom w:val="nil"/>
              <w:right w:val="nil"/>
            </w:tcBorders>
            <w:shd w:val="clear" w:color="auto" w:fill="auto"/>
            <w:hideMark/>
          </w:tcPr>
          <w:p w14:paraId="45399A2F" w14:textId="77777777" w:rsidR="00D61175" w:rsidRPr="00643528" w:rsidRDefault="00D61175" w:rsidP="0008747B">
            <w:pPr>
              <w:pStyle w:val="TableText"/>
              <w:jc w:val="right"/>
              <w:rPr>
                <w:lang w:eastAsia="en-AU"/>
              </w:rPr>
            </w:pPr>
            <w:r w:rsidRPr="00643528">
              <w:rPr>
                <w:lang w:eastAsia="en-AU"/>
              </w:rPr>
              <w:t>0</w:t>
            </w:r>
          </w:p>
        </w:tc>
        <w:tc>
          <w:tcPr>
            <w:tcW w:w="584" w:type="pct"/>
            <w:tcBorders>
              <w:top w:val="nil"/>
              <w:left w:val="nil"/>
              <w:bottom w:val="nil"/>
              <w:right w:val="nil"/>
            </w:tcBorders>
            <w:shd w:val="clear" w:color="auto" w:fill="auto"/>
            <w:hideMark/>
          </w:tcPr>
          <w:p w14:paraId="4DDCE3BA" w14:textId="77777777" w:rsidR="00D61175" w:rsidRPr="00643528" w:rsidRDefault="00D61175" w:rsidP="0008747B">
            <w:pPr>
              <w:pStyle w:val="TableText"/>
              <w:jc w:val="right"/>
              <w:rPr>
                <w:lang w:eastAsia="en-AU"/>
              </w:rPr>
            </w:pPr>
            <w:r w:rsidRPr="00643528">
              <w:rPr>
                <w:lang w:eastAsia="en-AU"/>
              </w:rPr>
              <w:t>18</w:t>
            </w:r>
          </w:p>
        </w:tc>
        <w:tc>
          <w:tcPr>
            <w:tcW w:w="480" w:type="pct"/>
            <w:tcBorders>
              <w:top w:val="nil"/>
              <w:left w:val="nil"/>
              <w:bottom w:val="nil"/>
              <w:right w:val="nil"/>
            </w:tcBorders>
            <w:shd w:val="clear" w:color="auto" w:fill="auto"/>
            <w:hideMark/>
          </w:tcPr>
          <w:p w14:paraId="2E192A91" w14:textId="6421CCD6" w:rsidR="00D61175" w:rsidRPr="00643528" w:rsidRDefault="00AB45BF" w:rsidP="0008747B">
            <w:pPr>
              <w:pStyle w:val="TableText"/>
              <w:jc w:val="right"/>
              <w:rPr>
                <w:lang w:eastAsia="en-AU"/>
              </w:rPr>
            </w:pPr>
            <w:r w:rsidRPr="00643528">
              <w:rPr>
                <w:lang w:eastAsia="en-AU"/>
              </w:rPr>
              <w:t>—</w:t>
            </w:r>
          </w:p>
        </w:tc>
        <w:tc>
          <w:tcPr>
            <w:tcW w:w="573" w:type="pct"/>
            <w:tcBorders>
              <w:top w:val="nil"/>
              <w:left w:val="nil"/>
              <w:bottom w:val="single" w:sz="8" w:space="0" w:color="auto"/>
              <w:right w:val="nil"/>
            </w:tcBorders>
            <w:shd w:val="clear" w:color="auto" w:fill="auto"/>
            <w:hideMark/>
          </w:tcPr>
          <w:p w14:paraId="1682C7E8" w14:textId="77777777" w:rsidR="00D61175" w:rsidRPr="00643528" w:rsidRDefault="00D61175" w:rsidP="0008747B">
            <w:pPr>
              <w:pStyle w:val="TableText"/>
              <w:jc w:val="right"/>
              <w:rPr>
                <w:lang w:eastAsia="en-AU"/>
              </w:rPr>
            </w:pPr>
            <w:r w:rsidRPr="00643528">
              <w:rPr>
                <w:lang w:eastAsia="en-AU"/>
              </w:rPr>
              <w:t>0</w:t>
            </w:r>
          </w:p>
        </w:tc>
      </w:tr>
      <w:tr w:rsidR="00D61175" w:rsidRPr="00643528" w14:paraId="662B8634" w14:textId="77777777" w:rsidTr="00962E4F">
        <w:tc>
          <w:tcPr>
            <w:tcW w:w="939" w:type="pct"/>
            <w:vMerge/>
            <w:tcBorders>
              <w:top w:val="nil"/>
              <w:left w:val="nil"/>
              <w:bottom w:val="single" w:sz="8" w:space="0" w:color="000000"/>
              <w:right w:val="nil"/>
            </w:tcBorders>
            <w:hideMark/>
          </w:tcPr>
          <w:p w14:paraId="3BC7C5D6" w14:textId="77777777" w:rsidR="00D61175" w:rsidRPr="00643528" w:rsidRDefault="00D61175" w:rsidP="00256F28">
            <w:pPr>
              <w:pStyle w:val="TableText"/>
              <w:rPr>
                <w:lang w:eastAsia="en-AU"/>
              </w:rPr>
            </w:pPr>
          </w:p>
        </w:tc>
        <w:tc>
          <w:tcPr>
            <w:tcW w:w="1278" w:type="pct"/>
            <w:tcBorders>
              <w:top w:val="single" w:sz="8" w:space="0" w:color="auto"/>
              <w:left w:val="nil"/>
              <w:bottom w:val="single" w:sz="4" w:space="0" w:color="auto"/>
              <w:right w:val="nil"/>
            </w:tcBorders>
            <w:shd w:val="clear" w:color="auto" w:fill="auto"/>
            <w:hideMark/>
          </w:tcPr>
          <w:p w14:paraId="79FD74A3" w14:textId="133CB129" w:rsidR="00D61175" w:rsidRPr="00643528" w:rsidRDefault="00D61175" w:rsidP="00256F28">
            <w:pPr>
              <w:pStyle w:val="TableText"/>
              <w:rPr>
                <w:lang w:eastAsia="en-AU"/>
              </w:rPr>
            </w:pPr>
            <w:r w:rsidRPr="00643528">
              <w:rPr>
                <w:lang w:eastAsia="en-AU"/>
              </w:rPr>
              <w:t xml:space="preserve">Establishment – </w:t>
            </w:r>
            <w:r w:rsidR="00186CF2">
              <w:rPr>
                <w:lang w:eastAsia="en-AU"/>
              </w:rPr>
              <w:t>t</w:t>
            </w:r>
            <w:r w:rsidRPr="00643528">
              <w:rPr>
                <w:lang w:eastAsia="en-AU"/>
              </w:rPr>
              <w:t>ier 1</w:t>
            </w:r>
          </w:p>
        </w:tc>
        <w:tc>
          <w:tcPr>
            <w:tcW w:w="573" w:type="pct"/>
            <w:tcBorders>
              <w:top w:val="single" w:sz="8" w:space="0" w:color="auto"/>
              <w:left w:val="nil"/>
              <w:bottom w:val="single" w:sz="4" w:space="0" w:color="auto"/>
              <w:right w:val="nil"/>
            </w:tcBorders>
            <w:shd w:val="clear" w:color="auto" w:fill="auto"/>
            <w:hideMark/>
          </w:tcPr>
          <w:p w14:paraId="0B707F83" w14:textId="77777777" w:rsidR="00D61175" w:rsidRPr="00643528" w:rsidRDefault="00D61175" w:rsidP="0008747B">
            <w:pPr>
              <w:pStyle w:val="TableText"/>
              <w:jc w:val="right"/>
              <w:rPr>
                <w:lang w:eastAsia="en-AU"/>
              </w:rPr>
            </w:pPr>
            <w:r w:rsidRPr="00643528">
              <w:rPr>
                <w:lang w:eastAsia="en-AU"/>
              </w:rPr>
              <w:t>0</w:t>
            </w:r>
          </w:p>
        </w:tc>
        <w:tc>
          <w:tcPr>
            <w:tcW w:w="573" w:type="pct"/>
            <w:tcBorders>
              <w:top w:val="single" w:sz="8" w:space="0" w:color="auto"/>
              <w:left w:val="nil"/>
              <w:bottom w:val="single" w:sz="4" w:space="0" w:color="auto"/>
              <w:right w:val="nil"/>
            </w:tcBorders>
            <w:shd w:val="clear" w:color="auto" w:fill="auto"/>
            <w:hideMark/>
          </w:tcPr>
          <w:p w14:paraId="75D88673" w14:textId="77777777" w:rsidR="00D61175" w:rsidRPr="00643528" w:rsidRDefault="00D61175" w:rsidP="0008747B">
            <w:pPr>
              <w:pStyle w:val="TableText"/>
              <w:jc w:val="right"/>
              <w:rPr>
                <w:lang w:eastAsia="en-AU"/>
              </w:rPr>
            </w:pPr>
            <w:r w:rsidRPr="00643528">
              <w:rPr>
                <w:lang w:eastAsia="en-AU"/>
              </w:rPr>
              <w:t>173,000</w:t>
            </w:r>
          </w:p>
        </w:tc>
        <w:tc>
          <w:tcPr>
            <w:tcW w:w="584" w:type="pct"/>
            <w:tcBorders>
              <w:top w:val="single" w:sz="8" w:space="0" w:color="auto"/>
              <w:left w:val="nil"/>
              <w:bottom w:val="single" w:sz="4" w:space="0" w:color="auto"/>
              <w:right w:val="nil"/>
            </w:tcBorders>
            <w:shd w:val="clear" w:color="auto" w:fill="auto"/>
            <w:hideMark/>
          </w:tcPr>
          <w:p w14:paraId="0EAADD05" w14:textId="77777777" w:rsidR="00D61175" w:rsidRPr="00643528" w:rsidRDefault="00D61175" w:rsidP="0008747B">
            <w:pPr>
              <w:pStyle w:val="TableText"/>
              <w:jc w:val="right"/>
              <w:rPr>
                <w:lang w:eastAsia="en-AU"/>
              </w:rPr>
            </w:pPr>
            <w:r w:rsidRPr="00643528">
              <w:rPr>
                <w:lang w:eastAsia="en-AU"/>
              </w:rPr>
              <w:t>(173,000)</w:t>
            </w:r>
          </w:p>
        </w:tc>
        <w:tc>
          <w:tcPr>
            <w:tcW w:w="480" w:type="pct"/>
            <w:tcBorders>
              <w:top w:val="single" w:sz="8" w:space="0" w:color="auto"/>
              <w:left w:val="nil"/>
              <w:bottom w:val="single" w:sz="4" w:space="0" w:color="auto"/>
              <w:right w:val="nil"/>
            </w:tcBorders>
            <w:shd w:val="clear" w:color="auto" w:fill="auto"/>
            <w:hideMark/>
          </w:tcPr>
          <w:p w14:paraId="4BEDCA61" w14:textId="77777777" w:rsidR="00D61175" w:rsidRPr="00643528" w:rsidRDefault="00D61175" w:rsidP="0008747B">
            <w:pPr>
              <w:pStyle w:val="TableText"/>
              <w:jc w:val="right"/>
              <w:rPr>
                <w:lang w:eastAsia="en-AU"/>
              </w:rPr>
            </w:pPr>
            <w:r w:rsidRPr="00643528">
              <w:rPr>
                <w:lang w:eastAsia="en-AU"/>
              </w:rPr>
              <w:t>(100)</w:t>
            </w:r>
          </w:p>
        </w:tc>
        <w:tc>
          <w:tcPr>
            <w:tcW w:w="573" w:type="pct"/>
            <w:tcBorders>
              <w:top w:val="nil"/>
              <w:left w:val="nil"/>
              <w:bottom w:val="single" w:sz="4" w:space="0" w:color="auto"/>
              <w:right w:val="nil"/>
            </w:tcBorders>
            <w:shd w:val="clear" w:color="auto" w:fill="auto"/>
            <w:hideMark/>
          </w:tcPr>
          <w:p w14:paraId="7C79C29A" w14:textId="77777777" w:rsidR="00D61175" w:rsidRPr="00643528" w:rsidRDefault="00D61175" w:rsidP="0008747B">
            <w:pPr>
              <w:pStyle w:val="TableText"/>
              <w:jc w:val="right"/>
              <w:rPr>
                <w:lang w:eastAsia="en-AU"/>
              </w:rPr>
            </w:pPr>
            <w:r w:rsidRPr="00643528">
              <w:rPr>
                <w:lang w:eastAsia="en-AU"/>
              </w:rPr>
              <w:t>200</w:t>
            </w:r>
          </w:p>
        </w:tc>
      </w:tr>
      <w:tr w:rsidR="00D61175" w:rsidRPr="00643528" w14:paraId="292DC0C1" w14:textId="77777777" w:rsidTr="00962E4F">
        <w:tc>
          <w:tcPr>
            <w:tcW w:w="939" w:type="pct"/>
            <w:vMerge/>
            <w:tcBorders>
              <w:top w:val="nil"/>
              <w:left w:val="nil"/>
              <w:bottom w:val="single" w:sz="8" w:space="0" w:color="000000"/>
              <w:right w:val="nil"/>
            </w:tcBorders>
            <w:hideMark/>
          </w:tcPr>
          <w:p w14:paraId="2EC86743"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592E3E2B" w14:textId="5AB721B8" w:rsidR="00D61175" w:rsidRPr="00643528" w:rsidRDefault="00D61175" w:rsidP="00256F28">
            <w:pPr>
              <w:pStyle w:val="TableText"/>
              <w:rPr>
                <w:lang w:eastAsia="en-AU"/>
              </w:rPr>
            </w:pPr>
            <w:r w:rsidRPr="00643528">
              <w:rPr>
                <w:lang w:eastAsia="en-AU"/>
              </w:rPr>
              <w:t>T1 – Through</w:t>
            </w:r>
            <w:r w:rsidR="00186CF2">
              <w:rPr>
                <w:lang w:eastAsia="en-AU"/>
              </w:rPr>
              <w:t>p</w:t>
            </w:r>
            <w:r w:rsidRPr="00643528">
              <w:rPr>
                <w:lang w:eastAsia="en-AU"/>
              </w:rPr>
              <w:t xml:space="preserve">ut – </w:t>
            </w:r>
            <w:r w:rsidR="00186CF2">
              <w:rPr>
                <w:lang w:eastAsia="en-AU"/>
              </w:rPr>
              <w:t>f</w:t>
            </w:r>
            <w:r w:rsidRPr="00643528">
              <w:rPr>
                <w:lang w:eastAsia="en-AU"/>
              </w:rPr>
              <w:t xml:space="preserve">ull </w:t>
            </w:r>
            <w:r w:rsidR="00186CF2">
              <w:rPr>
                <w:lang w:eastAsia="en-AU"/>
              </w:rPr>
              <w:t>u</w:t>
            </w:r>
            <w:r w:rsidRPr="00643528">
              <w:rPr>
                <w:lang w:eastAsia="en-AU"/>
              </w:rPr>
              <w:t>nit (</w:t>
            </w:r>
            <w:r w:rsidR="00186CF2">
              <w:rPr>
                <w:lang w:eastAsia="en-AU"/>
              </w:rPr>
              <w:t>c</w:t>
            </w:r>
            <w:r w:rsidRPr="00643528">
              <w:rPr>
                <w:lang w:eastAsia="en-AU"/>
              </w:rPr>
              <w:t>attle/</w:t>
            </w:r>
            <w:r w:rsidR="00186CF2">
              <w:rPr>
                <w:lang w:eastAsia="en-AU"/>
              </w:rPr>
              <w:t>b</w:t>
            </w:r>
            <w:r w:rsidRPr="00643528">
              <w:rPr>
                <w:lang w:eastAsia="en-AU"/>
              </w:rPr>
              <w:t>uffalo/</w:t>
            </w:r>
            <w:r w:rsidR="00186CF2">
              <w:rPr>
                <w:lang w:eastAsia="en-AU"/>
              </w:rPr>
              <w:t>c</w:t>
            </w:r>
            <w:r w:rsidRPr="00643528">
              <w:rPr>
                <w:lang w:eastAsia="en-AU"/>
              </w:rPr>
              <w:t>amel) a</w:t>
            </w:r>
          </w:p>
        </w:tc>
        <w:tc>
          <w:tcPr>
            <w:tcW w:w="573" w:type="pct"/>
            <w:tcBorders>
              <w:top w:val="nil"/>
              <w:left w:val="nil"/>
              <w:bottom w:val="single" w:sz="4" w:space="0" w:color="auto"/>
              <w:right w:val="nil"/>
            </w:tcBorders>
            <w:shd w:val="clear" w:color="auto" w:fill="auto"/>
            <w:hideMark/>
          </w:tcPr>
          <w:p w14:paraId="5E13E6BD" w14:textId="77777777" w:rsidR="00D61175" w:rsidRPr="00643528" w:rsidRDefault="00D61175" w:rsidP="0008747B">
            <w:pPr>
              <w:pStyle w:val="TableText"/>
              <w:jc w:val="right"/>
              <w:rPr>
                <w:lang w:eastAsia="en-AU"/>
              </w:rPr>
            </w:pPr>
            <w:r w:rsidRPr="00643528">
              <w:rPr>
                <w:lang w:eastAsia="en-AU"/>
              </w:rPr>
              <w:t>28,917</w:t>
            </w:r>
          </w:p>
        </w:tc>
        <w:tc>
          <w:tcPr>
            <w:tcW w:w="573" w:type="pct"/>
            <w:tcBorders>
              <w:top w:val="nil"/>
              <w:left w:val="nil"/>
              <w:bottom w:val="single" w:sz="4" w:space="0" w:color="auto"/>
              <w:right w:val="nil"/>
            </w:tcBorders>
            <w:shd w:val="clear" w:color="auto" w:fill="auto"/>
            <w:hideMark/>
          </w:tcPr>
          <w:p w14:paraId="3C87C8D0" w14:textId="77777777" w:rsidR="00D61175" w:rsidRPr="00643528" w:rsidRDefault="00D61175" w:rsidP="0008747B">
            <w:pPr>
              <w:pStyle w:val="TableText"/>
              <w:jc w:val="right"/>
              <w:rPr>
                <w:lang w:eastAsia="en-AU"/>
              </w:rPr>
            </w:pPr>
            <w:r w:rsidRPr="00643528">
              <w:rPr>
                <w:lang w:eastAsia="en-AU"/>
              </w:rPr>
              <w:t>60,076</w:t>
            </w:r>
          </w:p>
        </w:tc>
        <w:tc>
          <w:tcPr>
            <w:tcW w:w="584" w:type="pct"/>
            <w:tcBorders>
              <w:top w:val="nil"/>
              <w:left w:val="nil"/>
              <w:bottom w:val="single" w:sz="4" w:space="0" w:color="auto"/>
              <w:right w:val="nil"/>
            </w:tcBorders>
            <w:shd w:val="clear" w:color="auto" w:fill="auto"/>
            <w:hideMark/>
          </w:tcPr>
          <w:p w14:paraId="402F9979" w14:textId="77777777" w:rsidR="00D61175" w:rsidRPr="00643528" w:rsidRDefault="00D61175" w:rsidP="0008747B">
            <w:pPr>
              <w:pStyle w:val="TableText"/>
              <w:jc w:val="right"/>
              <w:rPr>
                <w:lang w:eastAsia="en-AU"/>
              </w:rPr>
            </w:pPr>
            <w:r w:rsidRPr="00643528">
              <w:rPr>
                <w:lang w:eastAsia="en-AU"/>
              </w:rPr>
              <w:t>(31,159)</w:t>
            </w:r>
          </w:p>
        </w:tc>
        <w:tc>
          <w:tcPr>
            <w:tcW w:w="480" w:type="pct"/>
            <w:tcBorders>
              <w:top w:val="nil"/>
              <w:left w:val="nil"/>
              <w:bottom w:val="single" w:sz="4" w:space="0" w:color="auto"/>
              <w:right w:val="nil"/>
            </w:tcBorders>
            <w:shd w:val="clear" w:color="auto" w:fill="auto"/>
            <w:hideMark/>
          </w:tcPr>
          <w:p w14:paraId="7D1F7C7D" w14:textId="77777777" w:rsidR="00D61175" w:rsidRPr="00643528" w:rsidRDefault="00D61175" w:rsidP="0008747B">
            <w:pPr>
              <w:pStyle w:val="TableText"/>
              <w:jc w:val="right"/>
              <w:rPr>
                <w:lang w:eastAsia="en-AU"/>
              </w:rPr>
            </w:pPr>
            <w:r w:rsidRPr="00643528">
              <w:rPr>
                <w:lang w:eastAsia="en-AU"/>
              </w:rPr>
              <w:t>(52)</w:t>
            </w:r>
          </w:p>
        </w:tc>
        <w:tc>
          <w:tcPr>
            <w:tcW w:w="573" w:type="pct"/>
            <w:tcBorders>
              <w:top w:val="nil"/>
              <w:left w:val="nil"/>
              <w:bottom w:val="single" w:sz="4" w:space="0" w:color="auto"/>
              <w:right w:val="nil"/>
            </w:tcBorders>
            <w:shd w:val="clear" w:color="auto" w:fill="auto"/>
            <w:hideMark/>
          </w:tcPr>
          <w:p w14:paraId="3BF7B6D4" w14:textId="77777777" w:rsidR="00D61175" w:rsidRPr="00643528" w:rsidRDefault="00D61175" w:rsidP="0008747B">
            <w:pPr>
              <w:pStyle w:val="TableText"/>
              <w:jc w:val="right"/>
              <w:rPr>
                <w:lang w:eastAsia="en-AU"/>
              </w:rPr>
            </w:pPr>
            <w:r w:rsidRPr="00643528">
              <w:rPr>
                <w:lang w:eastAsia="en-AU"/>
              </w:rPr>
              <w:t>57,152</w:t>
            </w:r>
          </w:p>
        </w:tc>
      </w:tr>
      <w:tr w:rsidR="00D61175" w:rsidRPr="00643528" w14:paraId="0E754FEC" w14:textId="77777777" w:rsidTr="00962E4F">
        <w:tc>
          <w:tcPr>
            <w:tcW w:w="939" w:type="pct"/>
            <w:vMerge/>
            <w:tcBorders>
              <w:top w:val="nil"/>
              <w:left w:val="nil"/>
              <w:bottom w:val="single" w:sz="8" w:space="0" w:color="000000"/>
              <w:right w:val="nil"/>
            </w:tcBorders>
            <w:hideMark/>
          </w:tcPr>
          <w:p w14:paraId="5B486881"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03DE0624" w14:textId="364AB0D4" w:rsidR="00D61175" w:rsidRPr="00643528" w:rsidRDefault="00D61175" w:rsidP="00256F28">
            <w:pPr>
              <w:pStyle w:val="TableText"/>
              <w:rPr>
                <w:lang w:eastAsia="en-AU"/>
              </w:rPr>
            </w:pPr>
            <w:r w:rsidRPr="00643528">
              <w:rPr>
                <w:lang w:eastAsia="en-AU"/>
              </w:rPr>
              <w:t>T1 – Through</w:t>
            </w:r>
            <w:r w:rsidR="00186CF2">
              <w:rPr>
                <w:lang w:eastAsia="en-AU"/>
              </w:rPr>
              <w:t>p</w:t>
            </w:r>
            <w:r w:rsidRPr="00643528">
              <w:rPr>
                <w:lang w:eastAsia="en-AU"/>
              </w:rPr>
              <w:t xml:space="preserve">ut – </w:t>
            </w:r>
            <w:r w:rsidR="00186CF2">
              <w:rPr>
                <w:lang w:eastAsia="en-AU"/>
              </w:rPr>
              <w:t>p</w:t>
            </w:r>
            <w:r w:rsidRPr="00643528">
              <w:rPr>
                <w:lang w:eastAsia="en-AU"/>
              </w:rPr>
              <w:t>ig</w:t>
            </w:r>
          </w:p>
        </w:tc>
        <w:tc>
          <w:tcPr>
            <w:tcW w:w="573" w:type="pct"/>
            <w:tcBorders>
              <w:top w:val="nil"/>
              <w:left w:val="nil"/>
              <w:bottom w:val="single" w:sz="4" w:space="0" w:color="auto"/>
              <w:right w:val="nil"/>
            </w:tcBorders>
            <w:shd w:val="clear" w:color="auto" w:fill="auto"/>
            <w:hideMark/>
          </w:tcPr>
          <w:p w14:paraId="779E4E6B" w14:textId="77777777" w:rsidR="00D61175" w:rsidRPr="00643528" w:rsidRDefault="00D61175" w:rsidP="0008747B">
            <w:pPr>
              <w:pStyle w:val="TableText"/>
              <w:jc w:val="right"/>
              <w:rPr>
                <w:lang w:eastAsia="en-AU"/>
              </w:rPr>
            </w:pPr>
            <w:r w:rsidRPr="00643528">
              <w:rPr>
                <w:lang w:eastAsia="en-AU"/>
              </w:rPr>
              <w:t>109</w:t>
            </w:r>
          </w:p>
        </w:tc>
        <w:tc>
          <w:tcPr>
            <w:tcW w:w="573" w:type="pct"/>
            <w:tcBorders>
              <w:top w:val="nil"/>
              <w:left w:val="nil"/>
              <w:bottom w:val="single" w:sz="4" w:space="0" w:color="auto"/>
              <w:right w:val="nil"/>
            </w:tcBorders>
            <w:shd w:val="clear" w:color="auto" w:fill="auto"/>
            <w:hideMark/>
          </w:tcPr>
          <w:p w14:paraId="0F3359AF" w14:textId="77777777" w:rsidR="00D61175" w:rsidRPr="00643528" w:rsidRDefault="00D61175" w:rsidP="0008747B">
            <w:pPr>
              <w:pStyle w:val="TableText"/>
              <w:jc w:val="right"/>
              <w:rPr>
                <w:lang w:eastAsia="en-AU"/>
              </w:rPr>
            </w:pPr>
            <w:r w:rsidRPr="00643528">
              <w:rPr>
                <w:lang w:eastAsia="en-AU"/>
              </w:rPr>
              <w:t>0</w:t>
            </w:r>
          </w:p>
        </w:tc>
        <w:tc>
          <w:tcPr>
            <w:tcW w:w="584" w:type="pct"/>
            <w:tcBorders>
              <w:top w:val="nil"/>
              <w:left w:val="nil"/>
              <w:bottom w:val="single" w:sz="4" w:space="0" w:color="auto"/>
              <w:right w:val="nil"/>
            </w:tcBorders>
            <w:shd w:val="clear" w:color="auto" w:fill="auto"/>
            <w:hideMark/>
          </w:tcPr>
          <w:p w14:paraId="400436F6" w14:textId="77777777" w:rsidR="00D61175" w:rsidRPr="00643528" w:rsidRDefault="00D61175" w:rsidP="0008747B">
            <w:pPr>
              <w:pStyle w:val="TableText"/>
              <w:jc w:val="right"/>
              <w:rPr>
                <w:lang w:eastAsia="en-AU"/>
              </w:rPr>
            </w:pPr>
            <w:r w:rsidRPr="00643528">
              <w:rPr>
                <w:lang w:eastAsia="en-AU"/>
              </w:rPr>
              <w:t>109</w:t>
            </w:r>
          </w:p>
        </w:tc>
        <w:tc>
          <w:tcPr>
            <w:tcW w:w="480" w:type="pct"/>
            <w:tcBorders>
              <w:top w:val="nil"/>
              <w:left w:val="nil"/>
              <w:bottom w:val="single" w:sz="4" w:space="0" w:color="auto"/>
              <w:right w:val="nil"/>
            </w:tcBorders>
            <w:shd w:val="clear" w:color="auto" w:fill="auto"/>
            <w:hideMark/>
          </w:tcPr>
          <w:p w14:paraId="7CBD5188" w14:textId="6C2B08E9" w:rsidR="00D61175" w:rsidRPr="00643528" w:rsidRDefault="00AB45BF" w:rsidP="0008747B">
            <w:pPr>
              <w:pStyle w:val="TableText"/>
              <w:jc w:val="right"/>
              <w:rPr>
                <w:lang w:eastAsia="en-AU"/>
              </w:rPr>
            </w:pPr>
            <w:r w:rsidRPr="00643528">
              <w:rPr>
                <w:lang w:eastAsia="en-AU"/>
              </w:rPr>
              <w:t>—</w:t>
            </w:r>
          </w:p>
        </w:tc>
        <w:tc>
          <w:tcPr>
            <w:tcW w:w="573" w:type="pct"/>
            <w:tcBorders>
              <w:top w:val="nil"/>
              <w:left w:val="nil"/>
              <w:bottom w:val="single" w:sz="4" w:space="0" w:color="auto"/>
              <w:right w:val="nil"/>
            </w:tcBorders>
            <w:shd w:val="clear" w:color="auto" w:fill="auto"/>
            <w:hideMark/>
          </w:tcPr>
          <w:p w14:paraId="05EDCA44" w14:textId="77777777" w:rsidR="00D61175" w:rsidRPr="00643528" w:rsidRDefault="00D61175" w:rsidP="0008747B">
            <w:pPr>
              <w:pStyle w:val="TableText"/>
              <w:jc w:val="right"/>
              <w:rPr>
                <w:lang w:eastAsia="en-AU"/>
              </w:rPr>
            </w:pPr>
            <w:r w:rsidRPr="00643528">
              <w:rPr>
                <w:lang w:eastAsia="en-AU"/>
              </w:rPr>
              <w:t>9</w:t>
            </w:r>
          </w:p>
        </w:tc>
      </w:tr>
      <w:tr w:rsidR="00D61175" w:rsidRPr="00643528" w14:paraId="502D6939" w14:textId="77777777" w:rsidTr="00962E4F">
        <w:tc>
          <w:tcPr>
            <w:tcW w:w="939" w:type="pct"/>
            <w:vMerge/>
            <w:tcBorders>
              <w:top w:val="nil"/>
              <w:left w:val="nil"/>
              <w:bottom w:val="single" w:sz="8" w:space="0" w:color="000000"/>
              <w:right w:val="nil"/>
            </w:tcBorders>
            <w:hideMark/>
          </w:tcPr>
          <w:p w14:paraId="4587D392"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06CC62C8" w14:textId="087B023D" w:rsidR="00D61175" w:rsidRPr="00643528" w:rsidRDefault="00D61175" w:rsidP="00256F28">
            <w:pPr>
              <w:pStyle w:val="TableText"/>
              <w:rPr>
                <w:lang w:eastAsia="en-AU"/>
              </w:rPr>
            </w:pPr>
            <w:r w:rsidRPr="00643528">
              <w:rPr>
                <w:lang w:eastAsia="en-AU"/>
              </w:rPr>
              <w:t>T1 – Through</w:t>
            </w:r>
            <w:r w:rsidR="00186CF2">
              <w:rPr>
                <w:lang w:eastAsia="en-AU"/>
              </w:rPr>
              <w:t>p</w:t>
            </w:r>
            <w:r w:rsidRPr="00643528">
              <w:rPr>
                <w:lang w:eastAsia="en-AU"/>
              </w:rPr>
              <w:t xml:space="preserve">ut – </w:t>
            </w:r>
            <w:r w:rsidR="00186CF2">
              <w:rPr>
                <w:lang w:eastAsia="en-AU"/>
              </w:rPr>
              <w:t>g</w:t>
            </w:r>
            <w:r w:rsidRPr="00643528">
              <w:rPr>
                <w:lang w:eastAsia="en-AU"/>
              </w:rPr>
              <w:t xml:space="preserve">oat, </w:t>
            </w:r>
            <w:r w:rsidR="00186CF2">
              <w:rPr>
                <w:lang w:eastAsia="en-AU"/>
              </w:rPr>
              <w:t>l</w:t>
            </w:r>
            <w:r w:rsidRPr="00643528">
              <w:rPr>
                <w:lang w:eastAsia="en-AU"/>
              </w:rPr>
              <w:t xml:space="preserve">amb, </w:t>
            </w:r>
            <w:r w:rsidR="00186CF2">
              <w:rPr>
                <w:lang w:eastAsia="en-AU"/>
              </w:rPr>
              <w:t>s</w:t>
            </w:r>
            <w:r w:rsidRPr="00643528">
              <w:rPr>
                <w:lang w:eastAsia="en-AU"/>
              </w:rPr>
              <w:t>heep</w:t>
            </w:r>
          </w:p>
        </w:tc>
        <w:tc>
          <w:tcPr>
            <w:tcW w:w="573" w:type="pct"/>
            <w:tcBorders>
              <w:top w:val="nil"/>
              <w:left w:val="nil"/>
              <w:bottom w:val="single" w:sz="4" w:space="0" w:color="auto"/>
              <w:right w:val="nil"/>
            </w:tcBorders>
            <w:shd w:val="clear" w:color="auto" w:fill="auto"/>
            <w:hideMark/>
          </w:tcPr>
          <w:p w14:paraId="69F644DB" w14:textId="77777777" w:rsidR="00D61175" w:rsidRPr="00643528" w:rsidRDefault="00D61175" w:rsidP="0008747B">
            <w:pPr>
              <w:pStyle w:val="TableText"/>
              <w:jc w:val="right"/>
              <w:rPr>
                <w:lang w:eastAsia="en-AU"/>
              </w:rPr>
            </w:pPr>
            <w:r w:rsidRPr="00643528">
              <w:rPr>
                <w:lang w:eastAsia="en-AU"/>
              </w:rPr>
              <w:t>15,182</w:t>
            </w:r>
          </w:p>
        </w:tc>
        <w:tc>
          <w:tcPr>
            <w:tcW w:w="573" w:type="pct"/>
            <w:tcBorders>
              <w:top w:val="nil"/>
              <w:left w:val="nil"/>
              <w:bottom w:val="single" w:sz="4" w:space="0" w:color="auto"/>
              <w:right w:val="nil"/>
            </w:tcBorders>
            <w:shd w:val="clear" w:color="auto" w:fill="auto"/>
            <w:hideMark/>
          </w:tcPr>
          <w:p w14:paraId="27BC7A39" w14:textId="77777777" w:rsidR="00D61175" w:rsidRPr="00643528" w:rsidRDefault="00D61175" w:rsidP="0008747B">
            <w:pPr>
              <w:pStyle w:val="TableText"/>
              <w:jc w:val="right"/>
              <w:rPr>
                <w:lang w:eastAsia="en-AU"/>
              </w:rPr>
            </w:pPr>
            <w:r w:rsidRPr="00643528">
              <w:rPr>
                <w:lang w:eastAsia="en-AU"/>
              </w:rPr>
              <w:t>360,588</w:t>
            </w:r>
          </w:p>
        </w:tc>
        <w:tc>
          <w:tcPr>
            <w:tcW w:w="584" w:type="pct"/>
            <w:tcBorders>
              <w:top w:val="nil"/>
              <w:left w:val="nil"/>
              <w:bottom w:val="single" w:sz="4" w:space="0" w:color="auto"/>
              <w:right w:val="nil"/>
            </w:tcBorders>
            <w:shd w:val="clear" w:color="auto" w:fill="auto"/>
            <w:hideMark/>
          </w:tcPr>
          <w:p w14:paraId="04A9AF6F" w14:textId="77777777" w:rsidR="00D61175" w:rsidRPr="00643528" w:rsidRDefault="00D61175" w:rsidP="0008747B">
            <w:pPr>
              <w:pStyle w:val="TableText"/>
              <w:jc w:val="right"/>
              <w:rPr>
                <w:lang w:eastAsia="en-AU"/>
              </w:rPr>
            </w:pPr>
            <w:r w:rsidRPr="00643528">
              <w:rPr>
                <w:lang w:eastAsia="en-AU"/>
              </w:rPr>
              <w:t>(345,406)</w:t>
            </w:r>
          </w:p>
        </w:tc>
        <w:tc>
          <w:tcPr>
            <w:tcW w:w="480" w:type="pct"/>
            <w:tcBorders>
              <w:top w:val="nil"/>
              <w:left w:val="nil"/>
              <w:bottom w:val="single" w:sz="4" w:space="0" w:color="auto"/>
              <w:right w:val="nil"/>
            </w:tcBorders>
            <w:shd w:val="clear" w:color="auto" w:fill="auto"/>
            <w:hideMark/>
          </w:tcPr>
          <w:p w14:paraId="7CBBD6D0" w14:textId="77777777" w:rsidR="00D61175" w:rsidRPr="00643528" w:rsidRDefault="00D61175" w:rsidP="0008747B">
            <w:pPr>
              <w:pStyle w:val="TableText"/>
              <w:jc w:val="right"/>
              <w:rPr>
                <w:lang w:eastAsia="en-AU"/>
              </w:rPr>
            </w:pPr>
            <w:r w:rsidRPr="00643528">
              <w:rPr>
                <w:lang w:eastAsia="en-AU"/>
              </w:rPr>
              <w:t>(96)</w:t>
            </w:r>
          </w:p>
        </w:tc>
        <w:tc>
          <w:tcPr>
            <w:tcW w:w="573" w:type="pct"/>
            <w:tcBorders>
              <w:top w:val="nil"/>
              <w:left w:val="nil"/>
              <w:bottom w:val="single" w:sz="4" w:space="0" w:color="auto"/>
              <w:right w:val="nil"/>
            </w:tcBorders>
            <w:shd w:val="clear" w:color="auto" w:fill="auto"/>
            <w:hideMark/>
          </w:tcPr>
          <w:p w14:paraId="4D2CF12F" w14:textId="77777777" w:rsidR="00D61175" w:rsidRPr="00643528" w:rsidRDefault="00D61175" w:rsidP="0008747B">
            <w:pPr>
              <w:pStyle w:val="TableText"/>
              <w:jc w:val="right"/>
              <w:rPr>
                <w:lang w:eastAsia="en-AU"/>
              </w:rPr>
            </w:pPr>
            <w:r w:rsidRPr="00643528">
              <w:rPr>
                <w:lang w:eastAsia="en-AU"/>
              </w:rPr>
              <w:t>250,871</w:t>
            </w:r>
          </w:p>
        </w:tc>
      </w:tr>
      <w:tr w:rsidR="00D61175" w:rsidRPr="00643528" w14:paraId="6808B22F" w14:textId="77777777" w:rsidTr="00962E4F">
        <w:tc>
          <w:tcPr>
            <w:tcW w:w="939" w:type="pct"/>
            <w:vMerge/>
            <w:tcBorders>
              <w:top w:val="nil"/>
              <w:left w:val="nil"/>
              <w:bottom w:val="single" w:sz="8" w:space="0" w:color="000000"/>
              <w:right w:val="nil"/>
            </w:tcBorders>
            <w:hideMark/>
          </w:tcPr>
          <w:p w14:paraId="792A7EAE"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6E4AC448" w14:textId="4C14C9DA" w:rsidR="00D61175" w:rsidRPr="00643528" w:rsidRDefault="00D61175" w:rsidP="00256F28">
            <w:pPr>
              <w:pStyle w:val="TableText"/>
              <w:rPr>
                <w:lang w:eastAsia="en-AU"/>
              </w:rPr>
            </w:pPr>
            <w:r w:rsidRPr="00643528">
              <w:rPr>
                <w:lang w:eastAsia="en-AU"/>
              </w:rPr>
              <w:t>T1 – Through</w:t>
            </w:r>
            <w:r w:rsidR="00186CF2">
              <w:rPr>
                <w:lang w:eastAsia="en-AU"/>
              </w:rPr>
              <w:t>p</w:t>
            </w:r>
            <w:r w:rsidRPr="00643528">
              <w:rPr>
                <w:lang w:eastAsia="en-AU"/>
              </w:rPr>
              <w:t xml:space="preserve">ut – </w:t>
            </w:r>
            <w:r w:rsidR="00186CF2">
              <w:rPr>
                <w:lang w:eastAsia="en-AU"/>
              </w:rPr>
              <w:t>d</w:t>
            </w:r>
            <w:r w:rsidRPr="00643528">
              <w:rPr>
                <w:lang w:eastAsia="en-AU"/>
              </w:rPr>
              <w:t xml:space="preserve">eer, </w:t>
            </w:r>
            <w:r w:rsidR="00186CF2">
              <w:rPr>
                <w:lang w:eastAsia="en-AU"/>
              </w:rPr>
              <w:t>g</w:t>
            </w:r>
            <w:r w:rsidRPr="00643528">
              <w:rPr>
                <w:lang w:eastAsia="en-AU"/>
              </w:rPr>
              <w:t xml:space="preserve">ame </w:t>
            </w:r>
            <w:r w:rsidR="00186CF2">
              <w:rPr>
                <w:lang w:eastAsia="en-AU"/>
              </w:rPr>
              <w:t>d</w:t>
            </w:r>
            <w:r w:rsidRPr="00643528">
              <w:rPr>
                <w:lang w:eastAsia="en-AU"/>
              </w:rPr>
              <w:t>eer</w:t>
            </w:r>
          </w:p>
        </w:tc>
        <w:tc>
          <w:tcPr>
            <w:tcW w:w="573" w:type="pct"/>
            <w:tcBorders>
              <w:top w:val="nil"/>
              <w:left w:val="nil"/>
              <w:bottom w:val="single" w:sz="4" w:space="0" w:color="auto"/>
              <w:right w:val="nil"/>
            </w:tcBorders>
            <w:shd w:val="clear" w:color="auto" w:fill="auto"/>
            <w:hideMark/>
          </w:tcPr>
          <w:p w14:paraId="4558EDB9" w14:textId="77777777" w:rsidR="00D61175" w:rsidRPr="00643528" w:rsidRDefault="00D61175" w:rsidP="0008747B">
            <w:pPr>
              <w:pStyle w:val="TableText"/>
              <w:jc w:val="right"/>
              <w:rPr>
                <w:lang w:eastAsia="en-AU"/>
              </w:rPr>
            </w:pPr>
            <w:r w:rsidRPr="00643528">
              <w:rPr>
                <w:lang w:eastAsia="en-AU"/>
              </w:rPr>
              <w:t>164</w:t>
            </w:r>
          </w:p>
        </w:tc>
        <w:tc>
          <w:tcPr>
            <w:tcW w:w="573" w:type="pct"/>
            <w:tcBorders>
              <w:top w:val="nil"/>
              <w:left w:val="nil"/>
              <w:bottom w:val="single" w:sz="4" w:space="0" w:color="auto"/>
              <w:right w:val="nil"/>
            </w:tcBorders>
            <w:shd w:val="clear" w:color="auto" w:fill="auto"/>
            <w:hideMark/>
          </w:tcPr>
          <w:p w14:paraId="7FA4BDE0" w14:textId="77777777" w:rsidR="00D61175" w:rsidRPr="00643528" w:rsidRDefault="00D61175" w:rsidP="0008747B">
            <w:pPr>
              <w:pStyle w:val="TableText"/>
              <w:jc w:val="right"/>
              <w:rPr>
                <w:lang w:eastAsia="en-AU"/>
              </w:rPr>
            </w:pPr>
            <w:r w:rsidRPr="00643528">
              <w:rPr>
                <w:lang w:eastAsia="en-AU"/>
              </w:rPr>
              <w:t>6</w:t>
            </w:r>
          </w:p>
        </w:tc>
        <w:tc>
          <w:tcPr>
            <w:tcW w:w="584" w:type="pct"/>
            <w:tcBorders>
              <w:top w:val="nil"/>
              <w:left w:val="nil"/>
              <w:bottom w:val="single" w:sz="4" w:space="0" w:color="auto"/>
              <w:right w:val="nil"/>
            </w:tcBorders>
            <w:shd w:val="clear" w:color="auto" w:fill="auto"/>
            <w:hideMark/>
          </w:tcPr>
          <w:p w14:paraId="6E153B40" w14:textId="77777777" w:rsidR="00D61175" w:rsidRPr="00643528" w:rsidRDefault="00D61175" w:rsidP="0008747B">
            <w:pPr>
              <w:pStyle w:val="TableText"/>
              <w:jc w:val="right"/>
              <w:rPr>
                <w:lang w:eastAsia="en-AU"/>
              </w:rPr>
            </w:pPr>
            <w:r w:rsidRPr="00643528">
              <w:rPr>
                <w:lang w:eastAsia="en-AU"/>
              </w:rPr>
              <w:t>158</w:t>
            </w:r>
          </w:p>
        </w:tc>
        <w:tc>
          <w:tcPr>
            <w:tcW w:w="480" w:type="pct"/>
            <w:tcBorders>
              <w:top w:val="nil"/>
              <w:left w:val="nil"/>
              <w:bottom w:val="single" w:sz="4" w:space="0" w:color="auto"/>
              <w:right w:val="nil"/>
            </w:tcBorders>
            <w:shd w:val="clear" w:color="auto" w:fill="auto"/>
            <w:hideMark/>
          </w:tcPr>
          <w:p w14:paraId="3F8EF046" w14:textId="77777777" w:rsidR="00D61175" w:rsidRPr="00643528" w:rsidRDefault="00D61175" w:rsidP="0008747B">
            <w:pPr>
              <w:pStyle w:val="TableText"/>
              <w:jc w:val="right"/>
              <w:rPr>
                <w:lang w:eastAsia="en-AU"/>
              </w:rPr>
            </w:pPr>
            <w:r w:rsidRPr="00643528">
              <w:rPr>
                <w:lang w:eastAsia="en-AU"/>
              </w:rPr>
              <w:t>&gt;100</w:t>
            </w:r>
          </w:p>
        </w:tc>
        <w:tc>
          <w:tcPr>
            <w:tcW w:w="573" w:type="pct"/>
            <w:tcBorders>
              <w:top w:val="nil"/>
              <w:left w:val="nil"/>
              <w:bottom w:val="single" w:sz="4" w:space="0" w:color="auto"/>
              <w:right w:val="nil"/>
            </w:tcBorders>
            <w:shd w:val="clear" w:color="auto" w:fill="auto"/>
            <w:hideMark/>
          </w:tcPr>
          <w:p w14:paraId="69A4882A" w14:textId="77777777" w:rsidR="00D61175" w:rsidRPr="00643528" w:rsidRDefault="00D61175" w:rsidP="0008747B">
            <w:pPr>
              <w:pStyle w:val="TableText"/>
              <w:jc w:val="right"/>
              <w:rPr>
                <w:lang w:eastAsia="en-AU"/>
              </w:rPr>
            </w:pPr>
            <w:r w:rsidRPr="00643528">
              <w:rPr>
                <w:lang w:eastAsia="en-AU"/>
              </w:rPr>
              <w:t>124</w:t>
            </w:r>
          </w:p>
        </w:tc>
      </w:tr>
      <w:tr w:rsidR="00D61175" w:rsidRPr="00643528" w14:paraId="42C9EF26" w14:textId="77777777" w:rsidTr="00962E4F">
        <w:tc>
          <w:tcPr>
            <w:tcW w:w="939" w:type="pct"/>
            <w:vMerge/>
            <w:tcBorders>
              <w:top w:val="nil"/>
              <w:left w:val="nil"/>
              <w:bottom w:val="single" w:sz="8" w:space="0" w:color="000000"/>
              <w:right w:val="nil"/>
            </w:tcBorders>
            <w:hideMark/>
          </w:tcPr>
          <w:p w14:paraId="30A8A9BD"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51848A61" w14:textId="76FC1570" w:rsidR="00D61175" w:rsidRPr="00643528" w:rsidRDefault="00D61175" w:rsidP="00256F28">
            <w:pPr>
              <w:pStyle w:val="TableText"/>
              <w:rPr>
                <w:lang w:eastAsia="en-AU"/>
              </w:rPr>
            </w:pPr>
            <w:r w:rsidRPr="00643528">
              <w:rPr>
                <w:lang w:eastAsia="en-AU"/>
              </w:rPr>
              <w:t>T1 – Through</w:t>
            </w:r>
            <w:r w:rsidR="00186CF2">
              <w:rPr>
                <w:lang w:eastAsia="en-AU"/>
              </w:rPr>
              <w:t>p</w:t>
            </w:r>
            <w:r w:rsidRPr="00643528">
              <w:rPr>
                <w:lang w:eastAsia="en-AU"/>
              </w:rPr>
              <w:t xml:space="preserve">ut – </w:t>
            </w:r>
            <w:r w:rsidR="00186CF2">
              <w:rPr>
                <w:lang w:eastAsia="en-AU"/>
              </w:rPr>
              <w:t>e</w:t>
            </w:r>
            <w:r w:rsidRPr="00643528">
              <w:rPr>
                <w:lang w:eastAsia="en-AU"/>
              </w:rPr>
              <w:t xml:space="preserve">mu, </w:t>
            </w:r>
            <w:r w:rsidR="00186CF2">
              <w:rPr>
                <w:lang w:eastAsia="en-AU"/>
              </w:rPr>
              <w:t>o</w:t>
            </w:r>
            <w:r w:rsidRPr="00643528">
              <w:rPr>
                <w:lang w:eastAsia="en-AU"/>
              </w:rPr>
              <w:t>strich</w:t>
            </w:r>
          </w:p>
        </w:tc>
        <w:tc>
          <w:tcPr>
            <w:tcW w:w="573" w:type="pct"/>
            <w:tcBorders>
              <w:top w:val="nil"/>
              <w:left w:val="nil"/>
              <w:bottom w:val="single" w:sz="4" w:space="0" w:color="auto"/>
              <w:right w:val="nil"/>
            </w:tcBorders>
            <w:shd w:val="clear" w:color="auto" w:fill="auto"/>
            <w:hideMark/>
          </w:tcPr>
          <w:p w14:paraId="64BD9975" w14:textId="77777777" w:rsidR="00D61175" w:rsidRPr="00643528" w:rsidRDefault="00D61175" w:rsidP="0008747B">
            <w:pPr>
              <w:pStyle w:val="TableText"/>
              <w:jc w:val="right"/>
              <w:rPr>
                <w:lang w:eastAsia="en-AU"/>
              </w:rPr>
            </w:pPr>
            <w:r w:rsidRPr="00643528">
              <w:rPr>
                <w:lang w:eastAsia="en-AU"/>
              </w:rPr>
              <w:t>0</w:t>
            </w:r>
          </w:p>
        </w:tc>
        <w:tc>
          <w:tcPr>
            <w:tcW w:w="573" w:type="pct"/>
            <w:tcBorders>
              <w:top w:val="nil"/>
              <w:left w:val="nil"/>
              <w:bottom w:val="single" w:sz="4" w:space="0" w:color="auto"/>
              <w:right w:val="nil"/>
            </w:tcBorders>
            <w:shd w:val="clear" w:color="auto" w:fill="auto"/>
            <w:hideMark/>
          </w:tcPr>
          <w:p w14:paraId="58B4FEC2" w14:textId="77777777" w:rsidR="00D61175" w:rsidRPr="00643528" w:rsidRDefault="00D61175" w:rsidP="0008747B">
            <w:pPr>
              <w:pStyle w:val="TableText"/>
              <w:jc w:val="right"/>
              <w:rPr>
                <w:lang w:eastAsia="en-AU"/>
              </w:rPr>
            </w:pPr>
            <w:r w:rsidRPr="00643528">
              <w:rPr>
                <w:lang w:eastAsia="en-AU"/>
              </w:rPr>
              <w:t>0</w:t>
            </w:r>
          </w:p>
        </w:tc>
        <w:tc>
          <w:tcPr>
            <w:tcW w:w="584" w:type="pct"/>
            <w:tcBorders>
              <w:top w:val="nil"/>
              <w:left w:val="nil"/>
              <w:bottom w:val="single" w:sz="4" w:space="0" w:color="auto"/>
              <w:right w:val="nil"/>
            </w:tcBorders>
            <w:shd w:val="clear" w:color="auto" w:fill="auto"/>
            <w:hideMark/>
          </w:tcPr>
          <w:p w14:paraId="329E4FD7" w14:textId="3FC6C5D3" w:rsidR="00D61175" w:rsidRPr="00643528" w:rsidRDefault="00AB45BF" w:rsidP="0008747B">
            <w:pPr>
              <w:pStyle w:val="TableText"/>
              <w:jc w:val="right"/>
              <w:rPr>
                <w:lang w:eastAsia="en-AU"/>
              </w:rPr>
            </w:pPr>
            <w:r w:rsidRPr="00643528">
              <w:rPr>
                <w:lang w:eastAsia="en-AU"/>
              </w:rPr>
              <w:t>—</w:t>
            </w:r>
          </w:p>
        </w:tc>
        <w:tc>
          <w:tcPr>
            <w:tcW w:w="480" w:type="pct"/>
            <w:tcBorders>
              <w:top w:val="nil"/>
              <w:left w:val="nil"/>
              <w:bottom w:val="single" w:sz="4" w:space="0" w:color="auto"/>
              <w:right w:val="nil"/>
            </w:tcBorders>
            <w:shd w:val="clear" w:color="auto" w:fill="auto"/>
            <w:hideMark/>
          </w:tcPr>
          <w:p w14:paraId="7E69AC24" w14:textId="62371155" w:rsidR="00D61175" w:rsidRPr="00643528" w:rsidRDefault="00AB45BF" w:rsidP="0008747B">
            <w:pPr>
              <w:pStyle w:val="TableText"/>
              <w:jc w:val="right"/>
              <w:rPr>
                <w:lang w:eastAsia="en-AU"/>
              </w:rPr>
            </w:pPr>
            <w:r w:rsidRPr="00643528">
              <w:rPr>
                <w:lang w:eastAsia="en-AU"/>
              </w:rPr>
              <w:t>—</w:t>
            </w:r>
          </w:p>
        </w:tc>
        <w:tc>
          <w:tcPr>
            <w:tcW w:w="573" w:type="pct"/>
            <w:tcBorders>
              <w:top w:val="nil"/>
              <w:left w:val="nil"/>
              <w:bottom w:val="single" w:sz="4" w:space="0" w:color="auto"/>
              <w:right w:val="nil"/>
            </w:tcBorders>
            <w:shd w:val="clear" w:color="auto" w:fill="auto"/>
            <w:hideMark/>
          </w:tcPr>
          <w:p w14:paraId="36FDD465" w14:textId="77777777" w:rsidR="00D61175" w:rsidRPr="00643528" w:rsidRDefault="00D61175" w:rsidP="0008747B">
            <w:pPr>
              <w:pStyle w:val="TableText"/>
              <w:jc w:val="right"/>
              <w:rPr>
                <w:lang w:eastAsia="en-AU"/>
              </w:rPr>
            </w:pPr>
            <w:r w:rsidRPr="00643528">
              <w:rPr>
                <w:lang w:eastAsia="en-AU"/>
              </w:rPr>
              <w:t>0</w:t>
            </w:r>
          </w:p>
        </w:tc>
      </w:tr>
      <w:tr w:rsidR="00D61175" w:rsidRPr="00643528" w14:paraId="74576525" w14:textId="77777777" w:rsidTr="00962E4F">
        <w:tc>
          <w:tcPr>
            <w:tcW w:w="939" w:type="pct"/>
            <w:vMerge/>
            <w:tcBorders>
              <w:top w:val="nil"/>
              <w:left w:val="nil"/>
              <w:bottom w:val="single" w:sz="8" w:space="0" w:color="000000"/>
              <w:right w:val="nil"/>
            </w:tcBorders>
            <w:hideMark/>
          </w:tcPr>
          <w:p w14:paraId="57E85115"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067B6906" w14:textId="6E86B59C" w:rsidR="00D61175" w:rsidRPr="00643528" w:rsidRDefault="00D61175" w:rsidP="00256F28">
            <w:pPr>
              <w:pStyle w:val="TableText"/>
              <w:rPr>
                <w:lang w:eastAsia="en-AU"/>
              </w:rPr>
            </w:pPr>
            <w:r w:rsidRPr="00643528">
              <w:rPr>
                <w:lang w:eastAsia="en-AU"/>
              </w:rPr>
              <w:t>T1 – Through</w:t>
            </w:r>
            <w:r w:rsidR="00186CF2">
              <w:rPr>
                <w:lang w:eastAsia="en-AU"/>
              </w:rPr>
              <w:t>p</w:t>
            </w:r>
            <w:r w:rsidRPr="00643528">
              <w:rPr>
                <w:lang w:eastAsia="en-AU"/>
              </w:rPr>
              <w:t xml:space="preserve">ut – </w:t>
            </w:r>
            <w:r w:rsidR="00186CF2">
              <w:rPr>
                <w:lang w:eastAsia="en-AU"/>
              </w:rPr>
              <w:t>c</w:t>
            </w:r>
            <w:r w:rsidRPr="00643528">
              <w:rPr>
                <w:lang w:eastAsia="en-AU"/>
              </w:rPr>
              <w:t>alf</w:t>
            </w:r>
          </w:p>
        </w:tc>
        <w:tc>
          <w:tcPr>
            <w:tcW w:w="573" w:type="pct"/>
            <w:tcBorders>
              <w:top w:val="nil"/>
              <w:left w:val="nil"/>
              <w:bottom w:val="single" w:sz="4" w:space="0" w:color="auto"/>
              <w:right w:val="nil"/>
            </w:tcBorders>
            <w:shd w:val="clear" w:color="auto" w:fill="auto"/>
            <w:hideMark/>
          </w:tcPr>
          <w:p w14:paraId="4778CF37" w14:textId="77777777" w:rsidR="00D61175" w:rsidRPr="00643528" w:rsidRDefault="00D61175" w:rsidP="0008747B">
            <w:pPr>
              <w:pStyle w:val="TableText"/>
              <w:jc w:val="right"/>
              <w:rPr>
                <w:lang w:eastAsia="en-AU"/>
              </w:rPr>
            </w:pPr>
            <w:r w:rsidRPr="00643528">
              <w:rPr>
                <w:lang w:eastAsia="en-AU"/>
              </w:rPr>
              <w:t>9</w:t>
            </w:r>
          </w:p>
        </w:tc>
        <w:tc>
          <w:tcPr>
            <w:tcW w:w="573" w:type="pct"/>
            <w:tcBorders>
              <w:top w:val="nil"/>
              <w:left w:val="nil"/>
              <w:bottom w:val="single" w:sz="4" w:space="0" w:color="auto"/>
              <w:right w:val="nil"/>
            </w:tcBorders>
            <w:shd w:val="clear" w:color="auto" w:fill="auto"/>
            <w:hideMark/>
          </w:tcPr>
          <w:p w14:paraId="00B24820" w14:textId="77777777" w:rsidR="00D61175" w:rsidRPr="00643528" w:rsidRDefault="00D61175" w:rsidP="0008747B">
            <w:pPr>
              <w:pStyle w:val="TableText"/>
              <w:jc w:val="right"/>
              <w:rPr>
                <w:lang w:eastAsia="en-AU"/>
              </w:rPr>
            </w:pPr>
            <w:r w:rsidRPr="00643528">
              <w:rPr>
                <w:lang w:eastAsia="en-AU"/>
              </w:rPr>
              <w:t>269</w:t>
            </w:r>
          </w:p>
        </w:tc>
        <w:tc>
          <w:tcPr>
            <w:tcW w:w="584" w:type="pct"/>
            <w:tcBorders>
              <w:top w:val="nil"/>
              <w:left w:val="nil"/>
              <w:bottom w:val="single" w:sz="4" w:space="0" w:color="auto"/>
              <w:right w:val="nil"/>
            </w:tcBorders>
            <w:shd w:val="clear" w:color="auto" w:fill="auto"/>
            <w:hideMark/>
          </w:tcPr>
          <w:p w14:paraId="5285B09E" w14:textId="77777777" w:rsidR="00D61175" w:rsidRPr="00643528" w:rsidRDefault="00D61175" w:rsidP="0008747B">
            <w:pPr>
              <w:pStyle w:val="TableText"/>
              <w:jc w:val="right"/>
              <w:rPr>
                <w:lang w:eastAsia="en-AU"/>
              </w:rPr>
            </w:pPr>
            <w:r w:rsidRPr="00643528">
              <w:rPr>
                <w:lang w:eastAsia="en-AU"/>
              </w:rPr>
              <w:t>(260)</w:t>
            </w:r>
          </w:p>
        </w:tc>
        <w:tc>
          <w:tcPr>
            <w:tcW w:w="480" w:type="pct"/>
            <w:tcBorders>
              <w:top w:val="nil"/>
              <w:left w:val="nil"/>
              <w:bottom w:val="single" w:sz="4" w:space="0" w:color="auto"/>
              <w:right w:val="nil"/>
            </w:tcBorders>
            <w:shd w:val="clear" w:color="auto" w:fill="auto"/>
            <w:hideMark/>
          </w:tcPr>
          <w:p w14:paraId="6DD571B1" w14:textId="77777777" w:rsidR="00D61175" w:rsidRPr="00643528" w:rsidRDefault="00D61175" w:rsidP="0008747B">
            <w:pPr>
              <w:pStyle w:val="TableText"/>
              <w:jc w:val="right"/>
              <w:rPr>
                <w:lang w:eastAsia="en-AU"/>
              </w:rPr>
            </w:pPr>
            <w:r w:rsidRPr="00643528">
              <w:rPr>
                <w:lang w:eastAsia="en-AU"/>
              </w:rPr>
              <w:t>(97)</w:t>
            </w:r>
          </w:p>
        </w:tc>
        <w:tc>
          <w:tcPr>
            <w:tcW w:w="573" w:type="pct"/>
            <w:tcBorders>
              <w:top w:val="nil"/>
              <w:left w:val="nil"/>
              <w:bottom w:val="single" w:sz="4" w:space="0" w:color="auto"/>
              <w:right w:val="nil"/>
            </w:tcBorders>
            <w:shd w:val="clear" w:color="auto" w:fill="auto"/>
            <w:hideMark/>
          </w:tcPr>
          <w:p w14:paraId="307785DE" w14:textId="77777777" w:rsidR="00D61175" w:rsidRPr="00643528" w:rsidRDefault="00D61175" w:rsidP="0008747B">
            <w:pPr>
              <w:pStyle w:val="TableText"/>
              <w:jc w:val="right"/>
              <w:rPr>
                <w:lang w:eastAsia="en-AU"/>
              </w:rPr>
            </w:pPr>
            <w:r w:rsidRPr="00643528">
              <w:rPr>
                <w:lang w:eastAsia="en-AU"/>
              </w:rPr>
              <w:t>0</w:t>
            </w:r>
          </w:p>
        </w:tc>
      </w:tr>
      <w:tr w:rsidR="00D61175" w:rsidRPr="00643528" w14:paraId="227A79F0" w14:textId="77777777" w:rsidTr="00962E4F">
        <w:tc>
          <w:tcPr>
            <w:tcW w:w="939" w:type="pct"/>
            <w:vMerge/>
            <w:tcBorders>
              <w:top w:val="nil"/>
              <w:left w:val="nil"/>
              <w:bottom w:val="single" w:sz="8" w:space="0" w:color="000000"/>
              <w:right w:val="nil"/>
            </w:tcBorders>
            <w:hideMark/>
          </w:tcPr>
          <w:p w14:paraId="57D031EE"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69184A1B" w14:textId="63632807" w:rsidR="00D61175" w:rsidRPr="00643528" w:rsidRDefault="00D61175" w:rsidP="00256F28">
            <w:pPr>
              <w:pStyle w:val="TableText"/>
              <w:rPr>
                <w:lang w:eastAsia="en-AU"/>
              </w:rPr>
            </w:pPr>
            <w:r w:rsidRPr="00643528">
              <w:rPr>
                <w:lang w:eastAsia="en-AU"/>
              </w:rPr>
              <w:t>T1 – Through</w:t>
            </w:r>
            <w:r w:rsidR="00186CF2">
              <w:rPr>
                <w:lang w:eastAsia="en-AU"/>
              </w:rPr>
              <w:t>p</w:t>
            </w:r>
            <w:r w:rsidRPr="00643528">
              <w:rPr>
                <w:lang w:eastAsia="en-AU"/>
              </w:rPr>
              <w:t xml:space="preserve">ut – </w:t>
            </w:r>
            <w:r w:rsidR="00186CF2">
              <w:rPr>
                <w:lang w:eastAsia="en-AU"/>
              </w:rPr>
              <w:t>k</w:t>
            </w:r>
            <w:r w:rsidRPr="00643528">
              <w:rPr>
                <w:lang w:eastAsia="en-AU"/>
              </w:rPr>
              <w:t xml:space="preserve">angaroo, </w:t>
            </w:r>
            <w:r w:rsidR="00186CF2">
              <w:rPr>
                <w:lang w:eastAsia="en-AU"/>
              </w:rPr>
              <w:t>w</w:t>
            </w:r>
            <w:r w:rsidRPr="00643528">
              <w:rPr>
                <w:lang w:eastAsia="en-AU"/>
              </w:rPr>
              <w:t xml:space="preserve">ild </w:t>
            </w:r>
            <w:r w:rsidR="00186CF2">
              <w:rPr>
                <w:lang w:eastAsia="en-AU"/>
              </w:rPr>
              <w:t>b</w:t>
            </w:r>
            <w:r w:rsidRPr="00643528">
              <w:rPr>
                <w:lang w:eastAsia="en-AU"/>
              </w:rPr>
              <w:t>oar</w:t>
            </w:r>
          </w:p>
        </w:tc>
        <w:tc>
          <w:tcPr>
            <w:tcW w:w="573" w:type="pct"/>
            <w:tcBorders>
              <w:top w:val="nil"/>
              <w:left w:val="nil"/>
              <w:bottom w:val="single" w:sz="4" w:space="0" w:color="auto"/>
              <w:right w:val="nil"/>
            </w:tcBorders>
            <w:shd w:val="clear" w:color="auto" w:fill="auto"/>
            <w:hideMark/>
          </w:tcPr>
          <w:p w14:paraId="63DFD50F" w14:textId="77777777" w:rsidR="00D61175" w:rsidRPr="00643528" w:rsidRDefault="00D61175" w:rsidP="0008747B">
            <w:pPr>
              <w:pStyle w:val="TableText"/>
              <w:jc w:val="right"/>
              <w:rPr>
                <w:lang w:eastAsia="en-AU"/>
              </w:rPr>
            </w:pPr>
            <w:r w:rsidRPr="00643528">
              <w:rPr>
                <w:lang w:eastAsia="en-AU"/>
              </w:rPr>
              <w:t>1,034</w:t>
            </w:r>
          </w:p>
        </w:tc>
        <w:tc>
          <w:tcPr>
            <w:tcW w:w="573" w:type="pct"/>
            <w:tcBorders>
              <w:top w:val="nil"/>
              <w:left w:val="nil"/>
              <w:bottom w:val="single" w:sz="4" w:space="0" w:color="auto"/>
              <w:right w:val="nil"/>
            </w:tcBorders>
            <w:shd w:val="clear" w:color="auto" w:fill="auto"/>
            <w:hideMark/>
          </w:tcPr>
          <w:p w14:paraId="1CFD85D4" w14:textId="77777777" w:rsidR="00D61175" w:rsidRPr="00643528" w:rsidRDefault="00D61175" w:rsidP="0008747B">
            <w:pPr>
              <w:pStyle w:val="TableText"/>
              <w:jc w:val="right"/>
              <w:rPr>
                <w:lang w:eastAsia="en-AU"/>
              </w:rPr>
            </w:pPr>
            <w:r w:rsidRPr="00643528">
              <w:rPr>
                <w:lang w:eastAsia="en-AU"/>
              </w:rPr>
              <w:t>3,224</w:t>
            </w:r>
          </w:p>
        </w:tc>
        <w:tc>
          <w:tcPr>
            <w:tcW w:w="584" w:type="pct"/>
            <w:tcBorders>
              <w:top w:val="nil"/>
              <w:left w:val="nil"/>
              <w:bottom w:val="single" w:sz="4" w:space="0" w:color="auto"/>
              <w:right w:val="nil"/>
            </w:tcBorders>
            <w:shd w:val="clear" w:color="auto" w:fill="auto"/>
            <w:hideMark/>
          </w:tcPr>
          <w:p w14:paraId="4503E6A3" w14:textId="77777777" w:rsidR="00D61175" w:rsidRPr="00643528" w:rsidRDefault="00D61175" w:rsidP="0008747B">
            <w:pPr>
              <w:pStyle w:val="TableText"/>
              <w:jc w:val="right"/>
              <w:rPr>
                <w:lang w:eastAsia="en-AU"/>
              </w:rPr>
            </w:pPr>
            <w:r w:rsidRPr="00643528">
              <w:rPr>
                <w:lang w:eastAsia="en-AU"/>
              </w:rPr>
              <w:t>(2,190)</w:t>
            </w:r>
          </w:p>
        </w:tc>
        <w:tc>
          <w:tcPr>
            <w:tcW w:w="480" w:type="pct"/>
            <w:tcBorders>
              <w:top w:val="nil"/>
              <w:left w:val="nil"/>
              <w:bottom w:val="single" w:sz="4" w:space="0" w:color="auto"/>
              <w:right w:val="nil"/>
            </w:tcBorders>
            <w:shd w:val="clear" w:color="auto" w:fill="auto"/>
            <w:hideMark/>
          </w:tcPr>
          <w:p w14:paraId="41B3E623" w14:textId="77777777" w:rsidR="00D61175" w:rsidRPr="00643528" w:rsidRDefault="00D61175" w:rsidP="0008747B">
            <w:pPr>
              <w:pStyle w:val="TableText"/>
              <w:jc w:val="right"/>
              <w:rPr>
                <w:lang w:eastAsia="en-AU"/>
              </w:rPr>
            </w:pPr>
            <w:r w:rsidRPr="00643528">
              <w:rPr>
                <w:lang w:eastAsia="en-AU"/>
              </w:rPr>
              <w:t>(68)</w:t>
            </w:r>
          </w:p>
        </w:tc>
        <w:tc>
          <w:tcPr>
            <w:tcW w:w="573" w:type="pct"/>
            <w:tcBorders>
              <w:top w:val="nil"/>
              <w:left w:val="nil"/>
              <w:bottom w:val="single" w:sz="4" w:space="0" w:color="auto"/>
              <w:right w:val="nil"/>
            </w:tcBorders>
            <w:shd w:val="clear" w:color="auto" w:fill="auto"/>
            <w:hideMark/>
          </w:tcPr>
          <w:p w14:paraId="2D90AE46" w14:textId="77777777" w:rsidR="00D61175" w:rsidRPr="00643528" w:rsidRDefault="00D61175" w:rsidP="0008747B">
            <w:pPr>
              <w:pStyle w:val="TableText"/>
              <w:jc w:val="right"/>
              <w:rPr>
                <w:lang w:eastAsia="en-AU"/>
              </w:rPr>
            </w:pPr>
            <w:r w:rsidRPr="00643528">
              <w:rPr>
                <w:lang w:eastAsia="en-AU"/>
              </w:rPr>
              <w:t>0</w:t>
            </w:r>
          </w:p>
        </w:tc>
      </w:tr>
      <w:tr w:rsidR="00D61175" w:rsidRPr="00643528" w14:paraId="7BEEEBB7" w14:textId="77777777" w:rsidTr="00962E4F">
        <w:tc>
          <w:tcPr>
            <w:tcW w:w="939" w:type="pct"/>
            <w:vMerge/>
            <w:tcBorders>
              <w:top w:val="nil"/>
              <w:left w:val="nil"/>
              <w:bottom w:val="single" w:sz="8" w:space="0" w:color="000000"/>
              <w:right w:val="nil"/>
            </w:tcBorders>
            <w:hideMark/>
          </w:tcPr>
          <w:p w14:paraId="4FA4C31B" w14:textId="77777777" w:rsidR="00D61175" w:rsidRPr="00643528" w:rsidRDefault="00D61175" w:rsidP="00256F28">
            <w:pPr>
              <w:pStyle w:val="TableText"/>
              <w:rPr>
                <w:lang w:eastAsia="en-AU"/>
              </w:rPr>
            </w:pPr>
          </w:p>
        </w:tc>
        <w:tc>
          <w:tcPr>
            <w:tcW w:w="1278" w:type="pct"/>
            <w:tcBorders>
              <w:top w:val="nil"/>
              <w:left w:val="nil"/>
              <w:bottom w:val="single" w:sz="8" w:space="0" w:color="auto"/>
              <w:right w:val="nil"/>
            </w:tcBorders>
            <w:shd w:val="clear" w:color="auto" w:fill="auto"/>
            <w:hideMark/>
          </w:tcPr>
          <w:p w14:paraId="7EDDB141" w14:textId="28A76DB5" w:rsidR="00D61175" w:rsidRPr="00643528" w:rsidRDefault="00D61175" w:rsidP="00256F28">
            <w:pPr>
              <w:pStyle w:val="TableText"/>
              <w:rPr>
                <w:lang w:eastAsia="en-AU"/>
              </w:rPr>
            </w:pPr>
            <w:r w:rsidRPr="00643528">
              <w:rPr>
                <w:lang w:eastAsia="en-AU"/>
              </w:rPr>
              <w:t>T1 – Through</w:t>
            </w:r>
            <w:r w:rsidR="00186CF2">
              <w:rPr>
                <w:lang w:eastAsia="en-AU"/>
              </w:rPr>
              <w:t>p</w:t>
            </w:r>
            <w:r w:rsidRPr="00643528">
              <w:rPr>
                <w:lang w:eastAsia="en-AU"/>
              </w:rPr>
              <w:t xml:space="preserve">ut – </w:t>
            </w:r>
            <w:r w:rsidR="00186CF2">
              <w:rPr>
                <w:lang w:eastAsia="en-AU"/>
              </w:rPr>
              <w:t>r</w:t>
            </w:r>
            <w:r w:rsidRPr="00643528">
              <w:rPr>
                <w:lang w:eastAsia="en-AU"/>
              </w:rPr>
              <w:t>abbit/</w:t>
            </w:r>
            <w:r w:rsidR="00186CF2">
              <w:rPr>
                <w:lang w:eastAsia="en-AU"/>
              </w:rPr>
              <w:t>p</w:t>
            </w:r>
            <w:r w:rsidRPr="00643528">
              <w:rPr>
                <w:lang w:eastAsia="en-AU"/>
              </w:rPr>
              <w:t>ossum/</w:t>
            </w:r>
            <w:r w:rsidR="00186CF2">
              <w:rPr>
                <w:lang w:eastAsia="en-AU"/>
              </w:rPr>
              <w:t>h</w:t>
            </w:r>
            <w:r w:rsidRPr="00643528">
              <w:rPr>
                <w:lang w:eastAsia="en-AU"/>
              </w:rPr>
              <w:t>are</w:t>
            </w:r>
          </w:p>
        </w:tc>
        <w:tc>
          <w:tcPr>
            <w:tcW w:w="573" w:type="pct"/>
            <w:tcBorders>
              <w:top w:val="nil"/>
              <w:left w:val="nil"/>
              <w:bottom w:val="single" w:sz="8" w:space="0" w:color="auto"/>
              <w:right w:val="nil"/>
            </w:tcBorders>
            <w:shd w:val="clear" w:color="auto" w:fill="auto"/>
            <w:hideMark/>
          </w:tcPr>
          <w:p w14:paraId="19E611A3" w14:textId="77777777" w:rsidR="00D61175" w:rsidRPr="00643528" w:rsidRDefault="00D61175" w:rsidP="0008747B">
            <w:pPr>
              <w:pStyle w:val="TableText"/>
              <w:jc w:val="right"/>
              <w:rPr>
                <w:lang w:eastAsia="en-AU"/>
              </w:rPr>
            </w:pPr>
            <w:r w:rsidRPr="00643528">
              <w:rPr>
                <w:lang w:eastAsia="en-AU"/>
              </w:rPr>
              <w:t>0</w:t>
            </w:r>
          </w:p>
        </w:tc>
        <w:tc>
          <w:tcPr>
            <w:tcW w:w="573" w:type="pct"/>
            <w:tcBorders>
              <w:top w:val="nil"/>
              <w:left w:val="nil"/>
              <w:bottom w:val="single" w:sz="8" w:space="0" w:color="auto"/>
              <w:right w:val="nil"/>
            </w:tcBorders>
            <w:shd w:val="clear" w:color="auto" w:fill="auto"/>
            <w:hideMark/>
          </w:tcPr>
          <w:p w14:paraId="2A3F59FB" w14:textId="77777777" w:rsidR="00D61175" w:rsidRPr="00643528" w:rsidRDefault="00D61175" w:rsidP="0008747B">
            <w:pPr>
              <w:pStyle w:val="TableText"/>
              <w:jc w:val="right"/>
              <w:rPr>
                <w:lang w:eastAsia="en-AU"/>
              </w:rPr>
            </w:pPr>
            <w:r w:rsidRPr="00643528">
              <w:rPr>
                <w:lang w:eastAsia="en-AU"/>
              </w:rPr>
              <w:t>0</w:t>
            </w:r>
          </w:p>
        </w:tc>
        <w:tc>
          <w:tcPr>
            <w:tcW w:w="584" w:type="pct"/>
            <w:tcBorders>
              <w:top w:val="nil"/>
              <w:left w:val="nil"/>
              <w:bottom w:val="single" w:sz="8" w:space="0" w:color="auto"/>
              <w:right w:val="nil"/>
            </w:tcBorders>
            <w:shd w:val="clear" w:color="auto" w:fill="auto"/>
            <w:hideMark/>
          </w:tcPr>
          <w:p w14:paraId="5B6BBBC3" w14:textId="33F71637" w:rsidR="00D61175" w:rsidRPr="00643528" w:rsidRDefault="00AB45BF" w:rsidP="0008747B">
            <w:pPr>
              <w:pStyle w:val="TableText"/>
              <w:jc w:val="right"/>
              <w:rPr>
                <w:lang w:eastAsia="en-AU"/>
              </w:rPr>
            </w:pPr>
            <w:r w:rsidRPr="00643528">
              <w:rPr>
                <w:lang w:eastAsia="en-AU"/>
              </w:rPr>
              <w:t>—</w:t>
            </w:r>
          </w:p>
        </w:tc>
        <w:tc>
          <w:tcPr>
            <w:tcW w:w="480" w:type="pct"/>
            <w:tcBorders>
              <w:top w:val="nil"/>
              <w:left w:val="nil"/>
              <w:bottom w:val="single" w:sz="8" w:space="0" w:color="auto"/>
              <w:right w:val="nil"/>
            </w:tcBorders>
            <w:shd w:val="clear" w:color="auto" w:fill="auto"/>
            <w:hideMark/>
          </w:tcPr>
          <w:p w14:paraId="4F0F0FEA" w14:textId="331C8661" w:rsidR="00D61175" w:rsidRPr="00643528" w:rsidRDefault="00AB45BF" w:rsidP="0008747B">
            <w:pPr>
              <w:pStyle w:val="TableText"/>
              <w:jc w:val="right"/>
              <w:rPr>
                <w:lang w:eastAsia="en-AU"/>
              </w:rPr>
            </w:pPr>
            <w:r w:rsidRPr="00643528">
              <w:rPr>
                <w:lang w:eastAsia="en-AU"/>
              </w:rPr>
              <w:t>—</w:t>
            </w:r>
          </w:p>
        </w:tc>
        <w:tc>
          <w:tcPr>
            <w:tcW w:w="573" w:type="pct"/>
            <w:tcBorders>
              <w:top w:val="nil"/>
              <w:left w:val="nil"/>
              <w:bottom w:val="single" w:sz="8" w:space="0" w:color="auto"/>
              <w:right w:val="nil"/>
            </w:tcBorders>
            <w:shd w:val="clear" w:color="auto" w:fill="auto"/>
            <w:hideMark/>
          </w:tcPr>
          <w:p w14:paraId="0FE26950" w14:textId="77777777" w:rsidR="00D61175" w:rsidRPr="00643528" w:rsidRDefault="00D61175" w:rsidP="0008747B">
            <w:pPr>
              <w:pStyle w:val="TableText"/>
              <w:jc w:val="right"/>
              <w:rPr>
                <w:lang w:eastAsia="en-AU"/>
              </w:rPr>
            </w:pPr>
            <w:r w:rsidRPr="00643528">
              <w:rPr>
                <w:lang w:eastAsia="en-AU"/>
              </w:rPr>
              <w:t>0</w:t>
            </w:r>
          </w:p>
        </w:tc>
      </w:tr>
      <w:tr w:rsidR="00D61175" w:rsidRPr="00643528" w14:paraId="053A636C" w14:textId="77777777" w:rsidTr="00962E4F">
        <w:tc>
          <w:tcPr>
            <w:tcW w:w="939" w:type="pct"/>
            <w:tcBorders>
              <w:top w:val="nil"/>
              <w:left w:val="nil"/>
              <w:bottom w:val="single" w:sz="8" w:space="0" w:color="auto"/>
              <w:right w:val="nil"/>
            </w:tcBorders>
            <w:shd w:val="clear" w:color="auto" w:fill="auto"/>
            <w:hideMark/>
          </w:tcPr>
          <w:p w14:paraId="17D5BA87" w14:textId="77777777" w:rsidR="00D61175" w:rsidRPr="00643528" w:rsidRDefault="00D61175" w:rsidP="00256F28">
            <w:pPr>
              <w:pStyle w:val="TableText"/>
              <w:rPr>
                <w:rStyle w:val="Strong"/>
              </w:rPr>
            </w:pPr>
            <w:r w:rsidRPr="00643528">
              <w:rPr>
                <w:rStyle w:val="Strong"/>
              </w:rPr>
              <w:t>Total charges</w:t>
            </w:r>
          </w:p>
        </w:tc>
        <w:tc>
          <w:tcPr>
            <w:tcW w:w="1278" w:type="pct"/>
            <w:tcBorders>
              <w:top w:val="nil"/>
              <w:left w:val="nil"/>
              <w:bottom w:val="single" w:sz="8" w:space="0" w:color="auto"/>
              <w:right w:val="nil"/>
            </w:tcBorders>
            <w:shd w:val="clear" w:color="auto" w:fill="auto"/>
            <w:hideMark/>
          </w:tcPr>
          <w:p w14:paraId="7D618802" w14:textId="2DA94DB7" w:rsidR="00D61175" w:rsidRPr="00643528" w:rsidRDefault="00AB45BF" w:rsidP="00256F28">
            <w:pPr>
              <w:pStyle w:val="TableText"/>
              <w:rPr>
                <w:rStyle w:val="Strong"/>
              </w:rPr>
            </w:pPr>
            <w:r w:rsidRPr="00643528">
              <w:rPr>
                <w:rStyle w:val="Strong"/>
              </w:rPr>
              <w:t>—</w:t>
            </w:r>
          </w:p>
        </w:tc>
        <w:tc>
          <w:tcPr>
            <w:tcW w:w="573" w:type="pct"/>
            <w:tcBorders>
              <w:top w:val="nil"/>
              <w:left w:val="nil"/>
              <w:bottom w:val="single" w:sz="8" w:space="0" w:color="auto"/>
              <w:right w:val="nil"/>
            </w:tcBorders>
            <w:shd w:val="clear" w:color="auto" w:fill="auto"/>
            <w:hideMark/>
          </w:tcPr>
          <w:p w14:paraId="21ABB30F" w14:textId="77777777" w:rsidR="00D61175" w:rsidRPr="00643528" w:rsidRDefault="00D61175" w:rsidP="0008747B">
            <w:pPr>
              <w:pStyle w:val="TableText"/>
              <w:jc w:val="right"/>
              <w:rPr>
                <w:rStyle w:val="Strong"/>
              </w:rPr>
            </w:pPr>
            <w:r w:rsidRPr="00643528">
              <w:rPr>
                <w:rStyle w:val="Strong"/>
              </w:rPr>
              <w:t>22,654,542</w:t>
            </w:r>
          </w:p>
        </w:tc>
        <w:tc>
          <w:tcPr>
            <w:tcW w:w="573" w:type="pct"/>
            <w:tcBorders>
              <w:top w:val="nil"/>
              <w:left w:val="nil"/>
              <w:bottom w:val="single" w:sz="8" w:space="0" w:color="auto"/>
              <w:right w:val="nil"/>
            </w:tcBorders>
            <w:shd w:val="clear" w:color="auto" w:fill="auto"/>
            <w:hideMark/>
          </w:tcPr>
          <w:p w14:paraId="53010384" w14:textId="77777777" w:rsidR="00D61175" w:rsidRPr="00643528" w:rsidRDefault="00D61175" w:rsidP="0008747B">
            <w:pPr>
              <w:pStyle w:val="TableText"/>
              <w:jc w:val="right"/>
              <w:rPr>
                <w:rStyle w:val="Strong"/>
              </w:rPr>
            </w:pPr>
            <w:r w:rsidRPr="00643528">
              <w:rPr>
                <w:rStyle w:val="Strong"/>
              </w:rPr>
              <w:t>18,906,759</w:t>
            </w:r>
          </w:p>
        </w:tc>
        <w:tc>
          <w:tcPr>
            <w:tcW w:w="584" w:type="pct"/>
            <w:tcBorders>
              <w:top w:val="nil"/>
              <w:left w:val="nil"/>
              <w:bottom w:val="single" w:sz="8" w:space="0" w:color="auto"/>
              <w:right w:val="nil"/>
            </w:tcBorders>
            <w:shd w:val="clear" w:color="auto" w:fill="auto"/>
            <w:hideMark/>
          </w:tcPr>
          <w:p w14:paraId="68F0BA37" w14:textId="77777777" w:rsidR="00D61175" w:rsidRPr="00643528" w:rsidRDefault="00D61175" w:rsidP="0008747B">
            <w:pPr>
              <w:pStyle w:val="TableText"/>
              <w:jc w:val="right"/>
              <w:rPr>
                <w:rStyle w:val="Strong"/>
              </w:rPr>
            </w:pPr>
            <w:r w:rsidRPr="00643528">
              <w:rPr>
                <w:rStyle w:val="Strong"/>
              </w:rPr>
              <w:t>3,747,783</w:t>
            </w:r>
          </w:p>
        </w:tc>
        <w:tc>
          <w:tcPr>
            <w:tcW w:w="480" w:type="pct"/>
            <w:tcBorders>
              <w:top w:val="nil"/>
              <w:left w:val="nil"/>
              <w:bottom w:val="single" w:sz="8" w:space="0" w:color="auto"/>
              <w:right w:val="nil"/>
            </w:tcBorders>
            <w:shd w:val="clear" w:color="auto" w:fill="auto"/>
            <w:hideMark/>
          </w:tcPr>
          <w:p w14:paraId="7624B2F5" w14:textId="77777777" w:rsidR="00D61175" w:rsidRPr="00643528" w:rsidRDefault="00D61175" w:rsidP="0008747B">
            <w:pPr>
              <w:pStyle w:val="TableText"/>
              <w:jc w:val="right"/>
              <w:rPr>
                <w:rStyle w:val="Strong"/>
              </w:rPr>
            </w:pPr>
            <w:r w:rsidRPr="00643528">
              <w:rPr>
                <w:rStyle w:val="Strong"/>
              </w:rPr>
              <w:t>20</w:t>
            </w:r>
          </w:p>
        </w:tc>
        <w:tc>
          <w:tcPr>
            <w:tcW w:w="573" w:type="pct"/>
            <w:tcBorders>
              <w:top w:val="nil"/>
              <w:left w:val="nil"/>
              <w:bottom w:val="single" w:sz="8" w:space="0" w:color="auto"/>
              <w:right w:val="nil"/>
            </w:tcBorders>
            <w:shd w:val="clear" w:color="auto" w:fill="auto"/>
            <w:hideMark/>
          </w:tcPr>
          <w:p w14:paraId="78F25F2E" w14:textId="77777777" w:rsidR="00D61175" w:rsidRPr="00643528" w:rsidRDefault="00D61175" w:rsidP="0008747B">
            <w:pPr>
              <w:pStyle w:val="TableText"/>
              <w:jc w:val="right"/>
              <w:rPr>
                <w:rStyle w:val="Strong"/>
              </w:rPr>
            </w:pPr>
            <w:r w:rsidRPr="00643528">
              <w:rPr>
                <w:rStyle w:val="Strong"/>
              </w:rPr>
              <w:t>19,436,934</w:t>
            </w:r>
          </w:p>
        </w:tc>
      </w:tr>
      <w:tr w:rsidR="00D61175" w:rsidRPr="00643528" w14:paraId="0B175FA5" w14:textId="77777777" w:rsidTr="00962E4F">
        <w:tc>
          <w:tcPr>
            <w:tcW w:w="939" w:type="pct"/>
            <w:vMerge w:val="restart"/>
            <w:tcBorders>
              <w:top w:val="nil"/>
              <w:left w:val="nil"/>
              <w:bottom w:val="single" w:sz="8" w:space="0" w:color="000000"/>
              <w:right w:val="nil"/>
            </w:tcBorders>
            <w:shd w:val="clear" w:color="auto" w:fill="auto"/>
            <w:hideMark/>
          </w:tcPr>
          <w:p w14:paraId="2C04D584" w14:textId="77777777" w:rsidR="00D61175" w:rsidRPr="00643528" w:rsidRDefault="00D61175" w:rsidP="00256F28">
            <w:pPr>
              <w:pStyle w:val="TableText"/>
              <w:rPr>
                <w:lang w:eastAsia="en-AU"/>
              </w:rPr>
            </w:pPr>
            <w:r w:rsidRPr="00643528">
              <w:rPr>
                <w:lang w:eastAsia="en-AU"/>
              </w:rPr>
              <w:lastRenderedPageBreak/>
              <w:t>Fees – audit and inspection</w:t>
            </w:r>
          </w:p>
        </w:tc>
        <w:tc>
          <w:tcPr>
            <w:tcW w:w="1278" w:type="pct"/>
            <w:tcBorders>
              <w:top w:val="nil"/>
              <w:left w:val="nil"/>
              <w:bottom w:val="single" w:sz="4" w:space="0" w:color="auto"/>
              <w:right w:val="nil"/>
            </w:tcBorders>
            <w:shd w:val="clear" w:color="auto" w:fill="auto"/>
            <w:hideMark/>
          </w:tcPr>
          <w:p w14:paraId="507FF408" w14:textId="7D3D3764" w:rsidR="00D61175" w:rsidRPr="00643528" w:rsidRDefault="00D61175" w:rsidP="00256F28">
            <w:pPr>
              <w:pStyle w:val="TableText"/>
              <w:rPr>
                <w:lang w:eastAsia="en-AU"/>
              </w:rPr>
            </w:pPr>
            <w:r w:rsidRPr="00643528">
              <w:rPr>
                <w:lang w:eastAsia="en-AU"/>
              </w:rPr>
              <w:t xml:space="preserve">Standard </w:t>
            </w:r>
            <w:r w:rsidR="00595257">
              <w:rPr>
                <w:lang w:eastAsia="en-AU"/>
              </w:rPr>
              <w:t>a</w:t>
            </w:r>
            <w:r w:rsidRPr="00643528">
              <w:rPr>
                <w:lang w:eastAsia="en-AU"/>
              </w:rPr>
              <w:t>udit</w:t>
            </w:r>
          </w:p>
        </w:tc>
        <w:tc>
          <w:tcPr>
            <w:tcW w:w="573" w:type="pct"/>
            <w:tcBorders>
              <w:top w:val="nil"/>
              <w:left w:val="nil"/>
              <w:bottom w:val="single" w:sz="4" w:space="0" w:color="auto"/>
              <w:right w:val="nil"/>
            </w:tcBorders>
            <w:shd w:val="clear" w:color="auto" w:fill="auto"/>
            <w:hideMark/>
          </w:tcPr>
          <w:p w14:paraId="57C1B0E5" w14:textId="77777777" w:rsidR="00D61175" w:rsidRPr="00643528" w:rsidRDefault="00D61175" w:rsidP="0008747B">
            <w:pPr>
              <w:pStyle w:val="TableText"/>
              <w:jc w:val="right"/>
              <w:rPr>
                <w:lang w:eastAsia="en-AU"/>
              </w:rPr>
            </w:pPr>
            <w:r w:rsidRPr="00643528">
              <w:rPr>
                <w:lang w:eastAsia="en-AU"/>
              </w:rPr>
              <w:t>876,484</w:t>
            </w:r>
          </w:p>
        </w:tc>
        <w:tc>
          <w:tcPr>
            <w:tcW w:w="573" w:type="pct"/>
            <w:tcBorders>
              <w:top w:val="nil"/>
              <w:left w:val="nil"/>
              <w:bottom w:val="single" w:sz="4" w:space="0" w:color="auto"/>
              <w:right w:val="nil"/>
            </w:tcBorders>
            <w:shd w:val="clear" w:color="auto" w:fill="auto"/>
            <w:hideMark/>
          </w:tcPr>
          <w:p w14:paraId="3CAC20CD" w14:textId="77777777" w:rsidR="00D61175" w:rsidRPr="00643528" w:rsidRDefault="00D61175" w:rsidP="0008747B">
            <w:pPr>
              <w:pStyle w:val="TableText"/>
              <w:jc w:val="right"/>
              <w:rPr>
                <w:lang w:eastAsia="en-AU"/>
              </w:rPr>
            </w:pPr>
            <w:r w:rsidRPr="00643528">
              <w:rPr>
                <w:lang w:eastAsia="en-AU"/>
              </w:rPr>
              <w:t>596,440</w:t>
            </w:r>
          </w:p>
        </w:tc>
        <w:tc>
          <w:tcPr>
            <w:tcW w:w="584" w:type="pct"/>
            <w:tcBorders>
              <w:top w:val="nil"/>
              <w:left w:val="nil"/>
              <w:bottom w:val="single" w:sz="4" w:space="0" w:color="auto"/>
              <w:right w:val="nil"/>
            </w:tcBorders>
            <w:shd w:val="clear" w:color="auto" w:fill="auto"/>
            <w:hideMark/>
          </w:tcPr>
          <w:p w14:paraId="3273299F" w14:textId="77777777" w:rsidR="00D61175" w:rsidRPr="00643528" w:rsidRDefault="00D61175" w:rsidP="0008747B">
            <w:pPr>
              <w:pStyle w:val="TableText"/>
              <w:jc w:val="right"/>
              <w:rPr>
                <w:lang w:eastAsia="en-AU"/>
              </w:rPr>
            </w:pPr>
            <w:r w:rsidRPr="00643528">
              <w:rPr>
                <w:lang w:eastAsia="en-AU"/>
              </w:rPr>
              <w:t>280,044</w:t>
            </w:r>
          </w:p>
        </w:tc>
        <w:tc>
          <w:tcPr>
            <w:tcW w:w="480" w:type="pct"/>
            <w:tcBorders>
              <w:top w:val="nil"/>
              <w:left w:val="nil"/>
              <w:bottom w:val="single" w:sz="4" w:space="0" w:color="auto"/>
              <w:right w:val="nil"/>
            </w:tcBorders>
            <w:shd w:val="clear" w:color="auto" w:fill="auto"/>
            <w:hideMark/>
          </w:tcPr>
          <w:p w14:paraId="071087BD" w14:textId="77777777" w:rsidR="00D61175" w:rsidRPr="00643528" w:rsidRDefault="00D61175" w:rsidP="0008747B">
            <w:pPr>
              <w:pStyle w:val="TableText"/>
              <w:jc w:val="right"/>
              <w:rPr>
                <w:lang w:eastAsia="en-AU"/>
              </w:rPr>
            </w:pPr>
            <w:r w:rsidRPr="00643528">
              <w:rPr>
                <w:lang w:eastAsia="en-AU"/>
              </w:rPr>
              <w:t>47</w:t>
            </w:r>
          </w:p>
        </w:tc>
        <w:tc>
          <w:tcPr>
            <w:tcW w:w="573" w:type="pct"/>
            <w:tcBorders>
              <w:top w:val="nil"/>
              <w:left w:val="nil"/>
              <w:bottom w:val="single" w:sz="4" w:space="0" w:color="auto"/>
              <w:right w:val="nil"/>
            </w:tcBorders>
            <w:shd w:val="clear" w:color="auto" w:fill="auto"/>
            <w:hideMark/>
          </w:tcPr>
          <w:p w14:paraId="2034225F" w14:textId="77777777" w:rsidR="00D61175" w:rsidRPr="00643528" w:rsidRDefault="00D61175" w:rsidP="0008747B">
            <w:pPr>
              <w:pStyle w:val="TableText"/>
              <w:jc w:val="right"/>
              <w:rPr>
                <w:lang w:eastAsia="en-AU"/>
              </w:rPr>
            </w:pPr>
            <w:r w:rsidRPr="00643528">
              <w:rPr>
                <w:lang w:eastAsia="en-AU"/>
              </w:rPr>
              <w:t>838,925</w:t>
            </w:r>
          </w:p>
        </w:tc>
      </w:tr>
      <w:tr w:rsidR="00D61175" w:rsidRPr="00643528" w14:paraId="593B79DF" w14:textId="77777777" w:rsidTr="00962E4F">
        <w:tc>
          <w:tcPr>
            <w:tcW w:w="939" w:type="pct"/>
            <w:vMerge/>
            <w:tcBorders>
              <w:top w:val="nil"/>
              <w:left w:val="nil"/>
              <w:bottom w:val="single" w:sz="8" w:space="0" w:color="000000"/>
              <w:right w:val="nil"/>
            </w:tcBorders>
            <w:hideMark/>
          </w:tcPr>
          <w:p w14:paraId="1ABCFB36"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5EFDF7EB" w14:textId="29DDBF7C" w:rsidR="00D61175" w:rsidRPr="00643528" w:rsidRDefault="00D61175" w:rsidP="00256F28">
            <w:pPr>
              <w:pStyle w:val="TableText"/>
              <w:rPr>
                <w:lang w:eastAsia="en-AU"/>
              </w:rPr>
            </w:pPr>
            <w:r w:rsidRPr="00643528">
              <w:rPr>
                <w:lang w:eastAsia="en-AU"/>
              </w:rPr>
              <w:t xml:space="preserve">Specialist </w:t>
            </w:r>
            <w:r w:rsidR="00595257">
              <w:rPr>
                <w:lang w:eastAsia="en-AU"/>
              </w:rPr>
              <w:t>a</w:t>
            </w:r>
            <w:r w:rsidRPr="00643528">
              <w:rPr>
                <w:lang w:eastAsia="en-AU"/>
              </w:rPr>
              <w:t>udit (ATM)</w:t>
            </w:r>
          </w:p>
        </w:tc>
        <w:tc>
          <w:tcPr>
            <w:tcW w:w="573" w:type="pct"/>
            <w:tcBorders>
              <w:top w:val="nil"/>
              <w:left w:val="nil"/>
              <w:bottom w:val="single" w:sz="4" w:space="0" w:color="auto"/>
              <w:right w:val="nil"/>
            </w:tcBorders>
            <w:shd w:val="clear" w:color="auto" w:fill="auto"/>
            <w:hideMark/>
          </w:tcPr>
          <w:p w14:paraId="501CE024" w14:textId="77777777" w:rsidR="00D61175" w:rsidRPr="00643528" w:rsidRDefault="00D61175" w:rsidP="0008747B">
            <w:pPr>
              <w:pStyle w:val="TableText"/>
              <w:jc w:val="right"/>
              <w:rPr>
                <w:lang w:eastAsia="en-AU"/>
              </w:rPr>
            </w:pPr>
            <w:r w:rsidRPr="00643528">
              <w:rPr>
                <w:lang w:eastAsia="en-AU"/>
              </w:rPr>
              <w:t>2,037,568</w:t>
            </w:r>
          </w:p>
        </w:tc>
        <w:tc>
          <w:tcPr>
            <w:tcW w:w="573" w:type="pct"/>
            <w:tcBorders>
              <w:top w:val="nil"/>
              <w:left w:val="nil"/>
              <w:bottom w:val="single" w:sz="4" w:space="0" w:color="auto"/>
              <w:right w:val="nil"/>
            </w:tcBorders>
            <w:shd w:val="clear" w:color="auto" w:fill="auto"/>
            <w:hideMark/>
          </w:tcPr>
          <w:p w14:paraId="7ECFA2E3" w14:textId="77777777" w:rsidR="00D61175" w:rsidRPr="00643528" w:rsidRDefault="00D61175" w:rsidP="0008747B">
            <w:pPr>
              <w:pStyle w:val="TableText"/>
              <w:jc w:val="right"/>
              <w:rPr>
                <w:lang w:eastAsia="en-AU"/>
              </w:rPr>
            </w:pPr>
            <w:r w:rsidRPr="00643528">
              <w:rPr>
                <w:lang w:eastAsia="en-AU"/>
              </w:rPr>
              <w:t>2,649,046</w:t>
            </w:r>
          </w:p>
        </w:tc>
        <w:tc>
          <w:tcPr>
            <w:tcW w:w="584" w:type="pct"/>
            <w:tcBorders>
              <w:top w:val="nil"/>
              <w:left w:val="nil"/>
              <w:bottom w:val="single" w:sz="4" w:space="0" w:color="auto"/>
              <w:right w:val="nil"/>
            </w:tcBorders>
            <w:shd w:val="clear" w:color="auto" w:fill="auto"/>
            <w:hideMark/>
          </w:tcPr>
          <w:p w14:paraId="7EA8C82F" w14:textId="77777777" w:rsidR="00D61175" w:rsidRPr="00643528" w:rsidRDefault="00D61175" w:rsidP="0008747B">
            <w:pPr>
              <w:pStyle w:val="TableText"/>
              <w:jc w:val="right"/>
              <w:rPr>
                <w:lang w:eastAsia="en-AU"/>
              </w:rPr>
            </w:pPr>
            <w:r w:rsidRPr="00643528">
              <w:rPr>
                <w:lang w:eastAsia="en-AU"/>
              </w:rPr>
              <w:t>(611,478)</w:t>
            </w:r>
          </w:p>
        </w:tc>
        <w:tc>
          <w:tcPr>
            <w:tcW w:w="480" w:type="pct"/>
            <w:tcBorders>
              <w:top w:val="nil"/>
              <w:left w:val="nil"/>
              <w:bottom w:val="single" w:sz="4" w:space="0" w:color="auto"/>
              <w:right w:val="nil"/>
            </w:tcBorders>
            <w:shd w:val="clear" w:color="auto" w:fill="auto"/>
            <w:hideMark/>
          </w:tcPr>
          <w:p w14:paraId="2C14BEAB" w14:textId="77777777" w:rsidR="00D61175" w:rsidRPr="00643528" w:rsidRDefault="00D61175" w:rsidP="0008747B">
            <w:pPr>
              <w:pStyle w:val="TableText"/>
              <w:jc w:val="right"/>
              <w:rPr>
                <w:lang w:eastAsia="en-AU"/>
              </w:rPr>
            </w:pPr>
            <w:r w:rsidRPr="00643528">
              <w:rPr>
                <w:lang w:eastAsia="en-AU"/>
              </w:rPr>
              <w:t>(23)</w:t>
            </w:r>
          </w:p>
        </w:tc>
        <w:tc>
          <w:tcPr>
            <w:tcW w:w="573" w:type="pct"/>
            <w:tcBorders>
              <w:top w:val="nil"/>
              <w:left w:val="nil"/>
              <w:bottom w:val="single" w:sz="4" w:space="0" w:color="auto"/>
              <w:right w:val="nil"/>
            </w:tcBorders>
            <w:shd w:val="clear" w:color="auto" w:fill="auto"/>
            <w:hideMark/>
          </w:tcPr>
          <w:p w14:paraId="32E368E2" w14:textId="77777777" w:rsidR="00D61175" w:rsidRPr="00643528" w:rsidRDefault="00D61175" w:rsidP="0008747B">
            <w:pPr>
              <w:pStyle w:val="TableText"/>
              <w:jc w:val="right"/>
              <w:rPr>
                <w:lang w:eastAsia="en-AU"/>
              </w:rPr>
            </w:pPr>
            <w:r w:rsidRPr="00643528">
              <w:rPr>
                <w:lang w:eastAsia="en-AU"/>
              </w:rPr>
              <w:t>2,074,426</w:t>
            </w:r>
          </w:p>
        </w:tc>
      </w:tr>
      <w:tr w:rsidR="00D61175" w:rsidRPr="00643528" w14:paraId="34CDDD5E" w14:textId="77777777" w:rsidTr="00962E4F">
        <w:tc>
          <w:tcPr>
            <w:tcW w:w="939" w:type="pct"/>
            <w:vMerge/>
            <w:tcBorders>
              <w:top w:val="nil"/>
              <w:left w:val="nil"/>
              <w:bottom w:val="single" w:sz="8" w:space="0" w:color="000000"/>
              <w:right w:val="nil"/>
            </w:tcBorders>
            <w:hideMark/>
          </w:tcPr>
          <w:p w14:paraId="59BF3CB2"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18886CF5" w14:textId="338ABFFA" w:rsidR="00D61175" w:rsidRPr="00643528" w:rsidRDefault="00D61175" w:rsidP="00256F28">
            <w:pPr>
              <w:pStyle w:val="TableText"/>
              <w:rPr>
                <w:lang w:eastAsia="en-AU"/>
              </w:rPr>
            </w:pPr>
            <w:r w:rsidRPr="00643528">
              <w:rPr>
                <w:lang w:eastAsia="en-AU"/>
              </w:rPr>
              <w:t xml:space="preserve">FSMA – </w:t>
            </w:r>
            <w:r w:rsidR="00595257">
              <w:rPr>
                <w:lang w:eastAsia="en-AU"/>
              </w:rPr>
              <w:t>m</w:t>
            </w:r>
            <w:r w:rsidRPr="00643528">
              <w:rPr>
                <w:lang w:eastAsia="en-AU"/>
              </w:rPr>
              <w:t>onthly</w:t>
            </w:r>
          </w:p>
        </w:tc>
        <w:tc>
          <w:tcPr>
            <w:tcW w:w="573" w:type="pct"/>
            <w:tcBorders>
              <w:top w:val="nil"/>
              <w:left w:val="nil"/>
              <w:bottom w:val="single" w:sz="4" w:space="0" w:color="auto"/>
              <w:right w:val="nil"/>
            </w:tcBorders>
            <w:shd w:val="clear" w:color="auto" w:fill="auto"/>
            <w:hideMark/>
          </w:tcPr>
          <w:p w14:paraId="44C8A2E2" w14:textId="77777777" w:rsidR="00D61175" w:rsidRPr="00643528" w:rsidRDefault="00D61175" w:rsidP="0008747B">
            <w:pPr>
              <w:pStyle w:val="TableText"/>
              <w:jc w:val="right"/>
              <w:rPr>
                <w:lang w:eastAsia="en-AU"/>
              </w:rPr>
            </w:pPr>
            <w:r w:rsidRPr="00643528">
              <w:rPr>
                <w:lang w:eastAsia="en-AU"/>
              </w:rPr>
              <w:t>20,104,639</w:t>
            </w:r>
          </w:p>
        </w:tc>
        <w:tc>
          <w:tcPr>
            <w:tcW w:w="573" w:type="pct"/>
            <w:tcBorders>
              <w:top w:val="nil"/>
              <w:left w:val="nil"/>
              <w:bottom w:val="single" w:sz="4" w:space="0" w:color="auto"/>
              <w:right w:val="nil"/>
            </w:tcBorders>
            <w:shd w:val="clear" w:color="auto" w:fill="auto"/>
            <w:hideMark/>
          </w:tcPr>
          <w:p w14:paraId="601D9490" w14:textId="77777777" w:rsidR="00D61175" w:rsidRPr="00643528" w:rsidRDefault="00D61175" w:rsidP="0008747B">
            <w:pPr>
              <w:pStyle w:val="TableText"/>
              <w:jc w:val="right"/>
              <w:rPr>
                <w:lang w:eastAsia="en-AU"/>
              </w:rPr>
            </w:pPr>
            <w:r w:rsidRPr="00643528">
              <w:rPr>
                <w:lang w:eastAsia="en-AU"/>
              </w:rPr>
              <w:t>20,304,375</w:t>
            </w:r>
          </w:p>
        </w:tc>
        <w:tc>
          <w:tcPr>
            <w:tcW w:w="584" w:type="pct"/>
            <w:tcBorders>
              <w:top w:val="nil"/>
              <w:left w:val="nil"/>
              <w:bottom w:val="single" w:sz="4" w:space="0" w:color="auto"/>
              <w:right w:val="nil"/>
            </w:tcBorders>
            <w:shd w:val="clear" w:color="auto" w:fill="auto"/>
            <w:hideMark/>
          </w:tcPr>
          <w:p w14:paraId="69D937B2" w14:textId="77777777" w:rsidR="00D61175" w:rsidRPr="00643528" w:rsidRDefault="00D61175" w:rsidP="0008747B">
            <w:pPr>
              <w:pStyle w:val="TableText"/>
              <w:jc w:val="right"/>
              <w:rPr>
                <w:lang w:eastAsia="en-AU"/>
              </w:rPr>
            </w:pPr>
            <w:r w:rsidRPr="00643528">
              <w:rPr>
                <w:lang w:eastAsia="en-AU"/>
              </w:rPr>
              <w:t>(199,736)</w:t>
            </w:r>
          </w:p>
        </w:tc>
        <w:tc>
          <w:tcPr>
            <w:tcW w:w="480" w:type="pct"/>
            <w:tcBorders>
              <w:top w:val="nil"/>
              <w:left w:val="nil"/>
              <w:bottom w:val="single" w:sz="4" w:space="0" w:color="auto"/>
              <w:right w:val="nil"/>
            </w:tcBorders>
            <w:shd w:val="clear" w:color="auto" w:fill="auto"/>
            <w:hideMark/>
          </w:tcPr>
          <w:p w14:paraId="4D3A8A45" w14:textId="77777777" w:rsidR="00D61175" w:rsidRPr="00643528" w:rsidRDefault="00D61175" w:rsidP="0008747B">
            <w:pPr>
              <w:pStyle w:val="TableText"/>
              <w:jc w:val="right"/>
              <w:rPr>
                <w:lang w:eastAsia="en-AU"/>
              </w:rPr>
            </w:pPr>
            <w:r w:rsidRPr="00643528">
              <w:rPr>
                <w:lang w:eastAsia="en-AU"/>
              </w:rPr>
              <w:t>(1)</w:t>
            </w:r>
          </w:p>
        </w:tc>
        <w:tc>
          <w:tcPr>
            <w:tcW w:w="573" w:type="pct"/>
            <w:tcBorders>
              <w:top w:val="nil"/>
              <w:left w:val="nil"/>
              <w:bottom w:val="single" w:sz="4" w:space="0" w:color="auto"/>
              <w:right w:val="nil"/>
            </w:tcBorders>
            <w:shd w:val="clear" w:color="auto" w:fill="auto"/>
            <w:hideMark/>
          </w:tcPr>
          <w:p w14:paraId="59D75467" w14:textId="77777777" w:rsidR="00D61175" w:rsidRPr="00643528" w:rsidRDefault="00D61175" w:rsidP="0008747B">
            <w:pPr>
              <w:pStyle w:val="TableText"/>
              <w:jc w:val="right"/>
              <w:rPr>
                <w:lang w:eastAsia="en-AU"/>
              </w:rPr>
            </w:pPr>
            <w:r w:rsidRPr="00643528">
              <w:rPr>
                <w:lang w:eastAsia="en-AU"/>
              </w:rPr>
              <w:t>20,664,525</w:t>
            </w:r>
          </w:p>
        </w:tc>
      </w:tr>
      <w:tr w:rsidR="00D61175" w:rsidRPr="00643528" w14:paraId="189F8978" w14:textId="77777777" w:rsidTr="00962E4F">
        <w:tc>
          <w:tcPr>
            <w:tcW w:w="939" w:type="pct"/>
            <w:vMerge/>
            <w:tcBorders>
              <w:top w:val="nil"/>
              <w:left w:val="nil"/>
              <w:bottom w:val="single" w:sz="8" w:space="0" w:color="000000"/>
              <w:right w:val="nil"/>
            </w:tcBorders>
            <w:hideMark/>
          </w:tcPr>
          <w:p w14:paraId="58B232D8"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47555E30" w14:textId="520289CA" w:rsidR="00D61175" w:rsidRPr="00643528" w:rsidRDefault="00D61175" w:rsidP="00063B97">
            <w:pPr>
              <w:pStyle w:val="TableText"/>
              <w:rPr>
                <w:lang w:eastAsia="en-AU"/>
              </w:rPr>
            </w:pPr>
            <w:r w:rsidRPr="00643528">
              <w:rPr>
                <w:lang w:eastAsia="en-AU"/>
              </w:rPr>
              <w:t>FSMA –</w:t>
            </w:r>
            <w:r w:rsidR="00263B3F">
              <w:rPr>
                <w:lang w:eastAsia="en-AU"/>
              </w:rPr>
              <w:t>qtr.</w:t>
            </w:r>
            <w:r w:rsidR="00063B97" w:rsidRPr="00643528">
              <w:rPr>
                <w:lang w:eastAsia="en-AU"/>
              </w:rPr>
              <w:t xml:space="preserve"> hou</w:t>
            </w:r>
            <w:r w:rsidRPr="00643528">
              <w:rPr>
                <w:lang w:eastAsia="en-AU"/>
              </w:rPr>
              <w:t xml:space="preserve">r </w:t>
            </w:r>
            <w:r w:rsidR="00063B97" w:rsidRPr="00643528">
              <w:rPr>
                <w:lang w:eastAsia="en-AU"/>
              </w:rPr>
              <w:t>p</w:t>
            </w:r>
            <w:r w:rsidRPr="00643528">
              <w:rPr>
                <w:lang w:eastAsia="en-AU"/>
              </w:rPr>
              <w:t>lanned</w:t>
            </w:r>
          </w:p>
        </w:tc>
        <w:tc>
          <w:tcPr>
            <w:tcW w:w="573" w:type="pct"/>
            <w:tcBorders>
              <w:top w:val="nil"/>
              <w:left w:val="nil"/>
              <w:bottom w:val="single" w:sz="4" w:space="0" w:color="auto"/>
              <w:right w:val="nil"/>
            </w:tcBorders>
            <w:shd w:val="clear" w:color="auto" w:fill="auto"/>
            <w:hideMark/>
          </w:tcPr>
          <w:p w14:paraId="310B297C" w14:textId="77777777" w:rsidR="00D61175" w:rsidRPr="00643528" w:rsidRDefault="00D61175" w:rsidP="0008747B">
            <w:pPr>
              <w:pStyle w:val="TableText"/>
              <w:jc w:val="right"/>
              <w:rPr>
                <w:lang w:eastAsia="en-AU"/>
              </w:rPr>
            </w:pPr>
            <w:r w:rsidRPr="00643528">
              <w:rPr>
                <w:lang w:eastAsia="en-AU"/>
              </w:rPr>
              <w:t>1,552,754</w:t>
            </w:r>
          </w:p>
        </w:tc>
        <w:tc>
          <w:tcPr>
            <w:tcW w:w="573" w:type="pct"/>
            <w:tcBorders>
              <w:top w:val="nil"/>
              <w:left w:val="nil"/>
              <w:bottom w:val="single" w:sz="4" w:space="0" w:color="auto"/>
              <w:right w:val="nil"/>
            </w:tcBorders>
            <w:shd w:val="clear" w:color="auto" w:fill="auto"/>
            <w:hideMark/>
          </w:tcPr>
          <w:p w14:paraId="14434FEB" w14:textId="77777777" w:rsidR="00D61175" w:rsidRPr="00643528" w:rsidRDefault="00D61175" w:rsidP="0008747B">
            <w:pPr>
              <w:pStyle w:val="TableText"/>
              <w:jc w:val="right"/>
              <w:rPr>
                <w:lang w:eastAsia="en-AU"/>
              </w:rPr>
            </w:pPr>
            <w:r w:rsidRPr="00643528">
              <w:rPr>
                <w:lang w:eastAsia="en-AU"/>
              </w:rPr>
              <w:t>2,662,200</w:t>
            </w:r>
          </w:p>
        </w:tc>
        <w:tc>
          <w:tcPr>
            <w:tcW w:w="584" w:type="pct"/>
            <w:tcBorders>
              <w:top w:val="nil"/>
              <w:left w:val="nil"/>
              <w:bottom w:val="single" w:sz="4" w:space="0" w:color="auto"/>
              <w:right w:val="nil"/>
            </w:tcBorders>
            <w:shd w:val="clear" w:color="auto" w:fill="auto"/>
            <w:hideMark/>
          </w:tcPr>
          <w:p w14:paraId="755DA3FD" w14:textId="77777777" w:rsidR="00D61175" w:rsidRPr="00643528" w:rsidRDefault="00D61175" w:rsidP="0008747B">
            <w:pPr>
              <w:pStyle w:val="TableText"/>
              <w:jc w:val="right"/>
              <w:rPr>
                <w:lang w:eastAsia="en-AU"/>
              </w:rPr>
            </w:pPr>
            <w:r w:rsidRPr="00643528">
              <w:rPr>
                <w:lang w:eastAsia="en-AU"/>
              </w:rPr>
              <w:t>(1,109,446)</w:t>
            </w:r>
          </w:p>
        </w:tc>
        <w:tc>
          <w:tcPr>
            <w:tcW w:w="480" w:type="pct"/>
            <w:tcBorders>
              <w:top w:val="nil"/>
              <w:left w:val="nil"/>
              <w:bottom w:val="single" w:sz="4" w:space="0" w:color="auto"/>
              <w:right w:val="nil"/>
            </w:tcBorders>
            <w:shd w:val="clear" w:color="auto" w:fill="auto"/>
            <w:hideMark/>
          </w:tcPr>
          <w:p w14:paraId="246914E7" w14:textId="77777777" w:rsidR="00D61175" w:rsidRPr="00643528" w:rsidRDefault="00D61175" w:rsidP="0008747B">
            <w:pPr>
              <w:pStyle w:val="TableText"/>
              <w:jc w:val="right"/>
              <w:rPr>
                <w:lang w:eastAsia="en-AU"/>
              </w:rPr>
            </w:pPr>
            <w:r w:rsidRPr="00643528">
              <w:rPr>
                <w:lang w:eastAsia="en-AU"/>
              </w:rPr>
              <w:t>(42)</w:t>
            </w:r>
          </w:p>
        </w:tc>
        <w:tc>
          <w:tcPr>
            <w:tcW w:w="573" w:type="pct"/>
            <w:tcBorders>
              <w:top w:val="nil"/>
              <w:left w:val="nil"/>
              <w:bottom w:val="single" w:sz="4" w:space="0" w:color="auto"/>
              <w:right w:val="nil"/>
            </w:tcBorders>
            <w:shd w:val="clear" w:color="auto" w:fill="auto"/>
            <w:hideMark/>
          </w:tcPr>
          <w:p w14:paraId="6E539C49" w14:textId="77777777" w:rsidR="00D61175" w:rsidRPr="00643528" w:rsidRDefault="00D61175" w:rsidP="0008747B">
            <w:pPr>
              <w:pStyle w:val="TableText"/>
              <w:jc w:val="right"/>
              <w:rPr>
                <w:lang w:eastAsia="en-AU"/>
              </w:rPr>
            </w:pPr>
            <w:r w:rsidRPr="00643528">
              <w:rPr>
                <w:lang w:eastAsia="en-AU"/>
              </w:rPr>
              <w:t>3,109,860</w:t>
            </w:r>
          </w:p>
        </w:tc>
      </w:tr>
      <w:tr w:rsidR="00D61175" w:rsidRPr="00643528" w14:paraId="1AD61494" w14:textId="77777777" w:rsidTr="00962E4F">
        <w:tc>
          <w:tcPr>
            <w:tcW w:w="939" w:type="pct"/>
            <w:vMerge/>
            <w:tcBorders>
              <w:top w:val="nil"/>
              <w:left w:val="nil"/>
              <w:bottom w:val="single" w:sz="8" w:space="0" w:color="000000"/>
              <w:right w:val="nil"/>
            </w:tcBorders>
            <w:hideMark/>
          </w:tcPr>
          <w:p w14:paraId="3B697844"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5837A0F8" w14:textId="70E310E7" w:rsidR="00D61175" w:rsidRPr="00643528" w:rsidRDefault="00D61175" w:rsidP="00256F28">
            <w:pPr>
              <w:pStyle w:val="TableText"/>
              <w:rPr>
                <w:lang w:eastAsia="en-AU"/>
              </w:rPr>
            </w:pPr>
            <w:r w:rsidRPr="00643528">
              <w:rPr>
                <w:lang w:eastAsia="en-AU"/>
              </w:rPr>
              <w:t xml:space="preserve">FSMA – </w:t>
            </w:r>
            <w:r w:rsidR="00595257">
              <w:rPr>
                <w:lang w:eastAsia="en-AU"/>
              </w:rPr>
              <w:t>q</w:t>
            </w:r>
            <w:r w:rsidR="00595257" w:rsidRPr="00643528">
              <w:rPr>
                <w:lang w:eastAsia="en-AU"/>
              </w:rPr>
              <w:t>tr.</w:t>
            </w:r>
            <w:r w:rsidRPr="00643528">
              <w:rPr>
                <w:lang w:eastAsia="en-AU"/>
              </w:rPr>
              <w:t xml:space="preserve"> </w:t>
            </w:r>
            <w:r w:rsidR="00595257">
              <w:rPr>
                <w:lang w:eastAsia="en-AU"/>
              </w:rPr>
              <w:t>h</w:t>
            </w:r>
            <w:r w:rsidRPr="00643528">
              <w:rPr>
                <w:lang w:eastAsia="en-AU"/>
              </w:rPr>
              <w:t xml:space="preserve">r </w:t>
            </w:r>
            <w:r w:rsidR="00595257">
              <w:rPr>
                <w:lang w:eastAsia="en-AU"/>
              </w:rPr>
              <w:t>u</w:t>
            </w:r>
            <w:r w:rsidRPr="00643528">
              <w:rPr>
                <w:lang w:eastAsia="en-AU"/>
              </w:rPr>
              <w:t>nplanned</w:t>
            </w:r>
          </w:p>
        </w:tc>
        <w:tc>
          <w:tcPr>
            <w:tcW w:w="573" w:type="pct"/>
            <w:tcBorders>
              <w:top w:val="nil"/>
              <w:left w:val="nil"/>
              <w:bottom w:val="single" w:sz="4" w:space="0" w:color="auto"/>
              <w:right w:val="nil"/>
            </w:tcBorders>
            <w:shd w:val="clear" w:color="auto" w:fill="auto"/>
            <w:hideMark/>
          </w:tcPr>
          <w:p w14:paraId="692722E2" w14:textId="77777777" w:rsidR="00D61175" w:rsidRPr="00643528" w:rsidRDefault="00D61175" w:rsidP="0008747B">
            <w:pPr>
              <w:pStyle w:val="TableText"/>
              <w:jc w:val="right"/>
              <w:rPr>
                <w:lang w:eastAsia="en-AU"/>
              </w:rPr>
            </w:pPr>
            <w:r w:rsidRPr="00643528">
              <w:rPr>
                <w:lang w:eastAsia="en-AU"/>
              </w:rPr>
              <w:t>227,794</w:t>
            </w:r>
          </w:p>
        </w:tc>
        <w:tc>
          <w:tcPr>
            <w:tcW w:w="573" w:type="pct"/>
            <w:tcBorders>
              <w:top w:val="nil"/>
              <w:left w:val="nil"/>
              <w:bottom w:val="single" w:sz="4" w:space="0" w:color="auto"/>
              <w:right w:val="nil"/>
            </w:tcBorders>
            <w:shd w:val="clear" w:color="auto" w:fill="auto"/>
            <w:hideMark/>
          </w:tcPr>
          <w:p w14:paraId="1D721B4F" w14:textId="77777777" w:rsidR="00D61175" w:rsidRPr="00643528" w:rsidRDefault="00D61175" w:rsidP="0008747B">
            <w:pPr>
              <w:pStyle w:val="TableText"/>
              <w:jc w:val="right"/>
              <w:rPr>
                <w:lang w:eastAsia="en-AU"/>
              </w:rPr>
            </w:pPr>
            <w:r w:rsidRPr="00643528">
              <w:rPr>
                <w:lang w:eastAsia="en-AU"/>
              </w:rPr>
              <w:t>1,369,520</w:t>
            </w:r>
          </w:p>
        </w:tc>
        <w:tc>
          <w:tcPr>
            <w:tcW w:w="584" w:type="pct"/>
            <w:tcBorders>
              <w:top w:val="nil"/>
              <w:left w:val="nil"/>
              <w:bottom w:val="single" w:sz="4" w:space="0" w:color="auto"/>
              <w:right w:val="nil"/>
            </w:tcBorders>
            <w:shd w:val="clear" w:color="auto" w:fill="auto"/>
            <w:hideMark/>
          </w:tcPr>
          <w:p w14:paraId="3D8E6C0F" w14:textId="77777777" w:rsidR="00D61175" w:rsidRPr="00643528" w:rsidRDefault="00D61175" w:rsidP="0008747B">
            <w:pPr>
              <w:pStyle w:val="TableText"/>
              <w:jc w:val="right"/>
              <w:rPr>
                <w:lang w:eastAsia="en-AU"/>
              </w:rPr>
            </w:pPr>
            <w:r w:rsidRPr="00643528">
              <w:rPr>
                <w:lang w:eastAsia="en-AU"/>
              </w:rPr>
              <w:t>(1,141,726)</w:t>
            </w:r>
          </w:p>
        </w:tc>
        <w:tc>
          <w:tcPr>
            <w:tcW w:w="480" w:type="pct"/>
            <w:tcBorders>
              <w:top w:val="nil"/>
              <w:left w:val="nil"/>
              <w:bottom w:val="single" w:sz="4" w:space="0" w:color="auto"/>
              <w:right w:val="nil"/>
            </w:tcBorders>
            <w:shd w:val="clear" w:color="auto" w:fill="auto"/>
            <w:hideMark/>
          </w:tcPr>
          <w:p w14:paraId="1BD4446F" w14:textId="77777777" w:rsidR="00D61175" w:rsidRPr="00643528" w:rsidRDefault="00D61175" w:rsidP="0008747B">
            <w:pPr>
              <w:pStyle w:val="TableText"/>
              <w:jc w:val="right"/>
              <w:rPr>
                <w:lang w:eastAsia="en-AU"/>
              </w:rPr>
            </w:pPr>
            <w:r w:rsidRPr="00643528">
              <w:rPr>
                <w:lang w:eastAsia="en-AU"/>
              </w:rPr>
              <w:t>(83)</w:t>
            </w:r>
          </w:p>
        </w:tc>
        <w:tc>
          <w:tcPr>
            <w:tcW w:w="573" w:type="pct"/>
            <w:tcBorders>
              <w:top w:val="nil"/>
              <w:left w:val="nil"/>
              <w:bottom w:val="single" w:sz="4" w:space="0" w:color="auto"/>
              <w:right w:val="nil"/>
            </w:tcBorders>
            <w:shd w:val="clear" w:color="auto" w:fill="auto"/>
            <w:hideMark/>
          </w:tcPr>
          <w:p w14:paraId="395206A7" w14:textId="77777777" w:rsidR="00D61175" w:rsidRPr="00643528" w:rsidRDefault="00D61175" w:rsidP="0008747B">
            <w:pPr>
              <w:pStyle w:val="TableText"/>
              <w:jc w:val="right"/>
              <w:rPr>
                <w:lang w:eastAsia="en-AU"/>
              </w:rPr>
            </w:pPr>
            <w:r w:rsidRPr="00643528">
              <w:rPr>
                <w:lang w:eastAsia="en-AU"/>
              </w:rPr>
              <w:t>1,732,843</w:t>
            </w:r>
          </w:p>
        </w:tc>
      </w:tr>
      <w:tr w:rsidR="00D61175" w:rsidRPr="00643528" w14:paraId="6CF0C21A" w14:textId="77777777" w:rsidTr="00962E4F">
        <w:tc>
          <w:tcPr>
            <w:tcW w:w="939" w:type="pct"/>
            <w:vMerge/>
            <w:tcBorders>
              <w:top w:val="nil"/>
              <w:left w:val="nil"/>
              <w:bottom w:val="single" w:sz="8" w:space="0" w:color="000000"/>
              <w:right w:val="nil"/>
            </w:tcBorders>
            <w:hideMark/>
          </w:tcPr>
          <w:p w14:paraId="21E0386D"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31E16C17" w14:textId="3D8E1F30" w:rsidR="00D61175" w:rsidRPr="00643528" w:rsidRDefault="00D61175" w:rsidP="00256F28">
            <w:pPr>
              <w:pStyle w:val="TableText"/>
              <w:rPr>
                <w:lang w:eastAsia="en-AU"/>
              </w:rPr>
            </w:pPr>
            <w:r w:rsidRPr="00643528">
              <w:rPr>
                <w:lang w:eastAsia="en-AU"/>
              </w:rPr>
              <w:t xml:space="preserve">OPV – </w:t>
            </w:r>
            <w:r w:rsidR="00595257">
              <w:rPr>
                <w:lang w:eastAsia="en-AU"/>
              </w:rPr>
              <w:t>m</w:t>
            </w:r>
            <w:r w:rsidRPr="00643528">
              <w:rPr>
                <w:lang w:eastAsia="en-AU"/>
              </w:rPr>
              <w:t>onthly</w:t>
            </w:r>
          </w:p>
        </w:tc>
        <w:tc>
          <w:tcPr>
            <w:tcW w:w="573" w:type="pct"/>
            <w:tcBorders>
              <w:top w:val="nil"/>
              <w:left w:val="nil"/>
              <w:bottom w:val="single" w:sz="4" w:space="0" w:color="auto"/>
              <w:right w:val="nil"/>
            </w:tcBorders>
            <w:shd w:val="clear" w:color="auto" w:fill="auto"/>
            <w:hideMark/>
          </w:tcPr>
          <w:p w14:paraId="2FFC7491" w14:textId="77777777" w:rsidR="00D61175" w:rsidRPr="00643528" w:rsidRDefault="00D61175" w:rsidP="0008747B">
            <w:pPr>
              <w:pStyle w:val="TableText"/>
              <w:jc w:val="right"/>
              <w:rPr>
                <w:lang w:eastAsia="en-AU"/>
              </w:rPr>
            </w:pPr>
            <w:r w:rsidRPr="00643528">
              <w:rPr>
                <w:lang w:eastAsia="en-AU"/>
              </w:rPr>
              <w:t>27,779,477</w:t>
            </w:r>
          </w:p>
        </w:tc>
        <w:tc>
          <w:tcPr>
            <w:tcW w:w="573" w:type="pct"/>
            <w:tcBorders>
              <w:top w:val="nil"/>
              <w:left w:val="nil"/>
              <w:bottom w:val="single" w:sz="4" w:space="0" w:color="auto"/>
              <w:right w:val="nil"/>
            </w:tcBorders>
            <w:shd w:val="clear" w:color="auto" w:fill="auto"/>
            <w:hideMark/>
          </w:tcPr>
          <w:p w14:paraId="031099B9" w14:textId="77777777" w:rsidR="00D61175" w:rsidRPr="00643528" w:rsidRDefault="00D61175" w:rsidP="0008747B">
            <w:pPr>
              <w:pStyle w:val="TableText"/>
              <w:jc w:val="right"/>
              <w:rPr>
                <w:lang w:eastAsia="en-AU"/>
              </w:rPr>
            </w:pPr>
            <w:r w:rsidRPr="00643528">
              <w:rPr>
                <w:lang w:eastAsia="en-AU"/>
              </w:rPr>
              <w:t>25,178,959</w:t>
            </w:r>
          </w:p>
        </w:tc>
        <w:tc>
          <w:tcPr>
            <w:tcW w:w="584" w:type="pct"/>
            <w:tcBorders>
              <w:top w:val="nil"/>
              <w:left w:val="nil"/>
              <w:bottom w:val="single" w:sz="4" w:space="0" w:color="auto"/>
              <w:right w:val="nil"/>
            </w:tcBorders>
            <w:shd w:val="clear" w:color="auto" w:fill="auto"/>
            <w:hideMark/>
          </w:tcPr>
          <w:p w14:paraId="2EE606C7" w14:textId="77777777" w:rsidR="00D61175" w:rsidRPr="00643528" w:rsidRDefault="00D61175" w:rsidP="0008747B">
            <w:pPr>
              <w:pStyle w:val="TableText"/>
              <w:jc w:val="right"/>
              <w:rPr>
                <w:lang w:eastAsia="en-AU"/>
              </w:rPr>
            </w:pPr>
            <w:r w:rsidRPr="00643528">
              <w:rPr>
                <w:lang w:eastAsia="en-AU"/>
              </w:rPr>
              <w:t>2,600,518</w:t>
            </w:r>
          </w:p>
        </w:tc>
        <w:tc>
          <w:tcPr>
            <w:tcW w:w="480" w:type="pct"/>
            <w:tcBorders>
              <w:top w:val="nil"/>
              <w:left w:val="nil"/>
              <w:bottom w:val="single" w:sz="4" w:space="0" w:color="auto"/>
              <w:right w:val="nil"/>
            </w:tcBorders>
            <w:shd w:val="clear" w:color="auto" w:fill="auto"/>
            <w:hideMark/>
          </w:tcPr>
          <w:p w14:paraId="499EDF74" w14:textId="77777777" w:rsidR="00D61175" w:rsidRPr="00643528" w:rsidRDefault="00D61175" w:rsidP="0008747B">
            <w:pPr>
              <w:pStyle w:val="TableText"/>
              <w:jc w:val="right"/>
              <w:rPr>
                <w:lang w:eastAsia="en-AU"/>
              </w:rPr>
            </w:pPr>
            <w:r w:rsidRPr="00643528">
              <w:rPr>
                <w:lang w:eastAsia="en-AU"/>
              </w:rPr>
              <w:t>10</w:t>
            </w:r>
          </w:p>
        </w:tc>
        <w:tc>
          <w:tcPr>
            <w:tcW w:w="573" w:type="pct"/>
            <w:tcBorders>
              <w:top w:val="nil"/>
              <w:left w:val="nil"/>
              <w:bottom w:val="single" w:sz="4" w:space="0" w:color="auto"/>
              <w:right w:val="nil"/>
            </w:tcBorders>
            <w:shd w:val="clear" w:color="auto" w:fill="auto"/>
            <w:hideMark/>
          </w:tcPr>
          <w:p w14:paraId="6EEF49D7" w14:textId="77777777" w:rsidR="00D61175" w:rsidRPr="00643528" w:rsidRDefault="00D61175" w:rsidP="0008747B">
            <w:pPr>
              <w:pStyle w:val="TableText"/>
              <w:jc w:val="right"/>
              <w:rPr>
                <w:lang w:eastAsia="en-AU"/>
              </w:rPr>
            </w:pPr>
            <w:r w:rsidRPr="00643528">
              <w:rPr>
                <w:lang w:eastAsia="en-AU"/>
              </w:rPr>
              <w:t>27,557,108</w:t>
            </w:r>
          </w:p>
        </w:tc>
      </w:tr>
      <w:tr w:rsidR="00D61175" w:rsidRPr="00643528" w14:paraId="1F087586" w14:textId="77777777" w:rsidTr="00962E4F">
        <w:tc>
          <w:tcPr>
            <w:tcW w:w="939" w:type="pct"/>
            <w:vMerge/>
            <w:tcBorders>
              <w:top w:val="nil"/>
              <w:left w:val="nil"/>
              <w:bottom w:val="single" w:sz="8" w:space="0" w:color="000000"/>
              <w:right w:val="nil"/>
            </w:tcBorders>
            <w:hideMark/>
          </w:tcPr>
          <w:p w14:paraId="6B53492B"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752ADBD9" w14:textId="2F4400C3" w:rsidR="00D61175" w:rsidRPr="00643528" w:rsidRDefault="00D61175" w:rsidP="00256F28">
            <w:pPr>
              <w:pStyle w:val="TableText"/>
              <w:rPr>
                <w:lang w:eastAsia="en-AU"/>
              </w:rPr>
            </w:pPr>
            <w:r w:rsidRPr="00643528">
              <w:rPr>
                <w:lang w:eastAsia="en-AU"/>
              </w:rPr>
              <w:t xml:space="preserve">OPV – </w:t>
            </w:r>
            <w:r w:rsidR="00595257">
              <w:rPr>
                <w:lang w:eastAsia="en-AU"/>
              </w:rPr>
              <w:t>q</w:t>
            </w:r>
            <w:r w:rsidR="00595257" w:rsidRPr="00643528">
              <w:rPr>
                <w:lang w:eastAsia="en-AU"/>
              </w:rPr>
              <w:t>tr.</w:t>
            </w:r>
            <w:r w:rsidRPr="00643528">
              <w:rPr>
                <w:lang w:eastAsia="en-AU"/>
              </w:rPr>
              <w:t xml:space="preserve"> </w:t>
            </w:r>
            <w:r w:rsidR="00595257">
              <w:rPr>
                <w:lang w:eastAsia="en-AU"/>
              </w:rPr>
              <w:t>h</w:t>
            </w:r>
            <w:r w:rsidRPr="00643528">
              <w:rPr>
                <w:lang w:eastAsia="en-AU"/>
              </w:rPr>
              <w:t xml:space="preserve">r </w:t>
            </w:r>
            <w:r w:rsidR="00595257">
              <w:rPr>
                <w:lang w:eastAsia="en-AU"/>
              </w:rPr>
              <w:t>p</w:t>
            </w:r>
            <w:r w:rsidRPr="00643528">
              <w:rPr>
                <w:lang w:eastAsia="en-AU"/>
              </w:rPr>
              <w:t>lanned</w:t>
            </w:r>
          </w:p>
        </w:tc>
        <w:tc>
          <w:tcPr>
            <w:tcW w:w="573" w:type="pct"/>
            <w:tcBorders>
              <w:top w:val="nil"/>
              <w:left w:val="nil"/>
              <w:bottom w:val="single" w:sz="4" w:space="0" w:color="auto"/>
              <w:right w:val="nil"/>
            </w:tcBorders>
            <w:shd w:val="clear" w:color="auto" w:fill="auto"/>
            <w:hideMark/>
          </w:tcPr>
          <w:p w14:paraId="0840FCF6" w14:textId="77777777" w:rsidR="00D61175" w:rsidRPr="00643528" w:rsidRDefault="00D61175" w:rsidP="0008747B">
            <w:pPr>
              <w:pStyle w:val="TableText"/>
              <w:jc w:val="right"/>
              <w:rPr>
                <w:lang w:eastAsia="en-AU"/>
              </w:rPr>
            </w:pPr>
            <w:r w:rsidRPr="00643528">
              <w:rPr>
                <w:lang w:eastAsia="en-AU"/>
              </w:rPr>
              <w:t>685,404</w:t>
            </w:r>
          </w:p>
        </w:tc>
        <w:tc>
          <w:tcPr>
            <w:tcW w:w="573" w:type="pct"/>
            <w:tcBorders>
              <w:top w:val="nil"/>
              <w:left w:val="nil"/>
              <w:bottom w:val="single" w:sz="4" w:space="0" w:color="auto"/>
              <w:right w:val="nil"/>
            </w:tcBorders>
            <w:shd w:val="clear" w:color="auto" w:fill="auto"/>
            <w:hideMark/>
          </w:tcPr>
          <w:p w14:paraId="403516D9" w14:textId="77777777" w:rsidR="00D61175" w:rsidRPr="00643528" w:rsidRDefault="00D61175" w:rsidP="0008747B">
            <w:pPr>
              <w:pStyle w:val="TableText"/>
              <w:jc w:val="right"/>
              <w:rPr>
                <w:lang w:eastAsia="en-AU"/>
              </w:rPr>
            </w:pPr>
            <w:r w:rsidRPr="00643528">
              <w:rPr>
                <w:lang w:eastAsia="en-AU"/>
              </w:rPr>
              <w:t>3,708,285</w:t>
            </w:r>
          </w:p>
        </w:tc>
        <w:tc>
          <w:tcPr>
            <w:tcW w:w="584" w:type="pct"/>
            <w:tcBorders>
              <w:top w:val="nil"/>
              <w:left w:val="nil"/>
              <w:bottom w:val="single" w:sz="4" w:space="0" w:color="auto"/>
              <w:right w:val="nil"/>
            </w:tcBorders>
            <w:shd w:val="clear" w:color="auto" w:fill="auto"/>
            <w:hideMark/>
          </w:tcPr>
          <w:p w14:paraId="4FBA667C" w14:textId="77777777" w:rsidR="00D61175" w:rsidRPr="00643528" w:rsidRDefault="00D61175" w:rsidP="0008747B">
            <w:pPr>
              <w:pStyle w:val="TableText"/>
              <w:jc w:val="right"/>
              <w:rPr>
                <w:lang w:eastAsia="en-AU"/>
              </w:rPr>
            </w:pPr>
            <w:r w:rsidRPr="00643528">
              <w:rPr>
                <w:lang w:eastAsia="en-AU"/>
              </w:rPr>
              <w:t>(3,022,881)</w:t>
            </w:r>
          </w:p>
        </w:tc>
        <w:tc>
          <w:tcPr>
            <w:tcW w:w="480" w:type="pct"/>
            <w:tcBorders>
              <w:top w:val="nil"/>
              <w:left w:val="nil"/>
              <w:bottom w:val="single" w:sz="4" w:space="0" w:color="auto"/>
              <w:right w:val="nil"/>
            </w:tcBorders>
            <w:shd w:val="clear" w:color="auto" w:fill="auto"/>
            <w:hideMark/>
          </w:tcPr>
          <w:p w14:paraId="3CFA9337" w14:textId="77777777" w:rsidR="00D61175" w:rsidRPr="00643528" w:rsidRDefault="00D61175" w:rsidP="0008747B">
            <w:pPr>
              <w:pStyle w:val="TableText"/>
              <w:jc w:val="right"/>
              <w:rPr>
                <w:lang w:eastAsia="en-AU"/>
              </w:rPr>
            </w:pPr>
            <w:r w:rsidRPr="00643528">
              <w:rPr>
                <w:lang w:eastAsia="en-AU"/>
              </w:rPr>
              <w:t>(82)</w:t>
            </w:r>
          </w:p>
        </w:tc>
        <w:tc>
          <w:tcPr>
            <w:tcW w:w="573" w:type="pct"/>
            <w:tcBorders>
              <w:top w:val="nil"/>
              <w:left w:val="nil"/>
              <w:bottom w:val="single" w:sz="4" w:space="0" w:color="auto"/>
              <w:right w:val="nil"/>
            </w:tcBorders>
            <w:shd w:val="clear" w:color="auto" w:fill="auto"/>
            <w:hideMark/>
          </w:tcPr>
          <w:p w14:paraId="73EE7B98" w14:textId="77777777" w:rsidR="00D61175" w:rsidRPr="00643528" w:rsidRDefault="00D61175" w:rsidP="0008747B">
            <w:pPr>
              <w:pStyle w:val="TableText"/>
              <w:jc w:val="right"/>
              <w:rPr>
                <w:lang w:eastAsia="en-AU"/>
              </w:rPr>
            </w:pPr>
            <w:r w:rsidRPr="00643528">
              <w:rPr>
                <w:lang w:eastAsia="en-AU"/>
              </w:rPr>
              <w:t>4,359,937</w:t>
            </w:r>
          </w:p>
        </w:tc>
      </w:tr>
      <w:tr w:rsidR="00D61175" w:rsidRPr="00643528" w14:paraId="7C8945B1" w14:textId="77777777" w:rsidTr="00962E4F">
        <w:tc>
          <w:tcPr>
            <w:tcW w:w="939" w:type="pct"/>
            <w:vMerge/>
            <w:tcBorders>
              <w:top w:val="nil"/>
              <w:left w:val="nil"/>
              <w:bottom w:val="single" w:sz="8" w:space="0" w:color="000000"/>
              <w:right w:val="nil"/>
            </w:tcBorders>
            <w:hideMark/>
          </w:tcPr>
          <w:p w14:paraId="22916089" w14:textId="77777777" w:rsidR="00D61175" w:rsidRPr="00643528" w:rsidRDefault="00D61175" w:rsidP="00256F28">
            <w:pPr>
              <w:pStyle w:val="TableText"/>
              <w:rPr>
                <w:lang w:eastAsia="en-AU"/>
              </w:rPr>
            </w:pPr>
          </w:p>
        </w:tc>
        <w:tc>
          <w:tcPr>
            <w:tcW w:w="1278" w:type="pct"/>
            <w:tcBorders>
              <w:top w:val="nil"/>
              <w:left w:val="nil"/>
              <w:bottom w:val="single" w:sz="8" w:space="0" w:color="auto"/>
              <w:right w:val="nil"/>
            </w:tcBorders>
            <w:shd w:val="clear" w:color="auto" w:fill="auto"/>
            <w:hideMark/>
          </w:tcPr>
          <w:p w14:paraId="3E312CDB" w14:textId="726788B3" w:rsidR="00D61175" w:rsidRPr="00643528" w:rsidRDefault="00D61175" w:rsidP="00256F28">
            <w:pPr>
              <w:pStyle w:val="TableText"/>
              <w:rPr>
                <w:lang w:eastAsia="en-AU"/>
              </w:rPr>
            </w:pPr>
            <w:r w:rsidRPr="00643528">
              <w:rPr>
                <w:lang w:eastAsia="en-AU"/>
              </w:rPr>
              <w:t xml:space="preserve">OPV – </w:t>
            </w:r>
            <w:r w:rsidR="00595257">
              <w:rPr>
                <w:lang w:eastAsia="en-AU"/>
              </w:rPr>
              <w:t>q</w:t>
            </w:r>
            <w:r w:rsidR="00595257" w:rsidRPr="00643528">
              <w:rPr>
                <w:lang w:eastAsia="en-AU"/>
              </w:rPr>
              <w:t>tr.</w:t>
            </w:r>
            <w:r w:rsidRPr="00643528">
              <w:rPr>
                <w:lang w:eastAsia="en-AU"/>
              </w:rPr>
              <w:t xml:space="preserve"> </w:t>
            </w:r>
            <w:r w:rsidR="00595257">
              <w:rPr>
                <w:lang w:eastAsia="en-AU"/>
              </w:rPr>
              <w:t>h</w:t>
            </w:r>
            <w:r w:rsidRPr="00643528">
              <w:rPr>
                <w:lang w:eastAsia="en-AU"/>
              </w:rPr>
              <w:t xml:space="preserve">r </w:t>
            </w:r>
            <w:r w:rsidR="00595257">
              <w:rPr>
                <w:lang w:eastAsia="en-AU"/>
              </w:rPr>
              <w:t>u</w:t>
            </w:r>
            <w:r w:rsidRPr="00643528">
              <w:rPr>
                <w:lang w:eastAsia="en-AU"/>
              </w:rPr>
              <w:t>nplanned</w:t>
            </w:r>
          </w:p>
        </w:tc>
        <w:tc>
          <w:tcPr>
            <w:tcW w:w="573" w:type="pct"/>
            <w:tcBorders>
              <w:top w:val="nil"/>
              <w:left w:val="nil"/>
              <w:bottom w:val="single" w:sz="8" w:space="0" w:color="auto"/>
              <w:right w:val="nil"/>
            </w:tcBorders>
            <w:shd w:val="clear" w:color="auto" w:fill="auto"/>
            <w:hideMark/>
          </w:tcPr>
          <w:p w14:paraId="7F92932A" w14:textId="77777777" w:rsidR="00D61175" w:rsidRPr="00643528" w:rsidRDefault="00D61175" w:rsidP="0008747B">
            <w:pPr>
              <w:pStyle w:val="TableText"/>
              <w:jc w:val="right"/>
              <w:rPr>
                <w:lang w:eastAsia="en-AU"/>
              </w:rPr>
            </w:pPr>
            <w:r w:rsidRPr="00643528">
              <w:rPr>
                <w:lang w:eastAsia="en-AU"/>
              </w:rPr>
              <w:t>5,607</w:t>
            </w:r>
          </w:p>
        </w:tc>
        <w:tc>
          <w:tcPr>
            <w:tcW w:w="573" w:type="pct"/>
            <w:tcBorders>
              <w:top w:val="nil"/>
              <w:left w:val="nil"/>
              <w:bottom w:val="single" w:sz="8" w:space="0" w:color="auto"/>
              <w:right w:val="nil"/>
            </w:tcBorders>
            <w:shd w:val="clear" w:color="auto" w:fill="auto"/>
            <w:hideMark/>
          </w:tcPr>
          <w:p w14:paraId="3524A8A5" w14:textId="77777777" w:rsidR="00D61175" w:rsidRPr="00643528" w:rsidRDefault="00D61175" w:rsidP="0008747B">
            <w:pPr>
              <w:pStyle w:val="TableText"/>
              <w:jc w:val="right"/>
              <w:rPr>
                <w:lang w:eastAsia="en-AU"/>
              </w:rPr>
            </w:pPr>
            <w:r w:rsidRPr="00643528">
              <w:rPr>
                <w:lang w:eastAsia="en-AU"/>
              </w:rPr>
              <w:t>1,223,643</w:t>
            </w:r>
          </w:p>
        </w:tc>
        <w:tc>
          <w:tcPr>
            <w:tcW w:w="584" w:type="pct"/>
            <w:tcBorders>
              <w:top w:val="nil"/>
              <w:left w:val="nil"/>
              <w:bottom w:val="single" w:sz="8" w:space="0" w:color="auto"/>
              <w:right w:val="nil"/>
            </w:tcBorders>
            <w:shd w:val="clear" w:color="auto" w:fill="auto"/>
            <w:hideMark/>
          </w:tcPr>
          <w:p w14:paraId="5A669B7B" w14:textId="77777777" w:rsidR="00D61175" w:rsidRPr="00643528" w:rsidRDefault="00D61175" w:rsidP="0008747B">
            <w:pPr>
              <w:pStyle w:val="TableText"/>
              <w:jc w:val="right"/>
              <w:rPr>
                <w:lang w:eastAsia="en-AU"/>
              </w:rPr>
            </w:pPr>
            <w:r w:rsidRPr="00643528">
              <w:rPr>
                <w:lang w:eastAsia="en-AU"/>
              </w:rPr>
              <w:t>(1,218,036)</w:t>
            </w:r>
          </w:p>
        </w:tc>
        <w:tc>
          <w:tcPr>
            <w:tcW w:w="480" w:type="pct"/>
            <w:tcBorders>
              <w:top w:val="nil"/>
              <w:left w:val="nil"/>
              <w:bottom w:val="single" w:sz="8" w:space="0" w:color="auto"/>
              <w:right w:val="nil"/>
            </w:tcBorders>
            <w:shd w:val="clear" w:color="auto" w:fill="auto"/>
            <w:hideMark/>
          </w:tcPr>
          <w:p w14:paraId="2D6799D9" w14:textId="77777777" w:rsidR="00D61175" w:rsidRPr="00643528" w:rsidRDefault="00D61175" w:rsidP="0008747B">
            <w:pPr>
              <w:pStyle w:val="TableText"/>
              <w:jc w:val="right"/>
              <w:rPr>
                <w:lang w:eastAsia="en-AU"/>
              </w:rPr>
            </w:pPr>
            <w:r w:rsidRPr="00643528">
              <w:rPr>
                <w:lang w:eastAsia="en-AU"/>
              </w:rPr>
              <w:t>(100)</w:t>
            </w:r>
          </w:p>
        </w:tc>
        <w:tc>
          <w:tcPr>
            <w:tcW w:w="573" w:type="pct"/>
            <w:tcBorders>
              <w:top w:val="nil"/>
              <w:left w:val="nil"/>
              <w:bottom w:val="single" w:sz="8" w:space="0" w:color="auto"/>
              <w:right w:val="nil"/>
            </w:tcBorders>
            <w:shd w:val="clear" w:color="auto" w:fill="auto"/>
            <w:hideMark/>
          </w:tcPr>
          <w:p w14:paraId="7A85DD57" w14:textId="77777777" w:rsidR="00D61175" w:rsidRPr="00643528" w:rsidRDefault="00D61175" w:rsidP="0008747B">
            <w:pPr>
              <w:pStyle w:val="TableText"/>
              <w:jc w:val="right"/>
              <w:rPr>
                <w:lang w:eastAsia="en-AU"/>
              </w:rPr>
            </w:pPr>
            <w:r w:rsidRPr="00643528">
              <w:rPr>
                <w:lang w:eastAsia="en-AU"/>
              </w:rPr>
              <w:t>1,520,908</w:t>
            </w:r>
          </w:p>
        </w:tc>
      </w:tr>
      <w:tr w:rsidR="00D61175" w:rsidRPr="00643528" w14:paraId="5A12D8E1" w14:textId="77777777" w:rsidTr="00962E4F">
        <w:tc>
          <w:tcPr>
            <w:tcW w:w="939" w:type="pct"/>
            <w:vMerge w:val="restart"/>
            <w:tcBorders>
              <w:top w:val="nil"/>
              <w:left w:val="nil"/>
              <w:bottom w:val="single" w:sz="8" w:space="0" w:color="000000"/>
              <w:right w:val="nil"/>
            </w:tcBorders>
            <w:shd w:val="clear" w:color="auto" w:fill="auto"/>
            <w:hideMark/>
          </w:tcPr>
          <w:p w14:paraId="39439781" w14:textId="77777777" w:rsidR="00D61175" w:rsidRPr="00643528" w:rsidRDefault="00D61175" w:rsidP="00256F28">
            <w:pPr>
              <w:pStyle w:val="TableText"/>
              <w:rPr>
                <w:lang w:eastAsia="en-AU"/>
              </w:rPr>
            </w:pPr>
            <w:r w:rsidRPr="00643528">
              <w:rPr>
                <w:lang w:eastAsia="en-AU"/>
              </w:rPr>
              <w:t>Fees – documentation</w:t>
            </w:r>
          </w:p>
        </w:tc>
        <w:tc>
          <w:tcPr>
            <w:tcW w:w="1278" w:type="pct"/>
            <w:tcBorders>
              <w:top w:val="nil"/>
              <w:left w:val="nil"/>
              <w:bottom w:val="single" w:sz="4" w:space="0" w:color="auto"/>
              <w:right w:val="nil"/>
            </w:tcBorders>
            <w:shd w:val="clear" w:color="auto" w:fill="auto"/>
            <w:hideMark/>
          </w:tcPr>
          <w:p w14:paraId="7118019B" w14:textId="64DD68E5" w:rsidR="00D61175" w:rsidRPr="00643528" w:rsidRDefault="00D61175" w:rsidP="00256F28">
            <w:pPr>
              <w:pStyle w:val="TableText"/>
              <w:rPr>
                <w:lang w:eastAsia="en-AU"/>
              </w:rPr>
            </w:pPr>
            <w:r w:rsidRPr="00643528">
              <w:rPr>
                <w:lang w:eastAsia="en-AU"/>
              </w:rPr>
              <w:t xml:space="preserve">Electronic </w:t>
            </w:r>
            <w:r w:rsidR="00595257">
              <w:rPr>
                <w:lang w:eastAsia="en-AU"/>
              </w:rPr>
              <w:t>c</w:t>
            </w:r>
            <w:r w:rsidRPr="00643528">
              <w:rPr>
                <w:lang w:eastAsia="en-AU"/>
              </w:rPr>
              <w:t>ertificates</w:t>
            </w:r>
          </w:p>
        </w:tc>
        <w:tc>
          <w:tcPr>
            <w:tcW w:w="573" w:type="pct"/>
            <w:tcBorders>
              <w:top w:val="nil"/>
              <w:left w:val="nil"/>
              <w:bottom w:val="single" w:sz="4" w:space="0" w:color="auto"/>
              <w:right w:val="nil"/>
            </w:tcBorders>
            <w:shd w:val="clear" w:color="auto" w:fill="auto"/>
            <w:hideMark/>
          </w:tcPr>
          <w:p w14:paraId="41029E08" w14:textId="77777777" w:rsidR="00D61175" w:rsidRPr="00643528" w:rsidRDefault="00D61175" w:rsidP="0008747B">
            <w:pPr>
              <w:pStyle w:val="TableText"/>
              <w:jc w:val="right"/>
              <w:rPr>
                <w:lang w:eastAsia="en-AU"/>
              </w:rPr>
            </w:pPr>
            <w:r w:rsidRPr="00643528">
              <w:rPr>
                <w:lang w:eastAsia="en-AU"/>
              </w:rPr>
              <w:t>1,510,405</w:t>
            </w:r>
          </w:p>
        </w:tc>
        <w:tc>
          <w:tcPr>
            <w:tcW w:w="573" w:type="pct"/>
            <w:tcBorders>
              <w:top w:val="nil"/>
              <w:left w:val="nil"/>
              <w:bottom w:val="single" w:sz="4" w:space="0" w:color="auto"/>
              <w:right w:val="nil"/>
            </w:tcBorders>
            <w:shd w:val="clear" w:color="auto" w:fill="auto"/>
            <w:hideMark/>
          </w:tcPr>
          <w:p w14:paraId="1C75632A" w14:textId="77777777" w:rsidR="00D61175" w:rsidRPr="00643528" w:rsidRDefault="00D61175" w:rsidP="0008747B">
            <w:pPr>
              <w:pStyle w:val="TableText"/>
              <w:jc w:val="right"/>
              <w:rPr>
                <w:lang w:eastAsia="en-AU"/>
              </w:rPr>
            </w:pPr>
            <w:r w:rsidRPr="00643528">
              <w:rPr>
                <w:lang w:eastAsia="en-AU"/>
              </w:rPr>
              <w:t>1,221,280</w:t>
            </w:r>
          </w:p>
        </w:tc>
        <w:tc>
          <w:tcPr>
            <w:tcW w:w="584" w:type="pct"/>
            <w:tcBorders>
              <w:top w:val="nil"/>
              <w:left w:val="nil"/>
              <w:bottom w:val="single" w:sz="4" w:space="0" w:color="auto"/>
              <w:right w:val="nil"/>
            </w:tcBorders>
            <w:shd w:val="clear" w:color="auto" w:fill="auto"/>
            <w:hideMark/>
          </w:tcPr>
          <w:p w14:paraId="5E69F5F5" w14:textId="77777777" w:rsidR="00D61175" w:rsidRPr="00643528" w:rsidRDefault="00D61175" w:rsidP="0008747B">
            <w:pPr>
              <w:pStyle w:val="TableText"/>
              <w:jc w:val="right"/>
              <w:rPr>
                <w:lang w:eastAsia="en-AU"/>
              </w:rPr>
            </w:pPr>
            <w:r w:rsidRPr="00643528">
              <w:rPr>
                <w:lang w:eastAsia="en-AU"/>
              </w:rPr>
              <w:t>289,125</w:t>
            </w:r>
          </w:p>
        </w:tc>
        <w:tc>
          <w:tcPr>
            <w:tcW w:w="480" w:type="pct"/>
            <w:tcBorders>
              <w:top w:val="nil"/>
              <w:left w:val="nil"/>
              <w:bottom w:val="single" w:sz="4" w:space="0" w:color="auto"/>
              <w:right w:val="nil"/>
            </w:tcBorders>
            <w:shd w:val="clear" w:color="auto" w:fill="auto"/>
            <w:hideMark/>
          </w:tcPr>
          <w:p w14:paraId="220D9E95" w14:textId="77777777" w:rsidR="00D61175" w:rsidRPr="00643528" w:rsidRDefault="00D61175" w:rsidP="0008747B">
            <w:pPr>
              <w:pStyle w:val="TableText"/>
              <w:jc w:val="right"/>
              <w:rPr>
                <w:lang w:eastAsia="en-AU"/>
              </w:rPr>
            </w:pPr>
            <w:r w:rsidRPr="00643528">
              <w:rPr>
                <w:lang w:eastAsia="en-AU"/>
              </w:rPr>
              <w:t>24</w:t>
            </w:r>
          </w:p>
        </w:tc>
        <w:tc>
          <w:tcPr>
            <w:tcW w:w="573" w:type="pct"/>
            <w:tcBorders>
              <w:top w:val="nil"/>
              <w:left w:val="nil"/>
              <w:bottom w:val="single" w:sz="4" w:space="0" w:color="auto"/>
              <w:right w:val="nil"/>
            </w:tcBorders>
            <w:shd w:val="clear" w:color="auto" w:fill="auto"/>
            <w:hideMark/>
          </w:tcPr>
          <w:p w14:paraId="7F898727" w14:textId="77777777" w:rsidR="00D61175" w:rsidRPr="00643528" w:rsidRDefault="00D61175" w:rsidP="0008747B">
            <w:pPr>
              <w:pStyle w:val="TableText"/>
              <w:jc w:val="right"/>
              <w:rPr>
                <w:lang w:eastAsia="en-AU"/>
              </w:rPr>
            </w:pPr>
            <w:r w:rsidRPr="00643528">
              <w:rPr>
                <w:lang w:eastAsia="en-AU"/>
              </w:rPr>
              <w:t>1,228,309</w:t>
            </w:r>
          </w:p>
        </w:tc>
      </w:tr>
      <w:tr w:rsidR="00D61175" w:rsidRPr="00643528" w14:paraId="090CEC67" w14:textId="77777777" w:rsidTr="00962E4F">
        <w:tc>
          <w:tcPr>
            <w:tcW w:w="939" w:type="pct"/>
            <w:vMerge/>
            <w:tcBorders>
              <w:top w:val="nil"/>
              <w:left w:val="nil"/>
              <w:bottom w:val="single" w:sz="8" w:space="0" w:color="000000"/>
              <w:right w:val="nil"/>
            </w:tcBorders>
            <w:hideMark/>
          </w:tcPr>
          <w:p w14:paraId="2017175E" w14:textId="77777777" w:rsidR="00D61175" w:rsidRPr="00643528" w:rsidRDefault="00D61175" w:rsidP="00256F28">
            <w:pPr>
              <w:pStyle w:val="TableText"/>
              <w:rPr>
                <w:lang w:eastAsia="en-AU"/>
              </w:rPr>
            </w:pPr>
          </w:p>
        </w:tc>
        <w:tc>
          <w:tcPr>
            <w:tcW w:w="1278" w:type="pct"/>
            <w:tcBorders>
              <w:top w:val="nil"/>
              <w:left w:val="nil"/>
              <w:bottom w:val="single" w:sz="4" w:space="0" w:color="auto"/>
              <w:right w:val="nil"/>
            </w:tcBorders>
            <w:shd w:val="clear" w:color="auto" w:fill="auto"/>
            <w:hideMark/>
          </w:tcPr>
          <w:p w14:paraId="30E82CA5" w14:textId="3D6D51D8" w:rsidR="00D61175" w:rsidRPr="00643528" w:rsidRDefault="00D61175" w:rsidP="00256F28">
            <w:pPr>
              <w:pStyle w:val="TableText"/>
              <w:rPr>
                <w:lang w:eastAsia="en-AU"/>
              </w:rPr>
            </w:pPr>
            <w:r w:rsidRPr="00643528">
              <w:rPr>
                <w:lang w:eastAsia="en-AU"/>
              </w:rPr>
              <w:t xml:space="preserve">Manual </w:t>
            </w:r>
            <w:r w:rsidR="00595257">
              <w:rPr>
                <w:lang w:eastAsia="en-AU"/>
              </w:rPr>
              <w:t>d</w:t>
            </w:r>
            <w:r w:rsidRPr="00643528">
              <w:rPr>
                <w:lang w:eastAsia="en-AU"/>
              </w:rPr>
              <w:t>ocuments</w:t>
            </w:r>
          </w:p>
        </w:tc>
        <w:tc>
          <w:tcPr>
            <w:tcW w:w="573" w:type="pct"/>
            <w:tcBorders>
              <w:top w:val="nil"/>
              <w:left w:val="nil"/>
              <w:bottom w:val="single" w:sz="4" w:space="0" w:color="auto"/>
              <w:right w:val="nil"/>
            </w:tcBorders>
            <w:shd w:val="clear" w:color="auto" w:fill="auto"/>
            <w:hideMark/>
          </w:tcPr>
          <w:p w14:paraId="560571F5" w14:textId="77777777" w:rsidR="00D61175" w:rsidRPr="00643528" w:rsidRDefault="00D61175" w:rsidP="0008747B">
            <w:pPr>
              <w:pStyle w:val="TableText"/>
              <w:jc w:val="right"/>
              <w:rPr>
                <w:lang w:eastAsia="en-AU"/>
              </w:rPr>
            </w:pPr>
            <w:r w:rsidRPr="00643528">
              <w:rPr>
                <w:lang w:eastAsia="en-AU"/>
              </w:rPr>
              <w:t>27,380</w:t>
            </w:r>
          </w:p>
        </w:tc>
        <w:tc>
          <w:tcPr>
            <w:tcW w:w="573" w:type="pct"/>
            <w:tcBorders>
              <w:top w:val="nil"/>
              <w:left w:val="nil"/>
              <w:bottom w:val="single" w:sz="4" w:space="0" w:color="auto"/>
              <w:right w:val="nil"/>
            </w:tcBorders>
            <w:shd w:val="clear" w:color="auto" w:fill="auto"/>
            <w:hideMark/>
          </w:tcPr>
          <w:p w14:paraId="29F1B0CD" w14:textId="77777777" w:rsidR="00D61175" w:rsidRPr="00643528" w:rsidRDefault="00D61175" w:rsidP="0008747B">
            <w:pPr>
              <w:pStyle w:val="TableText"/>
              <w:jc w:val="right"/>
              <w:rPr>
                <w:lang w:eastAsia="en-AU"/>
              </w:rPr>
            </w:pPr>
            <w:r w:rsidRPr="00643528">
              <w:rPr>
                <w:lang w:eastAsia="en-AU"/>
              </w:rPr>
              <w:t>47,670</w:t>
            </w:r>
          </w:p>
        </w:tc>
        <w:tc>
          <w:tcPr>
            <w:tcW w:w="584" w:type="pct"/>
            <w:tcBorders>
              <w:top w:val="nil"/>
              <w:left w:val="nil"/>
              <w:bottom w:val="single" w:sz="4" w:space="0" w:color="auto"/>
              <w:right w:val="nil"/>
            </w:tcBorders>
            <w:shd w:val="clear" w:color="auto" w:fill="auto"/>
            <w:hideMark/>
          </w:tcPr>
          <w:p w14:paraId="3818786C" w14:textId="77777777" w:rsidR="00D61175" w:rsidRPr="00643528" w:rsidRDefault="00D61175" w:rsidP="0008747B">
            <w:pPr>
              <w:pStyle w:val="TableText"/>
              <w:jc w:val="right"/>
              <w:rPr>
                <w:lang w:eastAsia="en-AU"/>
              </w:rPr>
            </w:pPr>
            <w:r w:rsidRPr="00643528">
              <w:rPr>
                <w:lang w:eastAsia="en-AU"/>
              </w:rPr>
              <w:t>(20,290)</w:t>
            </w:r>
          </w:p>
        </w:tc>
        <w:tc>
          <w:tcPr>
            <w:tcW w:w="480" w:type="pct"/>
            <w:tcBorders>
              <w:top w:val="nil"/>
              <w:left w:val="nil"/>
              <w:bottom w:val="single" w:sz="4" w:space="0" w:color="auto"/>
              <w:right w:val="nil"/>
            </w:tcBorders>
            <w:shd w:val="clear" w:color="auto" w:fill="auto"/>
            <w:hideMark/>
          </w:tcPr>
          <w:p w14:paraId="1DD099CF" w14:textId="77777777" w:rsidR="00D61175" w:rsidRPr="00643528" w:rsidRDefault="00D61175" w:rsidP="0008747B">
            <w:pPr>
              <w:pStyle w:val="TableText"/>
              <w:jc w:val="right"/>
              <w:rPr>
                <w:lang w:eastAsia="en-AU"/>
              </w:rPr>
            </w:pPr>
            <w:r w:rsidRPr="00643528">
              <w:rPr>
                <w:lang w:eastAsia="en-AU"/>
              </w:rPr>
              <w:t>(43)</w:t>
            </w:r>
          </w:p>
        </w:tc>
        <w:tc>
          <w:tcPr>
            <w:tcW w:w="573" w:type="pct"/>
            <w:tcBorders>
              <w:top w:val="nil"/>
              <w:left w:val="nil"/>
              <w:bottom w:val="single" w:sz="4" w:space="0" w:color="auto"/>
              <w:right w:val="nil"/>
            </w:tcBorders>
            <w:shd w:val="clear" w:color="auto" w:fill="auto"/>
            <w:hideMark/>
          </w:tcPr>
          <w:p w14:paraId="66A9541E" w14:textId="77777777" w:rsidR="00D61175" w:rsidRPr="00643528" w:rsidRDefault="00D61175" w:rsidP="0008747B">
            <w:pPr>
              <w:pStyle w:val="TableText"/>
              <w:jc w:val="right"/>
              <w:rPr>
                <w:lang w:eastAsia="en-AU"/>
              </w:rPr>
            </w:pPr>
            <w:r w:rsidRPr="00643528">
              <w:rPr>
                <w:lang w:eastAsia="en-AU"/>
              </w:rPr>
              <w:t>32,460</w:t>
            </w:r>
          </w:p>
        </w:tc>
      </w:tr>
      <w:tr w:rsidR="00D61175" w:rsidRPr="00643528" w14:paraId="7DEDAB08" w14:textId="77777777" w:rsidTr="00962E4F">
        <w:tc>
          <w:tcPr>
            <w:tcW w:w="939" w:type="pct"/>
            <w:vMerge/>
            <w:tcBorders>
              <w:top w:val="nil"/>
              <w:left w:val="nil"/>
              <w:bottom w:val="single" w:sz="8" w:space="0" w:color="000000"/>
              <w:right w:val="nil"/>
            </w:tcBorders>
            <w:hideMark/>
          </w:tcPr>
          <w:p w14:paraId="4FD5D54D" w14:textId="77777777" w:rsidR="00D61175" w:rsidRPr="00643528" w:rsidRDefault="00D61175" w:rsidP="00256F28">
            <w:pPr>
              <w:pStyle w:val="TableText"/>
              <w:rPr>
                <w:lang w:eastAsia="en-AU"/>
              </w:rPr>
            </w:pPr>
          </w:p>
        </w:tc>
        <w:tc>
          <w:tcPr>
            <w:tcW w:w="1278" w:type="pct"/>
            <w:tcBorders>
              <w:top w:val="nil"/>
              <w:left w:val="nil"/>
              <w:bottom w:val="single" w:sz="8" w:space="0" w:color="auto"/>
              <w:right w:val="nil"/>
            </w:tcBorders>
            <w:shd w:val="clear" w:color="auto" w:fill="auto"/>
            <w:hideMark/>
          </w:tcPr>
          <w:p w14:paraId="5964D96A" w14:textId="0D3B931C" w:rsidR="00D61175" w:rsidRPr="00643528" w:rsidRDefault="00D61175" w:rsidP="00256F28">
            <w:pPr>
              <w:pStyle w:val="TableText"/>
              <w:rPr>
                <w:lang w:eastAsia="en-AU"/>
              </w:rPr>
            </w:pPr>
            <w:r w:rsidRPr="00643528">
              <w:rPr>
                <w:lang w:eastAsia="en-AU"/>
              </w:rPr>
              <w:t xml:space="preserve">Document – </w:t>
            </w:r>
            <w:r w:rsidR="00595257">
              <w:rPr>
                <w:lang w:eastAsia="en-AU"/>
              </w:rPr>
              <w:t>r</w:t>
            </w:r>
            <w:r w:rsidRPr="00643528">
              <w:rPr>
                <w:lang w:eastAsia="en-AU"/>
              </w:rPr>
              <w:t>eplacement</w:t>
            </w:r>
          </w:p>
        </w:tc>
        <w:tc>
          <w:tcPr>
            <w:tcW w:w="573" w:type="pct"/>
            <w:tcBorders>
              <w:top w:val="nil"/>
              <w:left w:val="nil"/>
              <w:bottom w:val="single" w:sz="8" w:space="0" w:color="auto"/>
              <w:right w:val="nil"/>
            </w:tcBorders>
            <w:shd w:val="clear" w:color="auto" w:fill="auto"/>
            <w:hideMark/>
          </w:tcPr>
          <w:p w14:paraId="0CF5ADAC" w14:textId="77777777" w:rsidR="00D61175" w:rsidRPr="00643528" w:rsidRDefault="00D61175" w:rsidP="0008747B">
            <w:pPr>
              <w:pStyle w:val="TableText"/>
              <w:jc w:val="right"/>
              <w:rPr>
                <w:lang w:eastAsia="en-AU"/>
              </w:rPr>
            </w:pPr>
            <w:r w:rsidRPr="00643528">
              <w:rPr>
                <w:lang w:eastAsia="en-AU"/>
              </w:rPr>
              <w:t>1,482,745</w:t>
            </w:r>
          </w:p>
        </w:tc>
        <w:tc>
          <w:tcPr>
            <w:tcW w:w="573" w:type="pct"/>
            <w:tcBorders>
              <w:top w:val="nil"/>
              <w:left w:val="nil"/>
              <w:bottom w:val="single" w:sz="8" w:space="0" w:color="auto"/>
              <w:right w:val="nil"/>
            </w:tcBorders>
            <w:shd w:val="clear" w:color="auto" w:fill="auto"/>
            <w:hideMark/>
          </w:tcPr>
          <w:p w14:paraId="4814641E" w14:textId="77777777" w:rsidR="00D61175" w:rsidRPr="00643528" w:rsidRDefault="00D61175" w:rsidP="0008747B">
            <w:pPr>
              <w:pStyle w:val="TableText"/>
              <w:jc w:val="right"/>
              <w:rPr>
                <w:lang w:eastAsia="en-AU"/>
              </w:rPr>
            </w:pPr>
            <w:r w:rsidRPr="00643528">
              <w:rPr>
                <w:lang w:eastAsia="en-AU"/>
              </w:rPr>
              <w:t>253,260</w:t>
            </w:r>
          </w:p>
        </w:tc>
        <w:tc>
          <w:tcPr>
            <w:tcW w:w="584" w:type="pct"/>
            <w:tcBorders>
              <w:top w:val="nil"/>
              <w:left w:val="nil"/>
              <w:bottom w:val="single" w:sz="8" w:space="0" w:color="auto"/>
              <w:right w:val="nil"/>
            </w:tcBorders>
            <w:shd w:val="clear" w:color="auto" w:fill="auto"/>
            <w:hideMark/>
          </w:tcPr>
          <w:p w14:paraId="5151BB6C" w14:textId="77777777" w:rsidR="00D61175" w:rsidRPr="00643528" w:rsidRDefault="00D61175" w:rsidP="0008747B">
            <w:pPr>
              <w:pStyle w:val="TableText"/>
              <w:jc w:val="right"/>
              <w:rPr>
                <w:lang w:eastAsia="en-AU"/>
              </w:rPr>
            </w:pPr>
            <w:r w:rsidRPr="00643528">
              <w:rPr>
                <w:lang w:eastAsia="en-AU"/>
              </w:rPr>
              <w:t>1,229,485</w:t>
            </w:r>
          </w:p>
        </w:tc>
        <w:tc>
          <w:tcPr>
            <w:tcW w:w="480" w:type="pct"/>
            <w:tcBorders>
              <w:top w:val="nil"/>
              <w:left w:val="nil"/>
              <w:bottom w:val="single" w:sz="8" w:space="0" w:color="auto"/>
              <w:right w:val="nil"/>
            </w:tcBorders>
            <w:shd w:val="clear" w:color="auto" w:fill="auto"/>
            <w:hideMark/>
          </w:tcPr>
          <w:p w14:paraId="479006FC" w14:textId="77777777" w:rsidR="00D61175" w:rsidRPr="00643528" w:rsidRDefault="00D61175" w:rsidP="0008747B">
            <w:pPr>
              <w:pStyle w:val="TableText"/>
              <w:jc w:val="right"/>
              <w:rPr>
                <w:lang w:eastAsia="en-AU"/>
              </w:rPr>
            </w:pPr>
            <w:r w:rsidRPr="00643528">
              <w:rPr>
                <w:lang w:eastAsia="en-AU"/>
              </w:rPr>
              <w:t>&gt;100</w:t>
            </w:r>
          </w:p>
        </w:tc>
        <w:tc>
          <w:tcPr>
            <w:tcW w:w="573" w:type="pct"/>
            <w:tcBorders>
              <w:top w:val="nil"/>
              <w:left w:val="nil"/>
              <w:bottom w:val="single" w:sz="8" w:space="0" w:color="auto"/>
              <w:right w:val="nil"/>
            </w:tcBorders>
            <w:shd w:val="clear" w:color="auto" w:fill="auto"/>
            <w:hideMark/>
          </w:tcPr>
          <w:p w14:paraId="7B68C8D6" w14:textId="77777777" w:rsidR="00D61175" w:rsidRPr="00643528" w:rsidRDefault="00D61175" w:rsidP="0008747B">
            <w:pPr>
              <w:pStyle w:val="TableText"/>
              <w:jc w:val="right"/>
              <w:rPr>
                <w:lang w:eastAsia="en-AU"/>
              </w:rPr>
            </w:pPr>
            <w:r w:rsidRPr="00643528">
              <w:rPr>
                <w:lang w:eastAsia="en-AU"/>
              </w:rPr>
              <w:t>1,234,057</w:t>
            </w:r>
          </w:p>
        </w:tc>
      </w:tr>
      <w:tr w:rsidR="00D61175" w:rsidRPr="00643528" w14:paraId="40B2B2BF" w14:textId="77777777" w:rsidTr="00962E4F">
        <w:tc>
          <w:tcPr>
            <w:tcW w:w="939" w:type="pct"/>
            <w:tcBorders>
              <w:top w:val="nil"/>
              <w:left w:val="nil"/>
              <w:bottom w:val="single" w:sz="8" w:space="0" w:color="auto"/>
              <w:right w:val="nil"/>
            </w:tcBorders>
            <w:shd w:val="clear" w:color="auto" w:fill="auto"/>
            <w:hideMark/>
          </w:tcPr>
          <w:p w14:paraId="21C74453" w14:textId="77777777" w:rsidR="00D61175" w:rsidRPr="00643528" w:rsidRDefault="00D61175" w:rsidP="00256F28">
            <w:pPr>
              <w:pStyle w:val="TableText"/>
              <w:rPr>
                <w:lang w:eastAsia="en-AU"/>
              </w:rPr>
            </w:pPr>
            <w:r w:rsidRPr="00643528">
              <w:rPr>
                <w:lang w:eastAsia="en-AU"/>
              </w:rPr>
              <w:t xml:space="preserve">Organics </w:t>
            </w:r>
            <w:r w:rsidRPr="00084D2D">
              <w:rPr>
                <w:b/>
                <w:bCs/>
                <w:vertAlign w:val="superscript"/>
                <w:lang w:eastAsia="en-AU"/>
              </w:rPr>
              <w:t>a</w:t>
            </w:r>
          </w:p>
        </w:tc>
        <w:tc>
          <w:tcPr>
            <w:tcW w:w="1278" w:type="pct"/>
            <w:tcBorders>
              <w:top w:val="nil"/>
              <w:left w:val="nil"/>
              <w:bottom w:val="single" w:sz="8" w:space="0" w:color="auto"/>
              <w:right w:val="nil"/>
            </w:tcBorders>
            <w:shd w:val="clear" w:color="auto" w:fill="auto"/>
            <w:hideMark/>
          </w:tcPr>
          <w:p w14:paraId="7494E5B6" w14:textId="77777777" w:rsidR="00D61175" w:rsidRPr="00643528" w:rsidRDefault="00D61175" w:rsidP="00256F28">
            <w:pPr>
              <w:pStyle w:val="TableText"/>
              <w:rPr>
                <w:lang w:eastAsia="en-AU"/>
              </w:rPr>
            </w:pPr>
            <w:r w:rsidRPr="00643528">
              <w:rPr>
                <w:lang w:eastAsia="en-AU"/>
              </w:rPr>
              <w:t>Organic certifying organisation</w:t>
            </w:r>
          </w:p>
        </w:tc>
        <w:tc>
          <w:tcPr>
            <w:tcW w:w="573" w:type="pct"/>
            <w:tcBorders>
              <w:top w:val="nil"/>
              <w:left w:val="nil"/>
              <w:bottom w:val="single" w:sz="8" w:space="0" w:color="auto"/>
              <w:right w:val="nil"/>
            </w:tcBorders>
            <w:shd w:val="clear" w:color="auto" w:fill="auto"/>
            <w:hideMark/>
          </w:tcPr>
          <w:p w14:paraId="0F3D74DA" w14:textId="77777777" w:rsidR="00D61175" w:rsidRPr="00643528" w:rsidRDefault="00D61175" w:rsidP="0008747B">
            <w:pPr>
              <w:pStyle w:val="TableText"/>
              <w:jc w:val="right"/>
              <w:rPr>
                <w:lang w:eastAsia="en-AU"/>
              </w:rPr>
            </w:pPr>
            <w:r w:rsidRPr="00643528">
              <w:rPr>
                <w:lang w:eastAsia="en-AU"/>
              </w:rPr>
              <w:t>8,439</w:t>
            </w:r>
          </w:p>
        </w:tc>
        <w:tc>
          <w:tcPr>
            <w:tcW w:w="573" w:type="pct"/>
            <w:tcBorders>
              <w:top w:val="nil"/>
              <w:left w:val="nil"/>
              <w:bottom w:val="single" w:sz="8" w:space="0" w:color="auto"/>
              <w:right w:val="nil"/>
            </w:tcBorders>
            <w:shd w:val="clear" w:color="auto" w:fill="auto"/>
            <w:hideMark/>
          </w:tcPr>
          <w:p w14:paraId="43B87AE1" w14:textId="77777777" w:rsidR="00D61175" w:rsidRPr="00643528" w:rsidRDefault="00D61175" w:rsidP="0008747B">
            <w:pPr>
              <w:pStyle w:val="TableText"/>
              <w:jc w:val="right"/>
              <w:rPr>
                <w:lang w:eastAsia="en-AU"/>
              </w:rPr>
            </w:pPr>
            <w:r w:rsidRPr="00643528">
              <w:rPr>
                <w:lang w:eastAsia="en-AU"/>
              </w:rPr>
              <w:t>8,439</w:t>
            </w:r>
          </w:p>
        </w:tc>
        <w:tc>
          <w:tcPr>
            <w:tcW w:w="584" w:type="pct"/>
            <w:tcBorders>
              <w:top w:val="nil"/>
              <w:left w:val="nil"/>
              <w:bottom w:val="single" w:sz="8" w:space="0" w:color="auto"/>
              <w:right w:val="nil"/>
            </w:tcBorders>
            <w:shd w:val="clear" w:color="auto" w:fill="auto"/>
            <w:hideMark/>
          </w:tcPr>
          <w:p w14:paraId="174EDF9C" w14:textId="3E6EF841" w:rsidR="00D61175" w:rsidRPr="00643528" w:rsidRDefault="00AB45BF" w:rsidP="0008747B">
            <w:pPr>
              <w:pStyle w:val="TableText"/>
              <w:jc w:val="right"/>
              <w:rPr>
                <w:lang w:eastAsia="en-AU"/>
              </w:rPr>
            </w:pPr>
            <w:r w:rsidRPr="00643528">
              <w:rPr>
                <w:lang w:eastAsia="en-AU"/>
              </w:rPr>
              <w:t>—</w:t>
            </w:r>
          </w:p>
        </w:tc>
        <w:tc>
          <w:tcPr>
            <w:tcW w:w="480" w:type="pct"/>
            <w:tcBorders>
              <w:top w:val="nil"/>
              <w:left w:val="nil"/>
              <w:bottom w:val="single" w:sz="8" w:space="0" w:color="auto"/>
              <w:right w:val="nil"/>
            </w:tcBorders>
            <w:shd w:val="clear" w:color="auto" w:fill="auto"/>
            <w:hideMark/>
          </w:tcPr>
          <w:p w14:paraId="47E51D4B" w14:textId="45FE91EF" w:rsidR="00D61175" w:rsidRPr="00643528" w:rsidRDefault="00AB45BF" w:rsidP="0008747B">
            <w:pPr>
              <w:pStyle w:val="TableText"/>
              <w:jc w:val="right"/>
              <w:rPr>
                <w:lang w:eastAsia="en-AU"/>
              </w:rPr>
            </w:pPr>
            <w:r w:rsidRPr="00643528">
              <w:rPr>
                <w:lang w:eastAsia="en-AU"/>
              </w:rPr>
              <w:t>—</w:t>
            </w:r>
          </w:p>
        </w:tc>
        <w:tc>
          <w:tcPr>
            <w:tcW w:w="573" w:type="pct"/>
            <w:tcBorders>
              <w:top w:val="nil"/>
              <w:left w:val="nil"/>
              <w:bottom w:val="single" w:sz="8" w:space="0" w:color="auto"/>
              <w:right w:val="nil"/>
            </w:tcBorders>
            <w:shd w:val="clear" w:color="auto" w:fill="auto"/>
            <w:hideMark/>
          </w:tcPr>
          <w:p w14:paraId="3BA193DF" w14:textId="77777777" w:rsidR="00D61175" w:rsidRPr="00643528" w:rsidRDefault="00D61175" w:rsidP="0008747B">
            <w:pPr>
              <w:pStyle w:val="TableText"/>
              <w:jc w:val="right"/>
              <w:rPr>
                <w:lang w:eastAsia="en-AU"/>
              </w:rPr>
            </w:pPr>
            <w:r w:rsidRPr="00643528">
              <w:rPr>
                <w:lang w:eastAsia="en-AU"/>
              </w:rPr>
              <w:t>0</w:t>
            </w:r>
          </w:p>
        </w:tc>
      </w:tr>
      <w:tr w:rsidR="00D61175" w:rsidRPr="00643528" w14:paraId="45955DED" w14:textId="77777777" w:rsidTr="00962E4F">
        <w:tc>
          <w:tcPr>
            <w:tcW w:w="939" w:type="pct"/>
            <w:tcBorders>
              <w:top w:val="nil"/>
              <w:left w:val="nil"/>
              <w:bottom w:val="single" w:sz="8" w:space="0" w:color="auto"/>
              <w:right w:val="nil"/>
            </w:tcBorders>
            <w:shd w:val="clear" w:color="auto" w:fill="auto"/>
            <w:hideMark/>
          </w:tcPr>
          <w:p w14:paraId="22800FF9" w14:textId="77777777" w:rsidR="00D61175" w:rsidRPr="00643528" w:rsidRDefault="00D61175" w:rsidP="00256F28">
            <w:pPr>
              <w:pStyle w:val="TableText"/>
              <w:rPr>
                <w:rStyle w:val="Strong"/>
              </w:rPr>
            </w:pPr>
            <w:r w:rsidRPr="00643528">
              <w:rPr>
                <w:rStyle w:val="Strong"/>
              </w:rPr>
              <w:t>Total fees</w:t>
            </w:r>
          </w:p>
        </w:tc>
        <w:tc>
          <w:tcPr>
            <w:tcW w:w="1278" w:type="pct"/>
            <w:tcBorders>
              <w:top w:val="nil"/>
              <w:left w:val="nil"/>
              <w:bottom w:val="single" w:sz="8" w:space="0" w:color="auto"/>
              <w:right w:val="nil"/>
            </w:tcBorders>
            <w:shd w:val="clear" w:color="auto" w:fill="auto"/>
            <w:hideMark/>
          </w:tcPr>
          <w:p w14:paraId="25F17AFB" w14:textId="4B4A576D" w:rsidR="00D61175" w:rsidRPr="00643528" w:rsidRDefault="00AB45BF" w:rsidP="00256F28">
            <w:pPr>
              <w:pStyle w:val="TableText"/>
              <w:rPr>
                <w:rStyle w:val="Strong"/>
              </w:rPr>
            </w:pPr>
            <w:r w:rsidRPr="00643528">
              <w:rPr>
                <w:rStyle w:val="Strong"/>
              </w:rPr>
              <w:t>—</w:t>
            </w:r>
          </w:p>
        </w:tc>
        <w:tc>
          <w:tcPr>
            <w:tcW w:w="573" w:type="pct"/>
            <w:tcBorders>
              <w:top w:val="nil"/>
              <w:left w:val="nil"/>
              <w:bottom w:val="single" w:sz="8" w:space="0" w:color="auto"/>
              <w:right w:val="nil"/>
            </w:tcBorders>
            <w:shd w:val="clear" w:color="auto" w:fill="auto"/>
            <w:hideMark/>
          </w:tcPr>
          <w:p w14:paraId="3C07B983" w14:textId="77777777" w:rsidR="00D61175" w:rsidRPr="00643528" w:rsidRDefault="00D61175" w:rsidP="0008747B">
            <w:pPr>
              <w:pStyle w:val="TableText"/>
              <w:jc w:val="right"/>
              <w:rPr>
                <w:rStyle w:val="Strong"/>
              </w:rPr>
            </w:pPr>
            <w:r w:rsidRPr="00643528">
              <w:rPr>
                <w:rStyle w:val="Strong"/>
              </w:rPr>
              <w:t>56,298,696</w:t>
            </w:r>
          </w:p>
        </w:tc>
        <w:tc>
          <w:tcPr>
            <w:tcW w:w="573" w:type="pct"/>
            <w:tcBorders>
              <w:top w:val="nil"/>
              <w:left w:val="nil"/>
              <w:bottom w:val="single" w:sz="8" w:space="0" w:color="auto"/>
              <w:right w:val="nil"/>
            </w:tcBorders>
            <w:shd w:val="clear" w:color="auto" w:fill="auto"/>
            <w:hideMark/>
          </w:tcPr>
          <w:p w14:paraId="0F64B7A0" w14:textId="77777777" w:rsidR="00D61175" w:rsidRPr="00643528" w:rsidRDefault="00D61175" w:rsidP="0008747B">
            <w:pPr>
              <w:pStyle w:val="TableText"/>
              <w:jc w:val="right"/>
              <w:rPr>
                <w:rStyle w:val="Strong"/>
              </w:rPr>
            </w:pPr>
            <w:r w:rsidRPr="00643528">
              <w:rPr>
                <w:rStyle w:val="Strong"/>
              </w:rPr>
              <w:t>59,223,117</w:t>
            </w:r>
          </w:p>
        </w:tc>
        <w:tc>
          <w:tcPr>
            <w:tcW w:w="584" w:type="pct"/>
            <w:tcBorders>
              <w:top w:val="nil"/>
              <w:left w:val="nil"/>
              <w:bottom w:val="single" w:sz="8" w:space="0" w:color="auto"/>
              <w:right w:val="nil"/>
            </w:tcBorders>
            <w:shd w:val="clear" w:color="auto" w:fill="auto"/>
            <w:hideMark/>
          </w:tcPr>
          <w:p w14:paraId="25E53138" w14:textId="77777777" w:rsidR="00D61175" w:rsidRPr="00643528" w:rsidRDefault="00D61175" w:rsidP="0008747B">
            <w:pPr>
              <w:pStyle w:val="TableText"/>
              <w:jc w:val="right"/>
              <w:rPr>
                <w:rStyle w:val="Strong"/>
              </w:rPr>
            </w:pPr>
            <w:r w:rsidRPr="00643528">
              <w:rPr>
                <w:rStyle w:val="Strong"/>
              </w:rPr>
              <w:t>(2,924,421)</w:t>
            </w:r>
          </w:p>
        </w:tc>
        <w:tc>
          <w:tcPr>
            <w:tcW w:w="480" w:type="pct"/>
            <w:tcBorders>
              <w:top w:val="nil"/>
              <w:left w:val="nil"/>
              <w:bottom w:val="single" w:sz="8" w:space="0" w:color="auto"/>
              <w:right w:val="nil"/>
            </w:tcBorders>
            <w:shd w:val="clear" w:color="auto" w:fill="auto"/>
            <w:hideMark/>
          </w:tcPr>
          <w:p w14:paraId="649DFEBE" w14:textId="77777777" w:rsidR="00D61175" w:rsidRPr="00643528" w:rsidRDefault="00D61175" w:rsidP="0008747B">
            <w:pPr>
              <w:pStyle w:val="TableText"/>
              <w:jc w:val="right"/>
              <w:rPr>
                <w:rStyle w:val="Strong"/>
              </w:rPr>
            </w:pPr>
            <w:r w:rsidRPr="00643528">
              <w:rPr>
                <w:rStyle w:val="Strong"/>
              </w:rPr>
              <w:t>(5)</w:t>
            </w:r>
          </w:p>
        </w:tc>
        <w:tc>
          <w:tcPr>
            <w:tcW w:w="573" w:type="pct"/>
            <w:tcBorders>
              <w:top w:val="nil"/>
              <w:left w:val="nil"/>
              <w:bottom w:val="single" w:sz="8" w:space="0" w:color="auto"/>
              <w:right w:val="nil"/>
            </w:tcBorders>
            <w:shd w:val="clear" w:color="auto" w:fill="auto"/>
            <w:hideMark/>
          </w:tcPr>
          <w:p w14:paraId="1C42B137" w14:textId="77777777" w:rsidR="00D61175" w:rsidRPr="00643528" w:rsidRDefault="00D61175" w:rsidP="0008747B">
            <w:pPr>
              <w:pStyle w:val="TableText"/>
              <w:jc w:val="right"/>
              <w:rPr>
                <w:rStyle w:val="Strong"/>
              </w:rPr>
            </w:pPr>
            <w:r w:rsidRPr="00643528">
              <w:rPr>
                <w:rStyle w:val="Strong"/>
              </w:rPr>
              <w:t>64,353,358</w:t>
            </w:r>
          </w:p>
        </w:tc>
      </w:tr>
      <w:tr w:rsidR="00D61175" w:rsidRPr="00F54C68" w14:paraId="77AFC717" w14:textId="77777777" w:rsidTr="00962E4F">
        <w:tc>
          <w:tcPr>
            <w:tcW w:w="939" w:type="pct"/>
            <w:tcBorders>
              <w:top w:val="nil"/>
              <w:left w:val="nil"/>
              <w:bottom w:val="single" w:sz="8" w:space="0" w:color="auto"/>
              <w:right w:val="nil"/>
            </w:tcBorders>
            <w:shd w:val="clear" w:color="auto" w:fill="auto"/>
            <w:hideMark/>
          </w:tcPr>
          <w:p w14:paraId="0E4129DD" w14:textId="7C6F24C6" w:rsidR="00D61175" w:rsidRPr="00643528" w:rsidRDefault="00D61175" w:rsidP="00256F28">
            <w:pPr>
              <w:pStyle w:val="TableText"/>
              <w:rPr>
                <w:rStyle w:val="Strong"/>
              </w:rPr>
            </w:pPr>
            <w:r w:rsidRPr="00643528">
              <w:rPr>
                <w:rStyle w:val="Strong"/>
              </w:rPr>
              <w:t>Total</w:t>
            </w:r>
            <w:r w:rsidR="009738CA" w:rsidRPr="00643528">
              <w:rPr>
                <w:rStyle w:val="Strong"/>
              </w:rPr>
              <w:t xml:space="preserve"> charges and fees</w:t>
            </w:r>
          </w:p>
        </w:tc>
        <w:tc>
          <w:tcPr>
            <w:tcW w:w="1278" w:type="pct"/>
            <w:tcBorders>
              <w:top w:val="nil"/>
              <w:left w:val="nil"/>
              <w:bottom w:val="single" w:sz="8" w:space="0" w:color="auto"/>
              <w:right w:val="nil"/>
            </w:tcBorders>
            <w:shd w:val="clear" w:color="auto" w:fill="auto"/>
            <w:hideMark/>
          </w:tcPr>
          <w:p w14:paraId="74EFB1D0" w14:textId="35531971" w:rsidR="00D61175" w:rsidRPr="00643528" w:rsidRDefault="00AB45BF" w:rsidP="00256F28">
            <w:pPr>
              <w:pStyle w:val="TableText"/>
              <w:rPr>
                <w:rStyle w:val="Strong"/>
              </w:rPr>
            </w:pPr>
            <w:r w:rsidRPr="00643528">
              <w:rPr>
                <w:rStyle w:val="Strong"/>
              </w:rPr>
              <w:t>—</w:t>
            </w:r>
          </w:p>
        </w:tc>
        <w:tc>
          <w:tcPr>
            <w:tcW w:w="573" w:type="pct"/>
            <w:tcBorders>
              <w:top w:val="nil"/>
              <w:left w:val="nil"/>
              <w:bottom w:val="single" w:sz="8" w:space="0" w:color="auto"/>
              <w:right w:val="nil"/>
            </w:tcBorders>
            <w:shd w:val="clear" w:color="auto" w:fill="auto"/>
            <w:hideMark/>
          </w:tcPr>
          <w:p w14:paraId="2A85710C" w14:textId="77777777" w:rsidR="00D61175" w:rsidRPr="00643528" w:rsidRDefault="00D61175" w:rsidP="0008747B">
            <w:pPr>
              <w:pStyle w:val="TableText"/>
              <w:jc w:val="right"/>
              <w:rPr>
                <w:rStyle w:val="Strong"/>
              </w:rPr>
            </w:pPr>
            <w:r w:rsidRPr="00643528">
              <w:rPr>
                <w:rStyle w:val="Strong"/>
              </w:rPr>
              <w:t>78,953,238</w:t>
            </w:r>
          </w:p>
        </w:tc>
        <w:tc>
          <w:tcPr>
            <w:tcW w:w="573" w:type="pct"/>
            <w:tcBorders>
              <w:top w:val="nil"/>
              <w:left w:val="nil"/>
              <w:bottom w:val="single" w:sz="8" w:space="0" w:color="auto"/>
              <w:right w:val="nil"/>
            </w:tcBorders>
            <w:shd w:val="clear" w:color="auto" w:fill="auto"/>
            <w:hideMark/>
          </w:tcPr>
          <w:p w14:paraId="5C4EB632" w14:textId="77777777" w:rsidR="00D61175" w:rsidRPr="00643528" w:rsidRDefault="00D61175" w:rsidP="0008747B">
            <w:pPr>
              <w:pStyle w:val="TableText"/>
              <w:jc w:val="right"/>
              <w:rPr>
                <w:rStyle w:val="Strong"/>
              </w:rPr>
            </w:pPr>
            <w:r w:rsidRPr="00643528">
              <w:rPr>
                <w:rStyle w:val="Strong"/>
              </w:rPr>
              <w:t>78,129,876</w:t>
            </w:r>
          </w:p>
        </w:tc>
        <w:tc>
          <w:tcPr>
            <w:tcW w:w="584" w:type="pct"/>
            <w:tcBorders>
              <w:top w:val="nil"/>
              <w:left w:val="nil"/>
              <w:bottom w:val="single" w:sz="8" w:space="0" w:color="auto"/>
              <w:right w:val="nil"/>
            </w:tcBorders>
            <w:shd w:val="clear" w:color="auto" w:fill="auto"/>
            <w:hideMark/>
          </w:tcPr>
          <w:p w14:paraId="52B07806" w14:textId="77777777" w:rsidR="00D61175" w:rsidRPr="00643528" w:rsidRDefault="00D61175" w:rsidP="0008747B">
            <w:pPr>
              <w:pStyle w:val="TableText"/>
              <w:jc w:val="right"/>
              <w:rPr>
                <w:rStyle w:val="Strong"/>
              </w:rPr>
            </w:pPr>
            <w:r w:rsidRPr="00643528">
              <w:rPr>
                <w:rStyle w:val="Strong"/>
              </w:rPr>
              <w:t>823,362</w:t>
            </w:r>
          </w:p>
        </w:tc>
        <w:tc>
          <w:tcPr>
            <w:tcW w:w="480" w:type="pct"/>
            <w:tcBorders>
              <w:top w:val="nil"/>
              <w:left w:val="nil"/>
              <w:bottom w:val="single" w:sz="8" w:space="0" w:color="auto"/>
              <w:right w:val="nil"/>
            </w:tcBorders>
            <w:shd w:val="clear" w:color="auto" w:fill="auto"/>
            <w:hideMark/>
          </w:tcPr>
          <w:p w14:paraId="56F9728B" w14:textId="77777777" w:rsidR="00D61175" w:rsidRPr="00643528" w:rsidRDefault="00D61175" w:rsidP="0008747B">
            <w:pPr>
              <w:pStyle w:val="TableText"/>
              <w:jc w:val="right"/>
              <w:rPr>
                <w:rStyle w:val="Strong"/>
              </w:rPr>
            </w:pPr>
            <w:r w:rsidRPr="00643528">
              <w:rPr>
                <w:rStyle w:val="Strong"/>
              </w:rPr>
              <w:t>1</w:t>
            </w:r>
          </w:p>
        </w:tc>
        <w:tc>
          <w:tcPr>
            <w:tcW w:w="573" w:type="pct"/>
            <w:tcBorders>
              <w:top w:val="nil"/>
              <w:left w:val="nil"/>
              <w:bottom w:val="single" w:sz="8" w:space="0" w:color="auto"/>
              <w:right w:val="nil"/>
            </w:tcBorders>
            <w:shd w:val="clear" w:color="auto" w:fill="auto"/>
            <w:hideMark/>
          </w:tcPr>
          <w:p w14:paraId="3AAC1BB5" w14:textId="77777777" w:rsidR="00D61175" w:rsidRPr="00F54C68" w:rsidRDefault="00D61175" w:rsidP="0008747B">
            <w:pPr>
              <w:pStyle w:val="TableText"/>
              <w:jc w:val="right"/>
              <w:rPr>
                <w:rStyle w:val="Strong"/>
              </w:rPr>
            </w:pPr>
            <w:r w:rsidRPr="00643528">
              <w:rPr>
                <w:rStyle w:val="Strong"/>
              </w:rPr>
              <w:t>83,790,292</w:t>
            </w:r>
          </w:p>
        </w:tc>
      </w:tr>
    </w:tbl>
    <w:p w14:paraId="6C4B5D64" w14:textId="651F908C" w:rsidR="00816657" w:rsidRPr="00816657" w:rsidRDefault="00816657" w:rsidP="00816657">
      <w:pPr>
        <w:pStyle w:val="FigureTableNoteSource"/>
      </w:pPr>
      <w:proofErr w:type="spellStart"/>
      <w:proofErr w:type="gramStart"/>
      <w:r w:rsidRPr="00816657">
        <w:rPr>
          <w:rStyle w:val="Strong"/>
        </w:rPr>
        <w:t>a</w:t>
      </w:r>
      <w:proofErr w:type="spellEnd"/>
      <w:proofErr w:type="gramEnd"/>
      <w:r w:rsidRPr="00816657">
        <w:t xml:space="preserve"> </w:t>
      </w:r>
      <w:bookmarkEnd w:id="33"/>
      <w:r w:rsidRPr="00816657">
        <w:t xml:space="preserve">Organic certifiers support a small number of exporters in each export arrangement (excluding Live Animal Exports) </w:t>
      </w:r>
      <w:r w:rsidR="00084D2D">
        <w:t>with</w:t>
      </w:r>
      <w:r w:rsidRPr="00816657">
        <w:t xml:space="preserve"> revenue and expense reflected in each arrangement.</w:t>
      </w:r>
    </w:p>
    <w:p w14:paraId="1826070A" w14:textId="3F231439" w:rsidR="00764D6A" w:rsidRPr="006713A7" w:rsidRDefault="00816657" w:rsidP="00E93778">
      <w:pPr>
        <w:pStyle w:val="Heading2"/>
        <w:numPr>
          <w:ilvl w:val="0"/>
          <w:numId w:val="0"/>
        </w:numPr>
        <w:ind w:left="720" w:hanging="720"/>
      </w:pPr>
      <w:bookmarkStart w:id="34" w:name="_Toc181704935"/>
      <w:r>
        <w:lastRenderedPageBreak/>
        <w:t>Expenses</w:t>
      </w:r>
      <w:bookmarkEnd w:id="34"/>
    </w:p>
    <w:p w14:paraId="441952CA" w14:textId="0666EA81" w:rsidR="00D61175" w:rsidRPr="00B10863" w:rsidRDefault="00D61175" w:rsidP="00D61175">
      <w:pPr>
        <w:spacing w:after="0"/>
      </w:pPr>
      <w:r w:rsidRPr="00B10863">
        <w:t>Expenditure in 2023</w:t>
      </w:r>
      <w:r w:rsidR="00256F28">
        <w:t>–</w:t>
      </w:r>
      <w:r w:rsidRPr="00B10863">
        <w:t>24 was $97.3</w:t>
      </w:r>
      <w:r w:rsidR="00B10863" w:rsidRPr="006F4EBA">
        <w:rPr>
          <w:rFonts w:ascii="Calibri" w:eastAsia="Times New Roman" w:hAnsi="Calibri" w:cs="Calibri"/>
          <w:color w:val="000000"/>
          <w:sz w:val="18"/>
          <w:szCs w:val="18"/>
          <w:lang w:eastAsia="en-AU"/>
        </w:rPr>
        <w:t> </w:t>
      </w:r>
      <w:r w:rsidRPr="00B10863">
        <w:t>m</w:t>
      </w:r>
      <w:r w:rsidR="00B10863">
        <w:t>illion</w:t>
      </w:r>
      <w:r w:rsidRPr="00B10863">
        <w:t>, $0.5</w:t>
      </w:r>
      <w:r w:rsidR="00B10863" w:rsidRPr="006F4EBA">
        <w:rPr>
          <w:rFonts w:ascii="Calibri" w:eastAsia="Times New Roman" w:hAnsi="Calibri" w:cs="Calibri"/>
          <w:color w:val="000000"/>
          <w:sz w:val="18"/>
          <w:szCs w:val="18"/>
          <w:lang w:eastAsia="en-AU"/>
        </w:rPr>
        <w:t> </w:t>
      </w:r>
      <w:r w:rsidRPr="00B10863">
        <w:t>m</w:t>
      </w:r>
      <w:r w:rsidR="00B10863">
        <w:t>illion</w:t>
      </w:r>
      <w:r w:rsidRPr="00B10863">
        <w:t xml:space="preserve"> higher than budget </w:t>
      </w:r>
      <w:r w:rsidR="00CA34DF">
        <w:t>(</w:t>
      </w:r>
      <w:r w:rsidR="00A96174">
        <w:fldChar w:fldCharType="begin"/>
      </w:r>
      <w:r w:rsidR="00A96174">
        <w:instrText xml:space="preserve"> REF _Ref178847459 \h </w:instrText>
      </w:r>
      <w:r w:rsidR="00A96174">
        <w:fldChar w:fldCharType="separate"/>
      </w:r>
      <w:r w:rsidR="00351083" w:rsidRPr="009A501D">
        <w:t xml:space="preserve">Table </w:t>
      </w:r>
      <w:r w:rsidR="00351083">
        <w:rPr>
          <w:noProof/>
        </w:rPr>
        <w:t>4</w:t>
      </w:r>
      <w:r w:rsidR="00A96174">
        <w:fldChar w:fldCharType="end"/>
      </w:r>
      <w:r w:rsidR="00CA34DF">
        <w:t>)</w:t>
      </w:r>
      <w:r w:rsidRPr="00B10863">
        <w:t>. Variances in expenses compared to budget include:</w:t>
      </w:r>
    </w:p>
    <w:p w14:paraId="0206F3DE" w14:textId="2DE46E28" w:rsidR="008D0D64" w:rsidRPr="003C1BB2" w:rsidRDefault="008D0D64" w:rsidP="008D0D64">
      <w:pPr>
        <w:numPr>
          <w:ilvl w:val="0"/>
          <w:numId w:val="9"/>
        </w:numPr>
        <w:spacing w:before="120" w:after="120"/>
      </w:pPr>
      <w:r>
        <w:t>c</w:t>
      </w:r>
      <w:r w:rsidRPr="003C1BB2">
        <w:t>hallenges to increase the number of staff from recruitment activities</w:t>
      </w:r>
    </w:p>
    <w:p w14:paraId="38D33539" w14:textId="02ADF9B2" w:rsidR="00D61175" w:rsidRPr="00B10863" w:rsidRDefault="007F774D" w:rsidP="00EF313A">
      <w:pPr>
        <w:pStyle w:val="ListBullet"/>
      </w:pPr>
      <w:r>
        <w:t>a</w:t>
      </w:r>
      <w:r w:rsidR="00D61175" w:rsidRPr="00B10863">
        <w:t xml:space="preserve">n overspend relating to </w:t>
      </w:r>
      <w:r w:rsidR="00B10863" w:rsidRPr="00B10863">
        <w:t>higher</w:t>
      </w:r>
      <w:r w:rsidR="00E67A0A">
        <w:t xml:space="preserve"> audit volumes</w:t>
      </w:r>
      <w:r w:rsidR="00D61175" w:rsidRPr="00B10863">
        <w:t xml:space="preserve"> </w:t>
      </w:r>
      <w:r w:rsidR="00A96174">
        <w:t>– t</w:t>
      </w:r>
      <w:r w:rsidR="00D61175" w:rsidRPr="00B10863">
        <w:t xml:space="preserve">his is also </w:t>
      </w:r>
      <w:r w:rsidR="008D0D64">
        <w:t>evident through</w:t>
      </w:r>
      <w:r w:rsidR="00E67A0A">
        <w:t xml:space="preserve"> an </w:t>
      </w:r>
      <w:r w:rsidR="00D61175" w:rsidRPr="00B10863">
        <w:t xml:space="preserve">increase </w:t>
      </w:r>
      <w:r w:rsidR="00E67A0A">
        <w:t xml:space="preserve">in </w:t>
      </w:r>
      <w:r w:rsidR="00D61175" w:rsidRPr="00B10863">
        <w:t>audit revenue</w:t>
      </w:r>
    </w:p>
    <w:p w14:paraId="19ADA15A" w14:textId="78E238F5" w:rsidR="00D61175" w:rsidRPr="00B10863" w:rsidRDefault="00E67A0A" w:rsidP="00962E4F">
      <w:pPr>
        <w:pStyle w:val="ListBullet"/>
      </w:pPr>
      <w:r>
        <w:t>d</w:t>
      </w:r>
      <w:r w:rsidRPr="00B10863">
        <w:t>epreciation expenses are higher than budgeted due to the writing off of a portion of the department’s Canberra office</w:t>
      </w:r>
      <w:r w:rsidR="00962E4F">
        <w:t>. T</w:t>
      </w:r>
      <w:r>
        <w:t>his is offset with indirect</w:t>
      </w:r>
      <w:r w:rsidR="00CA34DF">
        <w:t xml:space="preserve"> expenses</w:t>
      </w:r>
      <w:r w:rsidRPr="00B10863">
        <w:t xml:space="preserve"> </w:t>
      </w:r>
      <w:r>
        <w:t>being 8% lower than budget across the board.</w:t>
      </w:r>
    </w:p>
    <w:p w14:paraId="1A8102E7" w14:textId="482157AC" w:rsidR="00816657" w:rsidRDefault="00E93778" w:rsidP="00816657">
      <w:pPr>
        <w:pStyle w:val="Caption"/>
      </w:pPr>
      <w:bookmarkStart w:id="35" w:name="_Ref178847459"/>
      <w:bookmarkStart w:id="36" w:name="_Toc178849866"/>
      <w:bookmarkStart w:id="37" w:name="_Toc181704921"/>
      <w:r w:rsidRPr="009A501D">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351083">
        <w:rPr>
          <w:noProof/>
        </w:rPr>
        <w:t>4</w:t>
      </w:r>
      <w:r w:rsidRPr="009A501D">
        <w:rPr>
          <w:noProof/>
        </w:rPr>
        <w:fldChar w:fldCharType="end"/>
      </w:r>
      <w:bookmarkEnd w:id="35"/>
      <w:r>
        <w:rPr>
          <w:noProof/>
        </w:rPr>
        <w:t xml:space="preserve"> </w:t>
      </w:r>
      <w:r w:rsidR="00D61175">
        <w:t>Meat</w:t>
      </w:r>
      <w:r w:rsidR="00816657" w:rsidRPr="00816657">
        <w:t xml:space="preserve"> export arrangement cost base by expense type, 2023–24</w:t>
      </w:r>
      <w:bookmarkEnd w:id="36"/>
      <w:bookmarkEnd w:id="37"/>
    </w:p>
    <w:tbl>
      <w:tblPr>
        <w:tblW w:w="5000" w:type="pct"/>
        <w:tblLayout w:type="fixed"/>
        <w:tblLook w:val="04A0" w:firstRow="1" w:lastRow="0" w:firstColumn="1" w:lastColumn="0" w:noHBand="0" w:noVBand="1"/>
      </w:tblPr>
      <w:tblGrid>
        <w:gridCol w:w="2337"/>
        <w:gridCol w:w="2483"/>
        <w:gridCol w:w="1134"/>
        <w:gridCol w:w="1134"/>
        <w:gridCol w:w="992"/>
        <w:gridCol w:w="990"/>
      </w:tblGrid>
      <w:tr w:rsidR="00D61175" w14:paraId="2D0A99BB" w14:textId="77777777" w:rsidTr="003B2E54">
        <w:trPr>
          <w:cantSplit/>
          <w:tblHeader/>
        </w:trPr>
        <w:tc>
          <w:tcPr>
            <w:tcW w:w="1288" w:type="pct"/>
            <w:tcBorders>
              <w:top w:val="single" w:sz="12" w:space="0" w:color="000000"/>
              <w:left w:val="nil"/>
              <w:bottom w:val="single" w:sz="4" w:space="0" w:color="000000"/>
              <w:right w:val="nil"/>
            </w:tcBorders>
            <w:shd w:val="clear" w:color="auto" w:fill="auto"/>
            <w:noWrap/>
            <w:hideMark/>
          </w:tcPr>
          <w:p w14:paraId="297B4EF4" w14:textId="77777777" w:rsidR="00D61175" w:rsidRPr="006A4C02" w:rsidRDefault="00D61175" w:rsidP="006A4C02">
            <w:pPr>
              <w:pStyle w:val="TableHeading"/>
            </w:pPr>
            <w:bookmarkStart w:id="38" w:name="Title_4"/>
            <w:bookmarkStart w:id="39" w:name="_Toc430782158"/>
            <w:bookmarkEnd w:id="38"/>
            <w:r w:rsidRPr="006A4C02">
              <w:t>Expenses</w:t>
            </w:r>
          </w:p>
        </w:tc>
        <w:tc>
          <w:tcPr>
            <w:tcW w:w="1369" w:type="pct"/>
            <w:tcBorders>
              <w:top w:val="single" w:sz="12" w:space="0" w:color="000000"/>
              <w:left w:val="nil"/>
              <w:bottom w:val="single" w:sz="4" w:space="0" w:color="000000"/>
              <w:right w:val="nil"/>
            </w:tcBorders>
            <w:shd w:val="clear" w:color="auto" w:fill="auto"/>
            <w:noWrap/>
            <w:hideMark/>
          </w:tcPr>
          <w:p w14:paraId="7A90BD8E" w14:textId="77777777" w:rsidR="00D61175" w:rsidRPr="006A4C02" w:rsidRDefault="00D61175" w:rsidP="006A4C02">
            <w:pPr>
              <w:pStyle w:val="TableHeading"/>
            </w:pPr>
            <w:r w:rsidRPr="006A4C02">
              <w:t>Division</w:t>
            </w:r>
          </w:p>
        </w:tc>
        <w:tc>
          <w:tcPr>
            <w:tcW w:w="625" w:type="pct"/>
            <w:tcBorders>
              <w:top w:val="single" w:sz="12" w:space="0" w:color="000000"/>
              <w:left w:val="nil"/>
              <w:bottom w:val="single" w:sz="4" w:space="0" w:color="000000"/>
              <w:right w:val="nil"/>
            </w:tcBorders>
            <w:shd w:val="clear" w:color="auto" w:fill="auto"/>
            <w:noWrap/>
            <w:hideMark/>
          </w:tcPr>
          <w:p w14:paraId="1DC4E567" w14:textId="77777777" w:rsidR="00D61175" w:rsidRDefault="00D61175" w:rsidP="00266250">
            <w:pPr>
              <w:pStyle w:val="TableHeading"/>
              <w:jc w:val="right"/>
            </w:pPr>
            <w:r>
              <w:t>Actual ($)</w:t>
            </w:r>
          </w:p>
        </w:tc>
        <w:tc>
          <w:tcPr>
            <w:tcW w:w="625" w:type="pct"/>
            <w:tcBorders>
              <w:top w:val="single" w:sz="12" w:space="0" w:color="000000"/>
              <w:left w:val="nil"/>
              <w:bottom w:val="single" w:sz="4" w:space="0" w:color="000000"/>
              <w:right w:val="nil"/>
            </w:tcBorders>
            <w:shd w:val="clear" w:color="auto" w:fill="auto"/>
            <w:noWrap/>
            <w:hideMark/>
          </w:tcPr>
          <w:p w14:paraId="25A15ACA" w14:textId="77777777" w:rsidR="00D61175" w:rsidRDefault="00D61175" w:rsidP="00266250">
            <w:pPr>
              <w:pStyle w:val="TableHeading"/>
              <w:jc w:val="right"/>
            </w:pPr>
            <w:r>
              <w:t>Budget ($)</w:t>
            </w:r>
          </w:p>
        </w:tc>
        <w:tc>
          <w:tcPr>
            <w:tcW w:w="547" w:type="pct"/>
            <w:tcBorders>
              <w:top w:val="single" w:sz="12" w:space="0" w:color="000000"/>
              <w:left w:val="nil"/>
              <w:bottom w:val="single" w:sz="4" w:space="0" w:color="000000"/>
              <w:right w:val="nil"/>
            </w:tcBorders>
            <w:shd w:val="clear" w:color="auto" w:fill="auto"/>
            <w:noWrap/>
            <w:hideMark/>
          </w:tcPr>
          <w:p w14:paraId="3A24BDF7" w14:textId="77777777" w:rsidR="00D61175" w:rsidRDefault="00D61175" w:rsidP="00266250">
            <w:pPr>
              <w:pStyle w:val="TableHeading"/>
              <w:jc w:val="right"/>
            </w:pPr>
            <w:r>
              <w:t>Variance ($)</w:t>
            </w:r>
          </w:p>
        </w:tc>
        <w:tc>
          <w:tcPr>
            <w:tcW w:w="546" w:type="pct"/>
            <w:tcBorders>
              <w:top w:val="single" w:sz="12" w:space="0" w:color="000000"/>
              <w:left w:val="nil"/>
              <w:bottom w:val="single" w:sz="4" w:space="0" w:color="000000"/>
              <w:right w:val="nil"/>
            </w:tcBorders>
            <w:shd w:val="clear" w:color="auto" w:fill="auto"/>
            <w:noWrap/>
            <w:hideMark/>
          </w:tcPr>
          <w:p w14:paraId="2E988A9E" w14:textId="77777777" w:rsidR="00D61175" w:rsidRDefault="00D61175" w:rsidP="00266250">
            <w:pPr>
              <w:pStyle w:val="TableHeading"/>
              <w:jc w:val="right"/>
            </w:pPr>
            <w:r>
              <w:t>Variance (%)</w:t>
            </w:r>
          </w:p>
        </w:tc>
      </w:tr>
      <w:tr w:rsidR="00D61175" w14:paraId="07DD0F55" w14:textId="77777777" w:rsidTr="003B2E54">
        <w:tc>
          <w:tcPr>
            <w:tcW w:w="1288" w:type="pct"/>
            <w:vMerge w:val="restart"/>
            <w:tcBorders>
              <w:top w:val="nil"/>
              <w:left w:val="nil"/>
              <w:bottom w:val="nil"/>
              <w:right w:val="nil"/>
            </w:tcBorders>
            <w:shd w:val="clear" w:color="auto" w:fill="auto"/>
            <w:hideMark/>
          </w:tcPr>
          <w:p w14:paraId="0AB8559B" w14:textId="77777777" w:rsidR="00D61175" w:rsidRDefault="00D61175" w:rsidP="006A4C02">
            <w:pPr>
              <w:pStyle w:val="TableText"/>
            </w:pPr>
            <w:r>
              <w:t>Direct</w:t>
            </w:r>
          </w:p>
        </w:tc>
        <w:tc>
          <w:tcPr>
            <w:tcW w:w="1369" w:type="pct"/>
            <w:tcBorders>
              <w:top w:val="nil"/>
              <w:left w:val="nil"/>
              <w:bottom w:val="single" w:sz="4" w:space="0" w:color="000000"/>
              <w:right w:val="nil"/>
            </w:tcBorders>
            <w:shd w:val="clear" w:color="auto" w:fill="auto"/>
            <w:noWrap/>
            <w:hideMark/>
          </w:tcPr>
          <w:p w14:paraId="5CB8D766" w14:textId="77777777" w:rsidR="00D61175" w:rsidRDefault="00D61175" w:rsidP="006A4C02">
            <w:pPr>
              <w:pStyle w:val="TableText"/>
            </w:pPr>
            <w:r>
              <w:t>Export &amp; Veterinary Services</w:t>
            </w:r>
          </w:p>
        </w:tc>
        <w:tc>
          <w:tcPr>
            <w:tcW w:w="625" w:type="pct"/>
            <w:tcBorders>
              <w:top w:val="nil"/>
              <w:left w:val="nil"/>
              <w:bottom w:val="single" w:sz="4" w:space="0" w:color="000000"/>
              <w:right w:val="nil"/>
            </w:tcBorders>
            <w:shd w:val="clear" w:color="auto" w:fill="auto"/>
            <w:noWrap/>
            <w:hideMark/>
          </w:tcPr>
          <w:p w14:paraId="3A2C57D2" w14:textId="77777777" w:rsidR="00D61175" w:rsidRDefault="00D61175" w:rsidP="00266250">
            <w:pPr>
              <w:pStyle w:val="TableText"/>
              <w:jc w:val="right"/>
            </w:pPr>
            <w:r>
              <w:t>71,649,208</w:t>
            </w:r>
          </w:p>
        </w:tc>
        <w:tc>
          <w:tcPr>
            <w:tcW w:w="625" w:type="pct"/>
            <w:tcBorders>
              <w:top w:val="nil"/>
              <w:left w:val="nil"/>
              <w:bottom w:val="single" w:sz="4" w:space="0" w:color="000000"/>
              <w:right w:val="nil"/>
            </w:tcBorders>
            <w:shd w:val="clear" w:color="auto" w:fill="auto"/>
            <w:noWrap/>
            <w:hideMark/>
          </w:tcPr>
          <w:p w14:paraId="5231DF1E" w14:textId="77777777" w:rsidR="00D61175" w:rsidRDefault="00D61175" w:rsidP="00266250">
            <w:pPr>
              <w:pStyle w:val="TableText"/>
              <w:jc w:val="right"/>
            </w:pPr>
            <w:r>
              <w:t>71,335,922</w:t>
            </w:r>
          </w:p>
        </w:tc>
        <w:tc>
          <w:tcPr>
            <w:tcW w:w="547" w:type="pct"/>
            <w:tcBorders>
              <w:top w:val="nil"/>
              <w:left w:val="nil"/>
              <w:bottom w:val="single" w:sz="4" w:space="0" w:color="000000"/>
              <w:right w:val="nil"/>
            </w:tcBorders>
            <w:shd w:val="clear" w:color="auto" w:fill="auto"/>
            <w:noWrap/>
            <w:hideMark/>
          </w:tcPr>
          <w:p w14:paraId="5E4954D8" w14:textId="77777777" w:rsidR="00D61175" w:rsidRDefault="00D61175" w:rsidP="00266250">
            <w:pPr>
              <w:pStyle w:val="TableText"/>
              <w:jc w:val="right"/>
            </w:pPr>
            <w:r>
              <w:t>313,285</w:t>
            </w:r>
          </w:p>
        </w:tc>
        <w:tc>
          <w:tcPr>
            <w:tcW w:w="546" w:type="pct"/>
            <w:tcBorders>
              <w:top w:val="nil"/>
              <w:left w:val="nil"/>
              <w:bottom w:val="single" w:sz="4" w:space="0" w:color="000000"/>
              <w:right w:val="nil"/>
            </w:tcBorders>
            <w:shd w:val="clear" w:color="auto" w:fill="auto"/>
            <w:noWrap/>
            <w:hideMark/>
          </w:tcPr>
          <w:p w14:paraId="3E48BF3B" w14:textId="77777777" w:rsidR="00D61175" w:rsidRDefault="00D61175" w:rsidP="00266250">
            <w:pPr>
              <w:pStyle w:val="TableText"/>
              <w:jc w:val="right"/>
            </w:pPr>
            <w:r>
              <w:t>0</w:t>
            </w:r>
          </w:p>
        </w:tc>
      </w:tr>
      <w:tr w:rsidR="00D61175" w14:paraId="3749DC39" w14:textId="77777777" w:rsidTr="003B2E54">
        <w:tc>
          <w:tcPr>
            <w:tcW w:w="1288" w:type="pct"/>
            <w:vMerge/>
            <w:tcBorders>
              <w:top w:val="nil"/>
              <w:left w:val="nil"/>
              <w:bottom w:val="nil"/>
              <w:right w:val="nil"/>
            </w:tcBorders>
            <w:hideMark/>
          </w:tcPr>
          <w:p w14:paraId="46A1DBA3" w14:textId="77777777" w:rsidR="00D61175" w:rsidRDefault="00D61175" w:rsidP="006A4C02">
            <w:pPr>
              <w:pStyle w:val="TableText"/>
            </w:pPr>
          </w:p>
        </w:tc>
        <w:tc>
          <w:tcPr>
            <w:tcW w:w="1369" w:type="pct"/>
            <w:tcBorders>
              <w:top w:val="nil"/>
              <w:left w:val="nil"/>
              <w:bottom w:val="single" w:sz="4" w:space="0" w:color="000000"/>
              <w:right w:val="nil"/>
            </w:tcBorders>
            <w:shd w:val="clear" w:color="auto" w:fill="auto"/>
            <w:noWrap/>
            <w:hideMark/>
          </w:tcPr>
          <w:p w14:paraId="4A73D90D" w14:textId="77777777" w:rsidR="00D61175" w:rsidRDefault="00D61175" w:rsidP="006A4C02">
            <w:pPr>
              <w:pStyle w:val="TableText"/>
            </w:pPr>
            <w:r>
              <w:t>Plant &amp; LAE Animal Welfare &amp; Regulation</w:t>
            </w:r>
          </w:p>
        </w:tc>
        <w:tc>
          <w:tcPr>
            <w:tcW w:w="625" w:type="pct"/>
            <w:tcBorders>
              <w:top w:val="nil"/>
              <w:left w:val="nil"/>
              <w:bottom w:val="single" w:sz="4" w:space="0" w:color="000000"/>
              <w:right w:val="nil"/>
            </w:tcBorders>
            <w:shd w:val="clear" w:color="auto" w:fill="auto"/>
            <w:noWrap/>
            <w:hideMark/>
          </w:tcPr>
          <w:p w14:paraId="595AA395" w14:textId="77777777" w:rsidR="00D61175" w:rsidRDefault="00D61175" w:rsidP="00266250">
            <w:pPr>
              <w:pStyle w:val="TableText"/>
              <w:jc w:val="right"/>
            </w:pPr>
            <w:r>
              <w:t>1,783,196</w:t>
            </w:r>
          </w:p>
        </w:tc>
        <w:tc>
          <w:tcPr>
            <w:tcW w:w="625" w:type="pct"/>
            <w:tcBorders>
              <w:top w:val="nil"/>
              <w:left w:val="nil"/>
              <w:bottom w:val="single" w:sz="4" w:space="0" w:color="000000"/>
              <w:right w:val="nil"/>
            </w:tcBorders>
            <w:shd w:val="clear" w:color="auto" w:fill="auto"/>
            <w:noWrap/>
            <w:hideMark/>
          </w:tcPr>
          <w:p w14:paraId="05427F7F" w14:textId="77777777" w:rsidR="00D61175" w:rsidRDefault="00D61175" w:rsidP="00266250">
            <w:pPr>
              <w:pStyle w:val="TableText"/>
              <w:jc w:val="right"/>
            </w:pPr>
            <w:r>
              <w:t>1,919,324</w:t>
            </w:r>
          </w:p>
        </w:tc>
        <w:tc>
          <w:tcPr>
            <w:tcW w:w="547" w:type="pct"/>
            <w:tcBorders>
              <w:top w:val="nil"/>
              <w:left w:val="nil"/>
              <w:bottom w:val="single" w:sz="4" w:space="0" w:color="000000"/>
              <w:right w:val="nil"/>
            </w:tcBorders>
            <w:shd w:val="clear" w:color="auto" w:fill="auto"/>
            <w:noWrap/>
            <w:hideMark/>
          </w:tcPr>
          <w:p w14:paraId="6321E1FB" w14:textId="77777777" w:rsidR="00D61175" w:rsidRDefault="00D61175" w:rsidP="00266250">
            <w:pPr>
              <w:pStyle w:val="TableText"/>
              <w:jc w:val="right"/>
            </w:pPr>
            <w:r>
              <w:t>(136,129)</w:t>
            </w:r>
          </w:p>
        </w:tc>
        <w:tc>
          <w:tcPr>
            <w:tcW w:w="546" w:type="pct"/>
            <w:tcBorders>
              <w:top w:val="nil"/>
              <w:left w:val="nil"/>
              <w:bottom w:val="single" w:sz="4" w:space="0" w:color="000000"/>
              <w:right w:val="nil"/>
            </w:tcBorders>
            <w:shd w:val="clear" w:color="auto" w:fill="auto"/>
            <w:noWrap/>
            <w:hideMark/>
          </w:tcPr>
          <w:p w14:paraId="25E758E4" w14:textId="77777777" w:rsidR="00D61175" w:rsidRDefault="00D61175" w:rsidP="00266250">
            <w:pPr>
              <w:pStyle w:val="TableText"/>
              <w:jc w:val="right"/>
            </w:pPr>
            <w:r>
              <w:t>(7)</w:t>
            </w:r>
          </w:p>
        </w:tc>
      </w:tr>
      <w:tr w:rsidR="00D61175" w14:paraId="7AF730BA" w14:textId="77777777" w:rsidTr="003B2E54">
        <w:tc>
          <w:tcPr>
            <w:tcW w:w="1288" w:type="pct"/>
            <w:vMerge/>
            <w:tcBorders>
              <w:top w:val="nil"/>
              <w:left w:val="nil"/>
              <w:bottom w:val="nil"/>
              <w:right w:val="nil"/>
            </w:tcBorders>
            <w:hideMark/>
          </w:tcPr>
          <w:p w14:paraId="279255CB" w14:textId="77777777" w:rsidR="00D61175" w:rsidRDefault="00D61175" w:rsidP="006A4C02">
            <w:pPr>
              <w:pStyle w:val="TableText"/>
            </w:pPr>
          </w:p>
        </w:tc>
        <w:tc>
          <w:tcPr>
            <w:tcW w:w="1369" w:type="pct"/>
            <w:tcBorders>
              <w:top w:val="nil"/>
              <w:left w:val="nil"/>
              <w:bottom w:val="single" w:sz="4" w:space="0" w:color="000000"/>
              <w:right w:val="nil"/>
            </w:tcBorders>
            <w:shd w:val="clear" w:color="auto" w:fill="auto"/>
            <w:noWrap/>
            <w:hideMark/>
          </w:tcPr>
          <w:p w14:paraId="33F2137B" w14:textId="77777777" w:rsidR="00D61175" w:rsidRDefault="00D61175" w:rsidP="006A4C02">
            <w:pPr>
              <w:pStyle w:val="TableText"/>
            </w:pPr>
            <w:r>
              <w:t>Digital Business</w:t>
            </w:r>
          </w:p>
        </w:tc>
        <w:tc>
          <w:tcPr>
            <w:tcW w:w="625" w:type="pct"/>
            <w:tcBorders>
              <w:top w:val="nil"/>
              <w:left w:val="nil"/>
              <w:bottom w:val="single" w:sz="4" w:space="0" w:color="000000"/>
              <w:right w:val="nil"/>
            </w:tcBorders>
            <w:shd w:val="clear" w:color="auto" w:fill="auto"/>
            <w:noWrap/>
            <w:hideMark/>
          </w:tcPr>
          <w:p w14:paraId="68E21B24" w14:textId="77777777" w:rsidR="00D61175" w:rsidRDefault="00D61175" w:rsidP="00266250">
            <w:pPr>
              <w:pStyle w:val="TableText"/>
              <w:jc w:val="right"/>
            </w:pPr>
            <w:r>
              <w:t>3,327,981</w:t>
            </w:r>
          </w:p>
        </w:tc>
        <w:tc>
          <w:tcPr>
            <w:tcW w:w="625" w:type="pct"/>
            <w:tcBorders>
              <w:top w:val="nil"/>
              <w:left w:val="nil"/>
              <w:bottom w:val="single" w:sz="4" w:space="0" w:color="000000"/>
              <w:right w:val="nil"/>
            </w:tcBorders>
            <w:shd w:val="clear" w:color="auto" w:fill="auto"/>
            <w:noWrap/>
            <w:hideMark/>
          </w:tcPr>
          <w:p w14:paraId="45381C87" w14:textId="77777777" w:rsidR="00D61175" w:rsidRDefault="00D61175" w:rsidP="00266250">
            <w:pPr>
              <w:pStyle w:val="TableText"/>
              <w:jc w:val="right"/>
            </w:pPr>
            <w:r>
              <w:t>3,202,984</w:t>
            </w:r>
          </w:p>
        </w:tc>
        <w:tc>
          <w:tcPr>
            <w:tcW w:w="547" w:type="pct"/>
            <w:tcBorders>
              <w:top w:val="nil"/>
              <w:left w:val="nil"/>
              <w:bottom w:val="single" w:sz="4" w:space="0" w:color="000000"/>
              <w:right w:val="nil"/>
            </w:tcBorders>
            <w:shd w:val="clear" w:color="auto" w:fill="auto"/>
            <w:noWrap/>
            <w:hideMark/>
          </w:tcPr>
          <w:p w14:paraId="14AB48D4" w14:textId="77777777" w:rsidR="00D61175" w:rsidRDefault="00D61175" w:rsidP="00266250">
            <w:pPr>
              <w:pStyle w:val="TableText"/>
              <w:jc w:val="right"/>
            </w:pPr>
            <w:r>
              <w:t>124,997</w:t>
            </w:r>
          </w:p>
        </w:tc>
        <w:tc>
          <w:tcPr>
            <w:tcW w:w="546" w:type="pct"/>
            <w:tcBorders>
              <w:top w:val="nil"/>
              <w:left w:val="nil"/>
              <w:bottom w:val="single" w:sz="4" w:space="0" w:color="000000"/>
              <w:right w:val="nil"/>
            </w:tcBorders>
            <w:shd w:val="clear" w:color="auto" w:fill="auto"/>
            <w:noWrap/>
            <w:hideMark/>
          </w:tcPr>
          <w:p w14:paraId="0A15A212" w14:textId="77777777" w:rsidR="00D61175" w:rsidRDefault="00D61175" w:rsidP="00266250">
            <w:pPr>
              <w:pStyle w:val="TableText"/>
              <w:jc w:val="right"/>
            </w:pPr>
            <w:r>
              <w:t>4</w:t>
            </w:r>
          </w:p>
        </w:tc>
      </w:tr>
      <w:tr w:rsidR="00D61175" w14:paraId="29EC1A7A" w14:textId="77777777" w:rsidTr="003B2E54">
        <w:tc>
          <w:tcPr>
            <w:tcW w:w="1288" w:type="pct"/>
            <w:vMerge/>
            <w:tcBorders>
              <w:top w:val="nil"/>
              <w:left w:val="nil"/>
              <w:bottom w:val="nil"/>
              <w:right w:val="nil"/>
            </w:tcBorders>
            <w:hideMark/>
          </w:tcPr>
          <w:p w14:paraId="78154581" w14:textId="77777777" w:rsidR="00D61175" w:rsidRDefault="00D61175" w:rsidP="006A4C02">
            <w:pPr>
              <w:pStyle w:val="TableText"/>
            </w:pPr>
          </w:p>
        </w:tc>
        <w:tc>
          <w:tcPr>
            <w:tcW w:w="1369" w:type="pct"/>
            <w:tcBorders>
              <w:top w:val="nil"/>
              <w:left w:val="nil"/>
              <w:bottom w:val="single" w:sz="4" w:space="0" w:color="000000"/>
              <w:right w:val="nil"/>
            </w:tcBorders>
            <w:shd w:val="clear" w:color="auto" w:fill="auto"/>
            <w:noWrap/>
            <w:hideMark/>
          </w:tcPr>
          <w:p w14:paraId="63186278" w14:textId="77777777" w:rsidR="00D61175" w:rsidRDefault="00D61175" w:rsidP="006A4C02">
            <w:pPr>
              <w:pStyle w:val="TableText"/>
            </w:pPr>
            <w:r>
              <w:t>Compliance &amp; Enforcement</w:t>
            </w:r>
          </w:p>
        </w:tc>
        <w:tc>
          <w:tcPr>
            <w:tcW w:w="625" w:type="pct"/>
            <w:tcBorders>
              <w:top w:val="nil"/>
              <w:left w:val="nil"/>
              <w:bottom w:val="single" w:sz="4" w:space="0" w:color="000000"/>
              <w:right w:val="nil"/>
            </w:tcBorders>
            <w:shd w:val="clear" w:color="auto" w:fill="auto"/>
            <w:noWrap/>
            <w:hideMark/>
          </w:tcPr>
          <w:p w14:paraId="39867222" w14:textId="77777777" w:rsidR="00D61175" w:rsidRDefault="00D61175" w:rsidP="00266250">
            <w:pPr>
              <w:pStyle w:val="TableText"/>
              <w:jc w:val="right"/>
            </w:pPr>
            <w:r>
              <w:t>1,579,709</w:t>
            </w:r>
          </w:p>
        </w:tc>
        <w:tc>
          <w:tcPr>
            <w:tcW w:w="625" w:type="pct"/>
            <w:tcBorders>
              <w:top w:val="nil"/>
              <w:left w:val="nil"/>
              <w:bottom w:val="single" w:sz="4" w:space="0" w:color="000000"/>
              <w:right w:val="nil"/>
            </w:tcBorders>
            <w:shd w:val="clear" w:color="auto" w:fill="auto"/>
            <w:noWrap/>
            <w:hideMark/>
          </w:tcPr>
          <w:p w14:paraId="75D54256" w14:textId="77777777" w:rsidR="00D61175" w:rsidRDefault="00D61175" w:rsidP="00266250">
            <w:pPr>
              <w:pStyle w:val="TableText"/>
              <w:jc w:val="right"/>
            </w:pPr>
            <w:r>
              <w:t>1,431,619</w:t>
            </w:r>
          </w:p>
        </w:tc>
        <w:tc>
          <w:tcPr>
            <w:tcW w:w="547" w:type="pct"/>
            <w:tcBorders>
              <w:top w:val="nil"/>
              <w:left w:val="nil"/>
              <w:bottom w:val="single" w:sz="4" w:space="0" w:color="000000"/>
              <w:right w:val="nil"/>
            </w:tcBorders>
            <w:shd w:val="clear" w:color="auto" w:fill="auto"/>
            <w:noWrap/>
            <w:hideMark/>
          </w:tcPr>
          <w:p w14:paraId="115EE218" w14:textId="77777777" w:rsidR="00D61175" w:rsidRDefault="00D61175" w:rsidP="00266250">
            <w:pPr>
              <w:pStyle w:val="TableText"/>
              <w:jc w:val="right"/>
            </w:pPr>
            <w:r>
              <w:t>148,090</w:t>
            </w:r>
          </w:p>
        </w:tc>
        <w:tc>
          <w:tcPr>
            <w:tcW w:w="546" w:type="pct"/>
            <w:tcBorders>
              <w:top w:val="nil"/>
              <w:left w:val="nil"/>
              <w:bottom w:val="single" w:sz="4" w:space="0" w:color="000000"/>
              <w:right w:val="nil"/>
            </w:tcBorders>
            <w:shd w:val="clear" w:color="auto" w:fill="auto"/>
            <w:noWrap/>
            <w:hideMark/>
          </w:tcPr>
          <w:p w14:paraId="00146826" w14:textId="77777777" w:rsidR="00D61175" w:rsidRDefault="00D61175" w:rsidP="00266250">
            <w:pPr>
              <w:pStyle w:val="TableText"/>
              <w:jc w:val="right"/>
            </w:pPr>
            <w:r>
              <w:t>10</w:t>
            </w:r>
          </w:p>
        </w:tc>
      </w:tr>
      <w:tr w:rsidR="00D61175" w14:paraId="389E2196" w14:textId="77777777" w:rsidTr="003B2E54">
        <w:tc>
          <w:tcPr>
            <w:tcW w:w="1288" w:type="pct"/>
            <w:vMerge/>
            <w:tcBorders>
              <w:top w:val="nil"/>
              <w:left w:val="nil"/>
              <w:bottom w:val="nil"/>
              <w:right w:val="nil"/>
            </w:tcBorders>
            <w:hideMark/>
          </w:tcPr>
          <w:p w14:paraId="61C0754A" w14:textId="77777777" w:rsidR="00D61175" w:rsidRDefault="00D61175" w:rsidP="006A4C02">
            <w:pPr>
              <w:pStyle w:val="TableText"/>
            </w:pPr>
          </w:p>
        </w:tc>
        <w:tc>
          <w:tcPr>
            <w:tcW w:w="1369" w:type="pct"/>
            <w:tcBorders>
              <w:top w:val="nil"/>
              <w:left w:val="nil"/>
              <w:bottom w:val="single" w:sz="4" w:space="0" w:color="000000"/>
              <w:right w:val="nil"/>
            </w:tcBorders>
            <w:shd w:val="clear" w:color="auto" w:fill="auto"/>
            <w:noWrap/>
            <w:hideMark/>
          </w:tcPr>
          <w:p w14:paraId="2F607D7D" w14:textId="77777777" w:rsidR="00D61175" w:rsidRDefault="00D61175" w:rsidP="006A4C02">
            <w:pPr>
              <w:pStyle w:val="TableText"/>
            </w:pPr>
            <w:r>
              <w:t>Trade and International</w:t>
            </w:r>
          </w:p>
        </w:tc>
        <w:tc>
          <w:tcPr>
            <w:tcW w:w="625" w:type="pct"/>
            <w:tcBorders>
              <w:top w:val="nil"/>
              <w:left w:val="nil"/>
              <w:bottom w:val="single" w:sz="4" w:space="0" w:color="000000"/>
              <w:right w:val="nil"/>
            </w:tcBorders>
            <w:shd w:val="clear" w:color="auto" w:fill="auto"/>
            <w:noWrap/>
            <w:hideMark/>
          </w:tcPr>
          <w:p w14:paraId="23BAE394" w14:textId="77777777" w:rsidR="00D61175" w:rsidRDefault="00D61175" w:rsidP="00266250">
            <w:pPr>
              <w:pStyle w:val="TableText"/>
              <w:jc w:val="right"/>
            </w:pPr>
            <w:r>
              <w:t>565,373</w:t>
            </w:r>
          </w:p>
        </w:tc>
        <w:tc>
          <w:tcPr>
            <w:tcW w:w="625" w:type="pct"/>
            <w:tcBorders>
              <w:top w:val="nil"/>
              <w:left w:val="nil"/>
              <w:bottom w:val="single" w:sz="4" w:space="0" w:color="000000"/>
              <w:right w:val="nil"/>
            </w:tcBorders>
            <w:shd w:val="clear" w:color="auto" w:fill="auto"/>
            <w:noWrap/>
            <w:hideMark/>
          </w:tcPr>
          <w:p w14:paraId="53B95CF6" w14:textId="77777777" w:rsidR="00D61175" w:rsidRDefault="00D61175" w:rsidP="00266250">
            <w:pPr>
              <w:pStyle w:val="TableText"/>
              <w:jc w:val="right"/>
            </w:pPr>
            <w:r>
              <w:t>549,831</w:t>
            </w:r>
          </w:p>
        </w:tc>
        <w:tc>
          <w:tcPr>
            <w:tcW w:w="547" w:type="pct"/>
            <w:tcBorders>
              <w:top w:val="nil"/>
              <w:left w:val="nil"/>
              <w:bottom w:val="single" w:sz="4" w:space="0" w:color="000000"/>
              <w:right w:val="nil"/>
            </w:tcBorders>
            <w:shd w:val="clear" w:color="auto" w:fill="auto"/>
            <w:noWrap/>
            <w:hideMark/>
          </w:tcPr>
          <w:p w14:paraId="09302C0D" w14:textId="77777777" w:rsidR="00D61175" w:rsidRDefault="00D61175" w:rsidP="00266250">
            <w:pPr>
              <w:pStyle w:val="TableText"/>
              <w:jc w:val="right"/>
            </w:pPr>
            <w:r>
              <w:t>15,542</w:t>
            </w:r>
          </w:p>
        </w:tc>
        <w:tc>
          <w:tcPr>
            <w:tcW w:w="546" w:type="pct"/>
            <w:tcBorders>
              <w:top w:val="nil"/>
              <w:left w:val="nil"/>
              <w:bottom w:val="single" w:sz="4" w:space="0" w:color="000000"/>
              <w:right w:val="nil"/>
            </w:tcBorders>
            <w:shd w:val="clear" w:color="auto" w:fill="auto"/>
            <w:noWrap/>
            <w:hideMark/>
          </w:tcPr>
          <w:p w14:paraId="1816AAAB" w14:textId="77777777" w:rsidR="00D61175" w:rsidRDefault="00D61175" w:rsidP="00266250">
            <w:pPr>
              <w:pStyle w:val="TableText"/>
              <w:jc w:val="right"/>
            </w:pPr>
            <w:r>
              <w:t>3</w:t>
            </w:r>
          </w:p>
        </w:tc>
      </w:tr>
      <w:tr w:rsidR="00D61175" w14:paraId="6D278769" w14:textId="77777777" w:rsidTr="003B2E54">
        <w:tc>
          <w:tcPr>
            <w:tcW w:w="1288" w:type="pct"/>
            <w:vMerge/>
            <w:tcBorders>
              <w:top w:val="nil"/>
              <w:left w:val="nil"/>
              <w:bottom w:val="nil"/>
              <w:right w:val="nil"/>
            </w:tcBorders>
            <w:hideMark/>
          </w:tcPr>
          <w:p w14:paraId="257B4B90" w14:textId="77777777" w:rsidR="00D61175" w:rsidRDefault="00D61175" w:rsidP="006A4C02">
            <w:pPr>
              <w:pStyle w:val="TableText"/>
            </w:pPr>
          </w:p>
        </w:tc>
        <w:tc>
          <w:tcPr>
            <w:tcW w:w="1369" w:type="pct"/>
            <w:tcBorders>
              <w:top w:val="nil"/>
              <w:left w:val="nil"/>
              <w:bottom w:val="nil"/>
              <w:right w:val="nil"/>
            </w:tcBorders>
            <w:shd w:val="clear" w:color="auto" w:fill="auto"/>
            <w:noWrap/>
            <w:hideMark/>
          </w:tcPr>
          <w:p w14:paraId="060EA583" w14:textId="77777777" w:rsidR="00D61175" w:rsidRDefault="00D61175" w:rsidP="006A4C02">
            <w:pPr>
              <w:pStyle w:val="TableText"/>
            </w:pPr>
            <w:r>
              <w:t>Biosecurity Operations</w:t>
            </w:r>
          </w:p>
        </w:tc>
        <w:tc>
          <w:tcPr>
            <w:tcW w:w="625" w:type="pct"/>
            <w:tcBorders>
              <w:top w:val="nil"/>
              <w:left w:val="nil"/>
              <w:bottom w:val="nil"/>
              <w:right w:val="nil"/>
            </w:tcBorders>
            <w:shd w:val="clear" w:color="auto" w:fill="auto"/>
            <w:noWrap/>
            <w:hideMark/>
          </w:tcPr>
          <w:p w14:paraId="7AF05007" w14:textId="77777777" w:rsidR="00D61175" w:rsidRDefault="00D61175" w:rsidP="00266250">
            <w:pPr>
              <w:pStyle w:val="TableText"/>
              <w:jc w:val="right"/>
            </w:pPr>
            <w:r>
              <w:t>21,968</w:t>
            </w:r>
          </w:p>
        </w:tc>
        <w:tc>
          <w:tcPr>
            <w:tcW w:w="625" w:type="pct"/>
            <w:tcBorders>
              <w:top w:val="nil"/>
              <w:left w:val="nil"/>
              <w:bottom w:val="nil"/>
              <w:right w:val="nil"/>
            </w:tcBorders>
            <w:shd w:val="clear" w:color="auto" w:fill="auto"/>
            <w:noWrap/>
            <w:hideMark/>
          </w:tcPr>
          <w:p w14:paraId="703B1AA5" w14:textId="77777777" w:rsidR="00D61175" w:rsidRDefault="00D61175" w:rsidP="00266250">
            <w:pPr>
              <w:pStyle w:val="TableText"/>
              <w:jc w:val="right"/>
            </w:pPr>
            <w:r>
              <w:t>26,875</w:t>
            </w:r>
          </w:p>
        </w:tc>
        <w:tc>
          <w:tcPr>
            <w:tcW w:w="547" w:type="pct"/>
            <w:tcBorders>
              <w:top w:val="nil"/>
              <w:left w:val="nil"/>
              <w:bottom w:val="nil"/>
              <w:right w:val="nil"/>
            </w:tcBorders>
            <w:shd w:val="clear" w:color="auto" w:fill="auto"/>
            <w:noWrap/>
            <w:hideMark/>
          </w:tcPr>
          <w:p w14:paraId="267A20C2" w14:textId="77777777" w:rsidR="00D61175" w:rsidRDefault="00D61175" w:rsidP="00266250">
            <w:pPr>
              <w:pStyle w:val="TableText"/>
              <w:jc w:val="right"/>
            </w:pPr>
            <w:r>
              <w:t>(4,907)</w:t>
            </w:r>
          </w:p>
        </w:tc>
        <w:tc>
          <w:tcPr>
            <w:tcW w:w="546" w:type="pct"/>
            <w:tcBorders>
              <w:top w:val="nil"/>
              <w:left w:val="nil"/>
              <w:bottom w:val="nil"/>
              <w:right w:val="nil"/>
            </w:tcBorders>
            <w:shd w:val="clear" w:color="auto" w:fill="auto"/>
            <w:noWrap/>
            <w:hideMark/>
          </w:tcPr>
          <w:p w14:paraId="36476CD9" w14:textId="77777777" w:rsidR="00D61175" w:rsidRDefault="00D61175" w:rsidP="00266250">
            <w:pPr>
              <w:pStyle w:val="TableText"/>
              <w:jc w:val="right"/>
            </w:pPr>
            <w:r>
              <w:t>(18)</w:t>
            </w:r>
          </w:p>
        </w:tc>
      </w:tr>
      <w:tr w:rsidR="00D61175" w:rsidRPr="00F54C68" w14:paraId="56949B2F" w14:textId="77777777" w:rsidTr="003B2E54">
        <w:tc>
          <w:tcPr>
            <w:tcW w:w="1288" w:type="pct"/>
            <w:tcBorders>
              <w:top w:val="single" w:sz="4" w:space="0" w:color="auto"/>
              <w:left w:val="nil"/>
              <w:bottom w:val="single" w:sz="4" w:space="0" w:color="auto"/>
              <w:right w:val="nil"/>
            </w:tcBorders>
            <w:shd w:val="clear" w:color="auto" w:fill="auto"/>
            <w:noWrap/>
            <w:hideMark/>
          </w:tcPr>
          <w:p w14:paraId="2082CB65" w14:textId="0F628122" w:rsidR="00D61175" w:rsidRPr="00F54C68" w:rsidRDefault="00D61175" w:rsidP="006A4C02">
            <w:pPr>
              <w:pStyle w:val="TableText"/>
              <w:rPr>
                <w:rStyle w:val="Strong"/>
              </w:rPr>
            </w:pPr>
            <w:r w:rsidRPr="00F54C68">
              <w:rPr>
                <w:rStyle w:val="Strong"/>
              </w:rPr>
              <w:t>Total direct expenses</w:t>
            </w:r>
          </w:p>
        </w:tc>
        <w:tc>
          <w:tcPr>
            <w:tcW w:w="1369" w:type="pct"/>
            <w:tcBorders>
              <w:top w:val="single" w:sz="4" w:space="0" w:color="auto"/>
              <w:left w:val="nil"/>
              <w:bottom w:val="nil"/>
              <w:right w:val="nil"/>
            </w:tcBorders>
            <w:shd w:val="clear" w:color="auto" w:fill="auto"/>
            <w:noWrap/>
            <w:hideMark/>
          </w:tcPr>
          <w:p w14:paraId="54C1AC18" w14:textId="3F4D4689" w:rsidR="00D61175" w:rsidRPr="00F54C68" w:rsidRDefault="00AB45BF" w:rsidP="006A4C02">
            <w:pPr>
              <w:pStyle w:val="TableText"/>
              <w:rPr>
                <w:rStyle w:val="Strong"/>
              </w:rPr>
            </w:pPr>
            <w:r>
              <w:rPr>
                <w:rStyle w:val="Strong"/>
              </w:rPr>
              <w:t>—</w:t>
            </w:r>
          </w:p>
        </w:tc>
        <w:tc>
          <w:tcPr>
            <w:tcW w:w="625" w:type="pct"/>
            <w:tcBorders>
              <w:top w:val="single" w:sz="4" w:space="0" w:color="auto"/>
              <w:left w:val="nil"/>
              <w:bottom w:val="nil"/>
              <w:right w:val="nil"/>
            </w:tcBorders>
            <w:shd w:val="clear" w:color="auto" w:fill="auto"/>
            <w:noWrap/>
            <w:hideMark/>
          </w:tcPr>
          <w:p w14:paraId="24F3FCB9" w14:textId="77777777" w:rsidR="00D61175" w:rsidRPr="00F54C68" w:rsidRDefault="00D61175" w:rsidP="00266250">
            <w:pPr>
              <w:pStyle w:val="TableText"/>
              <w:jc w:val="right"/>
              <w:rPr>
                <w:rStyle w:val="Strong"/>
              </w:rPr>
            </w:pPr>
            <w:r w:rsidRPr="00F54C68">
              <w:rPr>
                <w:rStyle w:val="Strong"/>
              </w:rPr>
              <w:t>78,927,434</w:t>
            </w:r>
          </w:p>
        </w:tc>
        <w:tc>
          <w:tcPr>
            <w:tcW w:w="625" w:type="pct"/>
            <w:tcBorders>
              <w:top w:val="single" w:sz="4" w:space="0" w:color="auto"/>
              <w:left w:val="nil"/>
              <w:bottom w:val="nil"/>
              <w:right w:val="nil"/>
            </w:tcBorders>
            <w:shd w:val="clear" w:color="auto" w:fill="auto"/>
            <w:noWrap/>
            <w:hideMark/>
          </w:tcPr>
          <w:p w14:paraId="3F32FD2E" w14:textId="77777777" w:rsidR="00D61175" w:rsidRPr="00F54C68" w:rsidRDefault="00D61175" w:rsidP="00266250">
            <w:pPr>
              <w:pStyle w:val="TableText"/>
              <w:jc w:val="right"/>
              <w:rPr>
                <w:rStyle w:val="Strong"/>
              </w:rPr>
            </w:pPr>
            <w:r w:rsidRPr="00F54C68">
              <w:rPr>
                <w:rStyle w:val="Strong"/>
              </w:rPr>
              <w:t>78,466,555</w:t>
            </w:r>
          </w:p>
        </w:tc>
        <w:tc>
          <w:tcPr>
            <w:tcW w:w="547" w:type="pct"/>
            <w:tcBorders>
              <w:top w:val="single" w:sz="4" w:space="0" w:color="auto"/>
              <w:left w:val="nil"/>
              <w:bottom w:val="nil"/>
              <w:right w:val="nil"/>
            </w:tcBorders>
            <w:shd w:val="clear" w:color="auto" w:fill="auto"/>
            <w:noWrap/>
            <w:hideMark/>
          </w:tcPr>
          <w:p w14:paraId="22279B7D" w14:textId="77777777" w:rsidR="00D61175" w:rsidRPr="00F54C68" w:rsidRDefault="00D61175" w:rsidP="00266250">
            <w:pPr>
              <w:pStyle w:val="TableText"/>
              <w:jc w:val="right"/>
              <w:rPr>
                <w:rStyle w:val="Strong"/>
              </w:rPr>
            </w:pPr>
            <w:r w:rsidRPr="00F54C68">
              <w:rPr>
                <w:rStyle w:val="Strong"/>
              </w:rPr>
              <w:t>460,879</w:t>
            </w:r>
          </w:p>
        </w:tc>
        <w:tc>
          <w:tcPr>
            <w:tcW w:w="546" w:type="pct"/>
            <w:tcBorders>
              <w:top w:val="single" w:sz="4" w:space="0" w:color="000000"/>
              <w:left w:val="nil"/>
              <w:bottom w:val="nil"/>
              <w:right w:val="nil"/>
            </w:tcBorders>
            <w:shd w:val="clear" w:color="auto" w:fill="auto"/>
            <w:noWrap/>
            <w:hideMark/>
          </w:tcPr>
          <w:p w14:paraId="6484D2B7" w14:textId="77777777" w:rsidR="00D61175" w:rsidRPr="00F54C68" w:rsidRDefault="00D61175" w:rsidP="00266250">
            <w:pPr>
              <w:pStyle w:val="TableText"/>
              <w:jc w:val="right"/>
              <w:rPr>
                <w:rStyle w:val="Strong"/>
              </w:rPr>
            </w:pPr>
            <w:r w:rsidRPr="00F54C68">
              <w:rPr>
                <w:rStyle w:val="Strong"/>
              </w:rPr>
              <w:t>1</w:t>
            </w:r>
          </w:p>
        </w:tc>
      </w:tr>
      <w:tr w:rsidR="00D61175" w14:paraId="1B8A43FC" w14:textId="77777777" w:rsidTr="003B2E54">
        <w:tc>
          <w:tcPr>
            <w:tcW w:w="1288" w:type="pct"/>
            <w:vMerge w:val="restart"/>
            <w:tcBorders>
              <w:top w:val="nil"/>
              <w:left w:val="nil"/>
              <w:bottom w:val="single" w:sz="4" w:space="0" w:color="000000"/>
              <w:right w:val="nil"/>
            </w:tcBorders>
            <w:shd w:val="clear" w:color="auto" w:fill="auto"/>
            <w:hideMark/>
          </w:tcPr>
          <w:p w14:paraId="1E1238B6" w14:textId="77777777" w:rsidR="00D61175" w:rsidRDefault="00D61175" w:rsidP="006A4C02">
            <w:pPr>
              <w:pStyle w:val="TableText"/>
            </w:pPr>
            <w:r>
              <w:t>Indirect</w:t>
            </w:r>
          </w:p>
        </w:tc>
        <w:tc>
          <w:tcPr>
            <w:tcW w:w="1369" w:type="pct"/>
            <w:tcBorders>
              <w:top w:val="single" w:sz="4" w:space="0" w:color="000000"/>
              <w:left w:val="nil"/>
              <w:bottom w:val="single" w:sz="4" w:space="0" w:color="000000"/>
              <w:right w:val="nil"/>
            </w:tcBorders>
            <w:shd w:val="clear" w:color="auto" w:fill="auto"/>
            <w:noWrap/>
            <w:hideMark/>
          </w:tcPr>
          <w:p w14:paraId="3C166167" w14:textId="77777777" w:rsidR="00D61175" w:rsidRDefault="00D61175" w:rsidP="006A4C02">
            <w:pPr>
              <w:pStyle w:val="TableText"/>
            </w:pPr>
            <w:r>
              <w:t>Finance and Investment</w:t>
            </w:r>
          </w:p>
        </w:tc>
        <w:tc>
          <w:tcPr>
            <w:tcW w:w="625" w:type="pct"/>
            <w:tcBorders>
              <w:top w:val="single" w:sz="4" w:space="0" w:color="000000"/>
              <w:left w:val="nil"/>
              <w:bottom w:val="single" w:sz="4" w:space="0" w:color="000000"/>
              <w:right w:val="nil"/>
            </w:tcBorders>
            <w:shd w:val="clear" w:color="auto" w:fill="auto"/>
            <w:noWrap/>
            <w:hideMark/>
          </w:tcPr>
          <w:p w14:paraId="41A38A9A" w14:textId="77777777" w:rsidR="00D61175" w:rsidRDefault="00D61175" w:rsidP="00266250">
            <w:pPr>
              <w:pStyle w:val="TableText"/>
              <w:jc w:val="right"/>
            </w:pPr>
            <w:r>
              <w:t>3,067,403</w:t>
            </w:r>
          </w:p>
        </w:tc>
        <w:tc>
          <w:tcPr>
            <w:tcW w:w="625" w:type="pct"/>
            <w:tcBorders>
              <w:top w:val="single" w:sz="4" w:space="0" w:color="000000"/>
              <w:left w:val="nil"/>
              <w:bottom w:val="single" w:sz="4" w:space="0" w:color="000000"/>
              <w:right w:val="nil"/>
            </w:tcBorders>
            <w:shd w:val="clear" w:color="auto" w:fill="auto"/>
            <w:noWrap/>
            <w:hideMark/>
          </w:tcPr>
          <w:p w14:paraId="3A091C26" w14:textId="77777777" w:rsidR="00D61175" w:rsidRDefault="00D61175" w:rsidP="00266250">
            <w:pPr>
              <w:pStyle w:val="TableText"/>
              <w:jc w:val="right"/>
            </w:pPr>
            <w:r>
              <w:t>3,500,072</w:t>
            </w:r>
          </w:p>
        </w:tc>
        <w:tc>
          <w:tcPr>
            <w:tcW w:w="547" w:type="pct"/>
            <w:tcBorders>
              <w:top w:val="single" w:sz="4" w:space="0" w:color="000000"/>
              <w:left w:val="nil"/>
              <w:bottom w:val="single" w:sz="4" w:space="0" w:color="000000"/>
              <w:right w:val="nil"/>
            </w:tcBorders>
            <w:shd w:val="clear" w:color="auto" w:fill="auto"/>
            <w:noWrap/>
            <w:hideMark/>
          </w:tcPr>
          <w:p w14:paraId="0A89AE5B" w14:textId="77777777" w:rsidR="00D61175" w:rsidRDefault="00D61175" w:rsidP="00266250">
            <w:pPr>
              <w:pStyle w:val="TableText"/>
              <w:jc w:val="right"/>
            </w:pPr>
            <w:r>
              <w:t>(432,670)</w:t>
            </w:r>
          </w:p>
        </w:tc>
        <w:tc>
          <w:tcPr>
            <w:tcW w:w="546" w:type="pct"/>
            <w:tcBorders>
              <w:top w:val="single" w:sz="4" w:space="0" w:color="000000"/>
              <w:left w:val="nil"/>
              <w:bottom w:val="single" w:sz="4" w:space="0" w:color="000000"/>
              <w:right w:val="nil"/>
            </w:tcBorders>
            <w:shd w:val="clear" w:color="auto" w:fill="auto"/>
            <w:noWrap/>
            <w:hideMark/>
          </w:tcPr>
          <w:p w14:paraId="5EF296A6" w14:textId="77777777" w:rsidR="00D61175" w:rsidRDefault="00D61175" w:rsidP="00266250">
            <w:pPr>
              <w:pStyle w:val="TableText"/>
              <w:jc w:val="right"/>
            </w:pPr>
            <w:r>
              <w:t>(12)</w:t>
            </w:r>
          </w:p>
        </w:tc>
      </w:tr>
      <w:tr w:rsidR="00D61175" w14:paraId="16C6ED4B" w14:textId="77777777" w:rsidTr="003B2E54">
        <w:tc>
          <w:tcPr>
            <w:tcW w:w="1288" w:type="pct"/>
            <w:vMerge/>
            <w:tcBorders>
              <w:top w:val="nil"/>
              <w:left w:val="nil"/>
              <w:bottom w:val="single" w:sz="4" w:space="0" w:color="000000"/>
              <w:right w:val="nil"/>
            </w:tcBorders>
            <w:hideMark/>
          </w:tcPr>
          <w:p w14:paraId="225EE0AF" w14:textId="77777777" w:rsidR="00D61175" w:rsidRDefault="00D61175" w:rsidP="006A4C02">
            <w:pPr>
              <w:pStyle w:val="TableText"/>
            </w:pPr>
          </w:p>
        </w:tc>
        <w:tc>
          <w:tcPr>
            <w:tcW w:w="1369" w:type="pct"/>
            <w:tcBorders>
              <w:top w:val="nil"/>
              <w:left w:val="nil"/>
              <w:bottom w:val="single" w:sz="4" w:space="0" w:color="000000"/>
              <w:right w:val="nil"/>
            </w:tcBorders>
            <w:shd w:val="clear" w:color="auto" w:fill="auto"/>
            <w:noWrap/>
            <w:hideMark/>
          </w:tcPr>
          <w:p w14:paraId="2CDE4DA7" w14:textId="77777777" w:rsidR="00D61175" w:rsidRDefault="00D61175" w:rsidP="006A4C02">
            <w:pPr>
              <w:pStyle w:val="TableText"/>
            </w:pPr>
            <w:r>
              <w:t>Enterprise Strategy and Governance</w:t>
            </w:r>
          </w:p>
        </w:tc>
        <w:tc>
          <w:tcPr>
            <w:tcW w:w="625" w:type="pct"/>
            <w:tcBorders>
              <w:top w:val="nil"/>
              <w:left w:val="nil"/>
              <w:bottom w:val="single" w:sz="4" w:space="0" w:color="000000"/>
              <w:right w:val="nil"/>
            </w:tcBorders>
            <w:shd w:val="clear" w:color="auto" w:fill="auto"/>
            <w:noWrap/>
            <w:hideMark/>
          </w:tcPr>
          <w:p w14:paraId="6755BC5C" w14:textId="77777777" w:rsidR="00D61175" w:rsidRDefault="00D61175" w:rsidP="00266250">
            <w:pPr>
              <w:pStyle w:val="TableText"/>
              <w:jc w:val="right"/>
            </w:pPr>
            <w:r>
              <w:t>564,502</w:t>
            </w:r>
          </w:p>
        </w:tc>
        <w:tc>
          <w:tcPr>
            <w:tcW w:w="625" w:type="pct"/>
            <w:tcBorders>
              <w:top w:val="nil"/>
              <w:left w:val="nil"/>
              <w:bottom w:val="single" w:sz="4" w:space="0" w:color="000000"/>
              <w:right w:val="nil"/>
            </w:tcBorders>
            <w:shd w:val="clear" w:color="auto" w:fill="auto"/>
            <w:noWrap/>
            <w:hideMark/>
          </w:tcPr>
          <w:p w14:paraId="5F27F434" w14:textId="77777777" w:rsidR="00D61175" w:rsidRDefault="00D61175" w:rsidP="00266250">
            <w:pPr>
              <w:pStyle w:val="TableText"/>
              <w:jc w:val="right"/>
            </w:pPr>
            <w:r>
              <w:t>700,420</w:t>
            </w:r>
          </w:p>
        </w:tc>
        <w:tc>
          <w:tcPr>
            <w:tcW w:w="547" w:type="pct"/>
            <w:tcBorders>
              <w:top w:val="nil"/>
              <w:left w:val="nil"/>
              <w:bottom w:val="single" w:sz="4" w:space="0" w:color="000000"/>
              <w:right w:val="nil"/>
            </w:tcBorders>
            <w:shd w:val="clear" w:color="auto" w:fill="auto"/>
            <w:noWrap/>
            <w:hideMark/>
          </w:tcPr>
          <w:p w14:paraId="1AD0667B" w14:textId="77777777" w:rsidR="00D61175" w:rsidRDefault="00D61175" w:rsidP="00266250">
            <w:pPr>
              <w:pStyle w:val="TableText"/>
              <w:jc w:val="right"/>
            </w:pPr>
            <w:r>
              <w:t>(135,917)</w:t>
            </w:r>
          </w:p>
        </w:tc>
        <w:tc>
          <w:tcPr>
            <w:tcW w:w="546" w:type="pct"/>
            <w:tcBorders>
              <w:top w:val="nil"/>
              <w:left w:val="nil"/>
              <w:bottom w:val="single" w:sz="4" w:space="0" w:color="000000"/>
              <w:right w:val="nil"/>
            </w:tcBorders>
            <w:shd w:val="clear" w:color="auto" w:fill="auto"/>
            <w:noWrap/>
            <w:hideMark/>
          </w:tcPr>
          <w:p w14:paraId="47F82C43" w14:textId="77777777" w:rsidR="00D61175" w:rsidRDefault="00D61175" w:rsidP="00266250">
            <w:pPr>
              <w:pStyle w:val="TableText"/>
              <w:jc w:val="right"/>
            </w:pPr>
            <w:r>
              <w:t>(19)</w:t>
            </w:r>
          </w:p>
        </w:tc>
      </w:tr>
      <w:tr w:rsidR="00D61175" w14:paraId="5C25F8B9" w14:textId="77777777" w:rsidTr="003B2E54">
        <w:tc>
          <w:tcPr>
            <w:tcW w:w="1288" w:type="pct"/>
            <w:vMerge/>
            <w:tcBorders>
              <w:top w:val="nil"/>
              <w:left w:val="nil"/>
              <w:bottom w:val="single" w:sz="4" w:space="0" w:color="000000"/>
              <w:right w:val="nil"/>
            </w:tcBorders>
            <w:hideMark/>
          </w:tcPr>
          <w:p w14:paraId="688A1FC0" w14:textId="77777777" w:rsidR="00D61175" w:rsidRDefault="00D61175" w:rsidP="006A4C02">
            <w:pPr>
              <w:pStyle w:val="TableText"/>
            </w:pPr>
          </w:p>
        </w:tc>
        <w:tc>
          <w:tcPr>
            <w:tcW w:w="1369" w:type="pct"/>
            <w:tcBorders>
              <w:top w:val="nil"/>
              <w:left w:val="nil"/>
              <w:bottom w:val="single" w:sz="4" w:space="0" w:color="000000"/>
              <w:right w:val="nil"/>
            </w:tcBorders>
            <w:shd w:val="clear" w:color="auto" w:fill="auto"/>
            <w:noWrap/>
            <w:hideMark/>
          </w:tcPr>
          <w:p w14:paraId="15F0E9DC" w14:textId="77777777" w:rsidR="00D61175" w:rsidRDefault="00D61175" w:rsidP="006A4C02">
            <w:pPr>
              <w:pStyle w:val="TableText"/>
            </w:pPr>
            <w:r>
              <w:t>Digital Services</w:t>
            </w:r>
          </w:p>
        </w:tc>
        <w:tc>
          <w:tcPr>
            <w:tcW w:w="625" w:type="pct"/>
            <w:tcBorders>
              <w:top w:val="nil"/>
              <w:left w:val="nil"/>
              <w:bottom w:val="single" w:sz="4" w:space="0" w:color="000000"/>
              <w:right w:val="nil"/>
            </w:tcBorders>
            <w:shd w:val="clear" w:color="auto" w:fill="auto"/>
            <w:noWrap/>
            <w:hideMark/>
          </w:tcPr>
          <w:p w14:paraId="56485FFB" w14:textId="77777777" w:rsidR="00D61175" w:rsidRDefault="00D61175" w:rsidP="00266250">
            <w:pPr>
              <w:pStyle w:val="TableText"/>
              <w:jc w:val="right"/>
            </w:pPr>
            <w:r>
              <w:t>5,588,285</w:t>
            </w:r>
          </w:p>
        </w:tc>
        <w:tc>
          <w:tcPr>
            <w:tcW w:w="625" w:type="pct"/>
            <w:tcBorders>
              <w:top w:val="nil"/>
              <w:left w:val="nil"/>
              <w:bottom w:val="single" w:sz="4" w:space="0" w:color="000000"/>
              <w:right w:val="nil"/>
            </w:tcBorders>
            <w:shd w:val="clear" w:color="auto" w:fill="auto"/>
            <w:noWrap/>
            <w:hideMark/>
          </w:tcPr>
          <w:p w14:paraId="31970FD4" w14:textId="77777777" w:rsidR="00D61175" w:rsidRDefault="00D61175" w:rsidP="00266250">
            <w:pPr>
              <w:pStyle w:val="TableText"/>
              <w:jc w:val="right"/>
            </w:pPr>
            <w:r>
              <w:t>5,600,305</w:t>
            </w:r>
          </w:p>
        </w:tc>
        <w:tc>
          <w:tcPr>
            <w:tcW w:w="547" w:type="pct"/>
            <w:tcBorders>
              <w:top w:val="nil"/>
              <w:left w:val="nil"/>
              <w:bottom w:val="single" w:sz="4" w:space="0" w:color="000000"/>
              <w:right w:val="nil"/>
            </w:tcBorders>
            <w:shd w:val="clear" w:color="auto" w:fill="auto"/>
            <w:noWrap/>
            <w:hideMark/>
          </w:tcPr>
          <w:p w14:paraId="0B470439" w14:textId="77777777" w:rsidR="00D61175" w:rsidRDefault="00D61175" w:rsidP="00266250">
            <w:pPr>
              <w:pStyle w:val="TableText"/>
              <w:jc w:val="right"/>
            </w:pPr>
            <w:r>
              <w:t>(12,021)</w:t>
            </w:r>
          </w:p>
        </w:tc>
        <w:tc>
          <w:tcPr>
            <w:tcW w:w="546" w:type="pct"/>
            <w:tcBorders>
              <w:top w:val="nil"/>
              <w:left w:val="nil"/>
              <w:bottom w:val="single" w:sz="4" w:space="0" w:color="000000"/>
              <w:right w:val="nil"/>
            </w:tcBorders>
            <w:shd w:val="clear" w:color="auto" w:fill="auto"/>
            <w:noWrap/>
            <w:hideMark/>
          </w:tcPr>
          <w:p w14:paraId="3E79A7C5" w14:textId="77777777" w:rsidR="00D61175" w:rsidRDefault="00D61175" w:rsidP="00266250">
            <w:pPr>
              <w:pStyle w:val="TableText"/>
              <w:jc w:val="right"/>
            </w:pPr>
            <w:r>
              <w:t>(0)</w:t>
            </w:r>
          </w:p>
        </w:tc>
      </w:tr>
      <w:tr w:rsidR="00D61175" w14:paraId="4FD1B616" w14:textId="77777777" w:rsidTr="003B2E54">
        <w:tc>
          <w:tcPr>
            <w:tcW w:w="1288" w:type="pct"/>
            <w:vMerge/>
            <w:tcBorders>
              <w:top w:val="nil"/>
              <w:left w:val="nil"/>
              <w:bottom w:val="single" w:sz="4" w:space="0" w:color="000000"/>
              <w:right w:val="nil"/>
            </w:tcBorders>
            <w:hideMark/>
          </w:tcPr>
          <w:p w14:paraId="37C3A7FA" w14:textId="77777777" w:rsidR="00D61175" w:rsidRDefault="00D61175" w:rsidP="006A4C02">
            <w:pPr>
              <w:pStyle w:val="TableText"/>
            </w:pPr>
          </w:p>
        </w:tc>
        <w:tc>
          <w:tcPr>
            <w:tcW w:w="1369" w:type="pct"/>
            <w:tcBorders>
              <w:top w:val="nil"/>
              <w:left w:val="nil"/>
              <w:bottom w:val="single" w:sz="4" w:space="0" w:color="000000"/>
              <w:right w:val="nil"/>
            </w:tcBorders>
            <w:shd w:val="clear" w:color="auto" w:fill="auto"/>
            <w:noWrap/>
            <w:hideMark/>
          </w:tcPr>
          <w:p w14:paraId="680FE255" w14:textId="77777777" w:rsidR="00D61175" w:rsidRDefault="00D61175" w:rsidP="006A4C02">
            <w:pPr>
              <w:pStyle w:val="TableText"/>
            </w:pPr>
            <w:r>
              <w:t>Legal</w:t>
            </w:r>
          </w:p>
        </w:tc>
        <w:tc>
          <w:tcPr>
            <w:tcW w:w="625" w:type="pct"/>
            <w:tcBorders>
              <w:top w:val="nil"/>
              <w:left w:val="nil"/>
              <w:bottom w:val="single" w:sz="4" w:space="0" w:color="000000"/>
              <w:right w:val="nil"/>
            </w:tcBorders>
            <w:shd w:val="clear" w:color="auto" w:fill="auto"/>
            <w:noWrap/>
            <w:hideMark/>
          </w:tcPr>
          <w:p w14:paraId="446ABFC7" w14:textId="77777777" w:rsidR="00D61175" w:rsidRDefault="00D61175" w:rsidP="00266250">
            <w:pPr>
              <w:pStyle w:val="TableText"/>
              <w:jc w:val="right"/>
            </w:pPr>
            <w:r>
              <w:t>1,124,070</w:t>
            </w:r>
          </w:p>
        </w:tc>
        <w:tc>
          <w:tcPr>
            <w:tcW w:w="625" w:type="pct"/>
            <w:tcBorders>
              <w:top w:val="nil"/>
              <w:left w:val="nil"/>
              <w:bottom w:val="single" w:sz="4" w:space="0" w:color="000000"/>
              <w:right w:val="nil"/>
            </w:tcBorders>
            <w:shd w:val="clear" w:color="auto" w:fill="auto"/>
            <w:noWrap/>
            <w:hideMark/>
          </w:tcPr>
          <w:p w14:paraId="4E4C1A85" w14:textId="77777777" w:rsidR="00D61175" w:rsidRDefault="00D61175" w:rsidP="00266250">
            <w:pPr>
              <w:pStyle w:val="TableText"/>
              <w:jc w:val="right"/>
            </w:pPr>
            <w:r>
              <w:t>1,222,054</w:t>
            </w:r>
          </w:p>
        </w:tc>
        <w:tc>
          <w:tcPr>
            <w:tcW w:w="547" w:type="pct"/>
            <w:tcBorders>
              <w:top w:val="nil"/>
              <w:left w:val="nil"/>
              <w:bottom w:val="single" w:sz="4" w:space="0" w:color="000000"/>
              <w:right w:val="nil"/>
            </w:tcBorders>
            <w:shd w:val="clear" w:color="auto" w:fill="auto"/>
            <w:noWrap/>
            <w:hideMark/>
          </w:tcPr>
          <w:p w14:paraId="58A2495D" w14:textId="77777777" w:rsidR="00D61175" w:rsidRDefault="00D61175" w:rsidP="00266250">
            <w:pPr>
              <w:pStyle w:val="TableText"/>
              <w:jc w:val="right"/>
            </w:pPr>
            <w:r>
              <w:t>(97,985)</w:t>
            </w:r>
          </w:p>
        </w:tc>
        <w:tc>
          <w:tcPr>
            <w:tcW w:w="546" w:type="pct"/>
            <w:tcBorders>
              <w:top w:val="nil"/>
              <w:left w:val="nil"/>
              <w:bottom w:val="single" w:sz="4" w:space="0" w:color="000000"/>
              <w:right w:val="nil"/>
            </w:tcBorders>
            <w:shd w:val="clear" w:color="auto" w:fill="auto"/>
            <w:noWrap/>
            <w:hideMark/>
          </w:tcPr>
          <w:p w14:paraId="64E567F3" w14:textId="77777777" w:rsidR="00D61175" w:rsidRDefault="00D61175" w:rsidP="00266250">
            <w:pPr>
              <w:pStyle w:val="TableText"/>
              <w:jc w:val="right"/>
            </w:pPr>
            <w:r>
              <w:t>(8)</w:t>
            </w:r>
          </w:p>
        </w:tc>
      </w:tr>
      <w:tr w:rsidR="00D61175" w14:paraId="3CDF9EB7" w14:textId="77777777" w:rsidTr="003B2E54">
        <w:tc>
          <w:tcPr>
            <w:tcW w:w="1288" w:type="pct"/>
            <w:vMerge/>
            <w:tcBorders>
              <w:top w:val="nil"/>
              <w:left w:val="nil"/>
              <w:bottom w:val="single" w:sz="4" w:space="0" w:color="000000"/>
              <w:right w:val="nil"/>
            </w:tcBorders>
            <w:hideMark/>
          </w:tcPr>
          <w:p w14:paraId="3B43378B" w14:textId="77777777" w:rsidR="00D61175" w:rsidRDefault="00D61175" w:rsidP="006A4C02">
            <w:pPr>
              <w:pStyle w:val="TableText"/>
            </w:pPr>
          </w:p>
        </w:tc>
        <w:tc>
          <w:tcPr>
            <w:tcW w:w="1369" w:type="pct"/>
            <w:tcBorders>
              <w:top w:val="nil"/>
              <w:left w:val="nil"/>
              <w:bottom w:val="single" w:sz="4" w:space="0" w:color="000000"/>
              <w:right w:val="nil"/>
            </w:tcBorders>
            <w:shd w:val="clear" w:color="auto" w:fill="auto"/>
            <w:noWrap/>
            <w:hideMark/>
          </w:tcPr>
          <w:p w14:paraId="1CB6A943" w14:textId="77777777" w:rsidR="00D61175" w:rsidRDefault="00D61175" w:rsidP="006A4C02">
            <w:pPr>
              <w:pStyle w:val="TableText"/>
            </w:pPr>
            <w:r>
              <w:t>Transformation Taskforce</w:t>
            </w:r>
          </w:p>
        </w:tc>
        <w:tc>
          <w:tcPr>
            <w:tcW w:w="625" w:type="pct"/>
            <w:tcBorders>
              <w:top w:val="nil"/>
              <w:left w:val="nil"/>
              <w:bottom w:val="single" w:sz="4" w:space="0" w:color="000000"/>
              <w:right w:val="nil"/>
            </w:tcBorders>
            <w:shd w:val="clear" w:color="auto" w:fill="auto"/>
            <w:noWrap/>
            <w:hideMark/>
          </w:tcPr>
          <w:p w14:paraId="26883A0C" w14:textId="77777777" w:rsidR="00D61175" w:rsidRDefault="00D61175" w:rsidP="00266250">
            <w:pPr>
              <w:pStyle w:val="TableText"/>
              <w:jc w:val="right"/>
            </w:pPr>
            <w:r>
              <w:t>86,297</w:t>
            </w:r>
          </w:p>
        </w:tc>
        <w:tc>
          <w:tcPr>
            <w:tcW w:w="625" w:type="pct"/>
            <w:tcBorders>
              <w:top w:val="nil"/>
              <w:left w:val="nil"/>
              <w:bottom w:val="single" w:sz="4" w:space="0" w:color="000000"/>
              <w:right w:val="nil"/>
            </w:tcBorders>
            <w:shd w:val="clear" w:color="auto" w:fill="auto"/>
            <w:noWrap/>
            <w:hideMark/>
          </w:tcPr>
          <w:p w14:paraId="53279581" w14:textId="77777777" w:rsidR="00D61175" w:rsidRDefault="00D61175" w:rsidP="00266250">
            <w:pPr>
              <w:pStyle w:val="TableText"/>
              <w:jc w:val="right"/>
            </w:pPr>
            <w:r>
              <w:t>102,404</w:t>
            </w:r>
          </w:p>
        </w:tc>
        <w:tc>
          <w:tcPr>
            <w:tcW w:w="547" w:type="pct"/>
            <w:tcBorders>
              <w:top w:val="nil"/>
              <w:left w:val="nil"/>
              <w:bottom w:val="single" w:sz="4" w:space="0" w:color="000000"/>
              <w:right w:val="nil"/>
            </w:tcBorders>
            <w:shd w:val="clear" w:color="auto" w:fill="auto"/>
            <w:noWrap/>
            <w:hideMark/>
          </w:tcPr>
          <w:p w14:paraId="309F6A14" w14:textId="77777777" w:rsidR="00D61175" w:rsidRDefault="00D61175" w:rsidP="00266250">
            <w:pPr>
              <w:pStyle w:val="TableText"/>
              <w:jc w:val="right"/>
            </w:pPr>
            <w:r>
              <w:t>(16,107)</w:t>
            </w:r>
          </w:p>
        </w:tc>
        <w:tc>
          <w:tcPr>
            <w:tcW w:w="546" w:type="pct"/>
            <w:tcBorders>
              <w:top w:val="nil"/>
              <w:left w:val="nil"/>
              <w:bottom w:val="single" w:sz="4" w:space="0" w:color="000000"/>
              <w:right w:val="nil"/>
            </w:tcBorders>
            <w:shd w:val="clear" w:color="auto" w:fill="auto"/>
            <w:noWrap/>
            <w:hideMark/>
          </w:tcPr>
          <w:p w14:paraId="6EB5508A" w14:textId="77777777" w:rsidR="00D61175" w:rsidRDefault="00D61175" w:rsidP="00266250">
            <w:pPr>
              <w:pStyle w:val="TableText"/>
              <w:jc w:val="right"/>
            </w:pPr>
            <w:r>
              <w:t>(16)</w:t>
            </w:r>
          </w:p>
        </w:tc>
      </w:tr>
      <w:tr w:rsidR="00D61175" w14:paraId="1447E704" w14:textId="77777777" w:rsidTr="003B2E54">
        <w:tc>
          <w:tcPr>
            <w:tcW w:w="1288" w:type="pct"/>
            <w:vMerge/>
            <w:tcBorders>
              <w:top w:val="nil"/>
              <w:left w:val="nil"/>
              <w:bottom w:val="single" w:sz="4" w:space="0" w:color="000000"/>
              <w:right w:val="nil"/>
            </w:tcBorders>
            <w:hideMark/>
          </w:tcPr>
          <w:p w14:paraId="69D8B190" w14:textId="77777777" w:rsidR="00D61175" w:rsidRDefault="00D61175" w:rsidP="006A4C02">
            <w:pPr>
              <w:pStyle w:val="TableText"/>
            </w:pPr>
          </w:p>
        </w:tc>
        <w:tc>
          <w:tcPr>
            <w:tcW w:w="1369" w:type="pct"/>
            <w:tcBorders>
              <w:top w:val="nil"/>
              <w:left w:val="nil"/>
              <w:bottom w:val="single" w:sz="4" w:space="0" w:color="auto"/>
              <w:right w:val="nil"/>
            </w:tcBorders>
            <w:shd w:val="clear" w:color="auto" w:fill="auto"/>
            <w:noWrap/>
            <w:hideMark/>
          </w:tcPr>
          <w:p w14:paraId="3920CE69" w14:textId="77777777" w:rsidR="00D61175" w:rsidRDefault="00D61175" w:rsidP="006A4C02">
            <w:pPr>
              <w:pStyle w:val="TableText"/>
            </w:pPr>
            <w:r>
              <w:t>People, Property &amp; Security</w:t>
            </w:r>
          </w:p>
        </w:tc>
        <w:tc>
          <w:tcPr>
            <w:tcW w:w="625" w:type="pct"/>
            <w:tcBorders>
              <w:top w:val="nil"/>
              <w:left w:val="nil"/>
              <w:bottom w:val="single" w:sz="4" w:space="0" w:color="auto"/>
              <w:right w:val="nil"/>
            </w:tcBorders>
            <w:shd w:val="clear" w:color="auto" w:fill="auto"/>
            <w:noWrap/>
            <w:hideMark/>
          </w:tcPr>
          <w:p w14:paraId="3A9B579B" w14:textId="77777777" w:rsidR="00D61175" w:rsidRDefault="00D61175" w:rsidP="00266250">
            <w:pPr>
              <w:pStyle w:val="TableText"/>
              <w:jc w:val="right"/>
            </w:pPr>
            <w:r>
              <w:t>4,400,876</w:t>
            </w:r>
          </w:p>
        </w:tc>
        <w:tc>
          <w:tcPr>
            <w:tcW w:w="625" w:type="pct"/>
            <w:tcBorders>
              <w:top w:val="nil"/>
              <w:left w:val="nil"/>
              <w:bottom w:val="single" w:sz="4" w:space="0" w:color="auto"/>
              <w:right w:val="nil"/>
            </w:tcBorders>
            <w:shd w:val="clear" w:color="auto" w:fill="auto"/>
            <w:noWrap/>
            <w:hideMark/>
          </w:tcPr>
          <w:p w14:paraId="747C9764" w14:textId="77777777" w:rsidR="00D61175" w:rsidRDefault="00D61175" w:rsidP="00266250">
            <w:pPr>
              <w:pStyle w:val="TableText"/>
              <w:jc w:val="right"/>
            </w:pPr>
            <w:r>
              <w:t>4,909,484</w:t>
            </w:r>
          </w:p>
        </w:tc>
        <w:tc>
          <w:tcPr>
            <w:tcW w:w="547" w:type="pct"/>
            <w:tcBorders>
              <w:top w:val="nil"/>
              <w:left w:val="nil"/>
              <w:bottom w:val="single" w:sz="4" w:space="0" w:color="auto"/>
              <w:right w:val="nil"/>
            </w:tcBorders>
            <w:shd w:val="clear" w:color="auto" w:fill="auto"/>
            <w:noWrap/>
            <w:hideMark/>
          </w:tcPr>
          <w:p w14:paraId="6AC8DF78" w14:textId="77777777" w:rsidR="00D61175" w:rsidRDefault="00D61175" w:rsidP="00266250">
            <w:pPr>
              <w:pStyle w:val="TableText"/>
              <w:jc w:val="right"/>
            </w:pPr>
            <w:r>
              <w:t>(508,608)</w:t>
            </w:r>
          </w:p>
        </w:tc>
        <w:tc>
          <w:tcPr>
            <w:tcW w:w="546" w:type="pct"/>
            <w:tcBorders>
              <w:top w:val="nil"/>
              <w:left w:val="nil"/>
              <w:bottom w:val="nil"/>
              <w:right w:val="nil"/>
            </w:tcBorders>
            <w:shd w:val="clear" w:color="auto" w:fill="auto"/>
            <w:noWrap/>
            <w:hideMark/>
          </w:tcPr>
          <w:p w14:paraId="37320072" w14:textId="77777777" w:rsidR="00D61175" w:rsidRDefault="00D61175" w:rsidP="00266250">
            <w:pPr>
              <w:pStyle w:val="TableText"/>
              <w:jc w:val="right"/>
            </w:pPr>
            <w:r>
              <w:t>(10)</w:t>
            </w:r>
          </w:p>
        </w:tc>
      </w:tr>
      <w:tr w:rsidR="00D61175" w:rsidRPr="00F54C68" w14:paraId="7F6F8F45" w14:textId="77777777" w:rsidTr="003B2E54">
        <w:tc>
          <w:tcPr>
            <w:tcW w:w="1288" w:type="pct"/>
            <w:tcBorders>
              <w:top w:val="single" w:sz="4" w:space="0" w:color="auto"/>
              <w:left w:val="nil"/>
              <w:bottom w:val="single" w:sz="4" w:space="0" w:color="auto"/>
              <w:right w:val="nil"/>
            </w:tcBorders>
            <w:shd w:val="clear" w:color="auto" w:fill="auto"/>
            <w:noWrap/>
            <w:hideMark/>
          </w:tcPr>
          <w:p w14:paraId="25763083" w14:textId="41E7E73C" w:rsidR="00D61175" w:rsidRPr="00F54C68" w:rsidRDefault="00D61175" w:rsidP="006A4C02">
            <w:pPr>
              <w:pStyle w:val="TableText"/>
              <w:rPr>
                <w:rStyle w:val="Strong"/>
              </w:rPr>
            </w:pPr>
            <w:r w:rsidRPr="00F54C68">
              <w:rPr>
                <w:rStyle w:val="Strong"/>
              </w:rPr>
              <w:t>Total indirect expenses</w:t>
            </w:r>
          </w:p>
        </w:tc>
        <w:tc>
          <w:tcPr>
            <w:tcW w:w="1369" w:type="pct"/>
            <w:tcBorders>
              <w:top w:val="single" w:sz="4" w:space="0" w:color="auto"/>
              <w:left w:val="nil"/>
              <w:bottom w:val="single" w:sz="4" w:space="0" w:color="auto"/>
              <w:right w:val="nil"/>
            </w:tcBorders>
            <w:shd w:val="clear" w:color="auto" w:fill="auto"/>
            <w:noWrap/>
            <w:hideMark/>
          </w:tcPr>
          <w:p w14:paraId="422FE3F0" w14:textId="64242F6E" w:rsidR="00D61175" w:rsidRPr="00F54C68" w:rsidRDefault="00AB45BF" w:rsidP="006A4C02">
            <w:pPr>
              <w:pStyle w:val="TableText"/>
              <w:rPr>
                <w:rStyle w:val="Strong"/>
              </w:rPr>
            </w:pPr>
            <w:r>
              <w:rPr>
                <w:rStyle w:val="Strong"/>
              </w:rPr>
              <w:t>—</w:t>
            </w:r>
          </w:p>
        </w:tc>
        <w:tc>
          <w:tcPr>
            <w:tcW w:w="625" w:type="pct"/>
            <w:tcBorders>
              <w:top w:val="single" w:sz="4" w:space="0" w:color="auto"/>
              <w:left w:val="nil"/>
              <w:bottom w:val="single" w:sz="4" w:space="0" w:color="auto"/>
              <w:right w:val="nil"/>
            </w:tcBorders>
            <w:shd w:val="clear" w:color="auto" w:fill="auto"/>
            <w:noWrap/>
            <w:hideMark/>
          </w:tcPr>
          <w:p w14:paraId="42483991" w14:textId="77777777" w:rsidR="00D61175" w:rsidRPr="00F54C68" w:rsidRDefault="00D61175" w:rsidP="00266250">
            <w:pPr>
              <w:pStyle w:val="TableText"/>
              <w:jc w:val="right"/>
              <w:rPr>
                <w:rStyle w:val="Strong"/>
              </w:rPr>
            </w:pPr>
            <w:r w:rsidRPr="00F54C68">
              <w:rPr>
                <w:rStyle w:val="Strong"/>
              </w:rPr>
              <w:t>14,831,432</w:t>
            </w:r>
          </w:p>
        </w:tc>
        <w:tc>
          <w:tcPr>
            <w:tcW w:w="625" w:type="pct"/>
            <w:tcBorders>
              <w:top w:val="single" w:sz="4" w:space="0" w:color="auto"/>
              <w:left w:val="nil"/>
              <w:bottom w:val="single" w:sz="4" w:space="0" w:color="auto"/>
              <w:right w:val="nil"/>
            </w:tcBorders>
            <w:shd w:val="clear" w:color="auto" w:fill="auto"/>
            <w:noWrap/>
            <w:hideMark/>
          </w:tcPr>
          <w:p w14:paraId="67D53F2C" w14:textId="77777777" w:rsidR="00D61175" w:rsidRPr="00F54C68" w:rsidRDefault="00D61175" w:rsidP="00266250">
            <w:pPr>
              <w:pStyle w:val="TableText"/>
              <w:jc w:val="right"/>
              <w:rPr>
                <w:rStyle w:val="Strong"/>
              </w:rPr>
            </w:pPr>
            <w:r w:rsidRPr="00F54C68">
              <w:rPr>
                <w:rStyle w:val="Strong"/>
              </w:rPr>
              <w:t>16,034,739</w:t>
            </w:r>
          </w:p>
        </w:tc>
        <w:tc>
          <w:tcPr>
            <w:tcW w:w="547" w:type="pct"/>
            <w:tcBorders>
              <w:top w:val="single" w:sz="4" w:space="0" w:color="auto"/>
              <w:left w:val="nil"/>
              <w:bottom w:val="single" w:sz="4" w:space="0" w:color="auto"/>
              <w:right w:val="nil"/>
            </w:tcBorders>
            <w:shd w:val="clear" w:color="auto" w:fill="auto"/>
            <w:noWrap/>
            <w:hideMark/>
          </w:tcPr>
          <w:p w14:paraId="7AE57078" w14:textId="77777777" w:rsidR="00D61175" w:rsidRPr="00F54C68" w:rsidRDefault="00D61175" w:rsidP="00266250">
            <w:pPr>
              <w:pStyle w:val="TableText"/>
              <w:jc w:val="right"/>
              <w:rPr>
                <w:rStyle w:val="Strong"/>
              </w:rPr>
            </w:pPr>
            <w:r w:rsidRPr="00F54C68">
              <w:rPr>
                <w:rStyle w:val="Strong"/>
              </w:rPr>
              <w:t>(1,203,307)</w:t>
            </w:r>
          </w:p>
        </w:tc>
        <w:tc>
          <w:tcPr>
            <w:tcW w:w="546" w:type="pct"/>
            <w:tcBorders>
              <w:top w:val="single" w:sz="4" w:space="0" w:color="000000"/>
              <w:left w:val="nil"/>
              <w:bottom w:val="single" w:sz="4" w:space="0" w:color="000000"/>
              <w:right w:val="nil"/>
            </w:tcBorders>
            <w:shd w:val="clear" w:color="auto" w:fill="auto"/>
            <w:noWrap/>
            <w:hideMark/>
          </w:tcPr>
          <w:p w14:paraId="4F18A49A" w14:textId="77777777" w:rsidR="00D61175" w:rsidRPr="00F54C68" w:rsidRDefault="00D61175" w:rsidP="00266250">
            <w:pPr>
              <w:pStyle w:val="TableText"/>
              <w:jc w:val="right"/>
              <w:rPr>
                <w:rStyle w:val="Strong"/>
              </w:rPr>
            </w:pPr>
            <w:r w:rsidRPr="00F54C68">
              <w:rPr>
                <w:rStyle w:val="Strong"/>
              </w:rPr>
              <w:t>(8)</w:t>
            </w:r>
          </w:p>
        </w:tc>
      </w:tr>
      <w:tr w:rsidR="00D61175" w14:paraId="6986E0AB" w14:textId="77777777" w:rsidTr="003B2E54">
        <w:tc>
          <w:tcPr>
            <w:tcW w:w="1288" w:type="pct"/>
            <w:tcBorders>
              <w:top w:val="nil"/>
              <w:left w:val="nil"/>
              <w:bottom w:val="single" w:sz="4" w:space="0" w:color="auto"/>
              <w:right w:val="nil"/>
            </w:tcBorders>
            <w:shd w:val="clear" w:color="auto" w:fill="auto"/>
            <w:noWrap/>
            <w:hideMark/>
          </w:tcPr>
          <w:p w14:paraId="75D83669" w14:textId="77777777" w:rsidR="00D61175" w:rsidRDefault="00D61175" w:rsidP="006A4C02">
            <w:pPr>
              <w:pStyle w:val="TableText"/>
            </w:pPr>
            <w:r>
              <w:t>Depreciation and amortisation</w:t>
            </w:r>
          </w:p>
        </w:tc>
        <w:tc>
          <w:tcPr>
            <w:tcW w:w="1369" w:type="pct"/>
            <w:tcBorders>
              <w:top w:val="nil"/>
              <w:left w:val="nil"/>
              <w:bottom w:val="single" w:sz="4" w:space="0" w:color="auto"/>
              <w:right w:val="nil"/>
            </w:tcBorders>
            <w:shd w:val="clear" w:color="auto" w:fill="auto"/>
            <w:noWrap/>
            <w:hideMark/>
          </w:tcPr>
          <w:p w14:paraId="02AC4D2A" w14:textId="39A9B9D5" w:rsidR="00D61175" w:rsidRDefault="00AB45BF" w:rsidP="006A4C02">
            <w:pPr>
              <w:pStyle w:val="TableText"/>
            </w:pPr>
            <w:r>
              <w:t>—</w:t>
            </w:r>
          </w:p>
        </w:tc>
        <w:tc>
          <w:tcPr>
            <w:tcW w:w="625" w:type="pct"/>
            <w:tcBorders>
              <w:top w:val="nil"/>
              <w:left w:val="nil"/>
              <w:bottom w:val="single" w:sz="4" w:space="0" w:color="auto"/>
              <w:right w:val="nil"/>
            </w:tcBorders>
            <w:shd w:val="clear" w:color="auto" w:fill="auto"/>
            <w:noWrap/>
            <w:hideMark/>
          </w:tcPr>
          <w:p w14:paraId="2718F0D8" w14:textId="77777777" w:rsidR="00D61175" w:rsidRDefault="00D61175" w:rsidP="00266250">
            <w:pPr>
              <w:pStyle w:val="TableText"/>
              <w:jc w:val="right"/>
            </w:pPr>
            <w:r>
              <w:t>3,531,707</w:t>
            </w:r>
          </w:p>
        </w:tc>
        <w:tc>
          <w:tcPr>
            <w:tcW w:w="625" w:type="pct"/>
            <w:tcBorders>
              <w:top w:val="nil"/>
              <w:left w:val="nil"/>
              <w:bottom w:val="single" w:sz="4" w:space="0" w:color="auto"/>
              <w:right w:val="nil"/>
            </w:tcBorders>
            <w:shd w:val="clear" w:color="auto" w:fill="auto"/>
            <w:noWrap/>
            <w:hideMark/>
          </w:tcPr>
          <w:p w14:paraId="02DC44E0" w14:textId="77777777" w:rsidR="00D61175" w:rsidRDefault="00D61175" w:rsidP="00266250">
            <w:pPr>
              <w:pStyle w:val="TableText"/>
              <w:jc w:val="right"/>
            </w:pPr>
            <w:r>
              <w:t>2,331,679</w:t>
            </w:r>
          </w:p>
        </w:tc>
        <w:tc>
          <w:tcPr>
            <w:tcW w:w="547" w:type="pct"/>
            <w:tcBorders>
              <w:top w:val="nil"/>
              <w:left w:val="nil"/>
              <w:bottom w:val="single" w:sz="4" w:space="0" w:color="auto"/>
              <w:right w:val="nil"/>
            </w:tcBorders>
            <w:shd w:val="clear" w:color="auto" w:fill="auto"/>
            <w:noWrap/>
            <w:hideMark/>
          </w:tcPr>
          <w:p w14:paraId="574AE48B" w14:textId="77777777" w:rsidR="00D61175" w:rsidRDefault="00D61175" w:rsidP="00266250">
            <w:pPr>
              <w:pStyle w:val="TableText"/>
              <w:jc w:val="right"/>
            </w:pPr>
            <w:r>
              <w:t>1,200,028</w:t>
            </w:r>
          </w:p>
        </w:tc>
        <w:tc>
          <w:tcPr>
            <w:tcW w:w="546" w:type="pct"/>
            <w:tcBorders>
              <w:top w:val="nil"/>
              <w:left w:val="nil"/>
              <w:bottom w:val="single" w:sz="4" w:space="0" w:color="000000"/>
              <w:right w:val="nil"/>
            </w:tcBorders>
            <w:shd w:val="clear" w:color="auto" w:fill="auto"/>
            <w:noWrap/>
            <w:hideMark/>
          </w:tcPr>
          <w:p w14:paraId="6F2E97EA" w14:textId="77777777" w:rsidR="00D61175" w:rsidRDefault="00D61175" w:rsidP="00266250">
            <w:pPr>
              <w:pStyle w:val="TableText"/>
              <w:jc w:val="right"/>
            </w:pPr>
            <w:r>
              <w:t>51</w:t>
            </w:r>
          </w:p>
        </w:tc>
      </w:tr>
      <w:tr w:rsidR="00D61175" w:rsidRPr="00F54C68" w14:paraId="1619C59E" w14:textId="77777777" w:rsidTr="003B2E54">
        <w:tc>
          <w:tcPr>
            <w:tcW w:w="1288" w:type="pct"/>
            <w:tcBorders>
              <w:top w:val="nil"/>
              <w:left w:val="nil"/>
              <w:bottom w:val="single" w:sz="4" w:space="0" w:color="auto"/>
              <w:right w:val="nil"/>
            </w:tcBorders>
            <w:shd w:val="clear" w:color="auto" w:fill="auto"/>
            <w:noWrap/>
            <w:hideMark/>
          </w:tcPr>
          <w:p w14:paraId="7665F947" w14:textId="2BACCA9C" w:rsidR="00D61175" w:rsidRPr="00F54C68" w:rsidRDefault="00D61175" w:rsidP="006A4C02">
            <w:pPr>
              <w:pStyle w:val="TableText"/>
              <w:rPr>
                <w:rStyle w:val="Strong"/>
              </w:rPr>
            </w:pPr>
            <w:r w:rsidRPr="00F54C68">
              <w:rPr>
                <w:rStyle w:val="Strong"/>
              </w:rPr>
              <w:t>Total expenses</w:t>
            </w:r>
          </w:p>
        </w:tc>
        <w:tc>
          <w:tcPr>
            <w:tcW w:w="1369" w:type="pct"/>
            <w:tcBorders>
              <w:top w:val="nil"/>
              <w:left w:val="nil"/>
              <w:bottom w:val="single" w:sz="4" w:space="0" w:color="auto"/>
              <w:right w:val="nil"/>
            </w:tcBorders>
            <w:shd w:val="clear" w:color="auto" w:fill="auto"/>
            <w:noWrap/>
            <w:hideMark/>
          </w:tcPr>
          <w:p w14:paraId="41190DFB" w14:textId="27B0A983" w:rsidR="00D61175" w:rsidRPr="00F54C68" w:rsidRDefault="00CB3CB7" w:rsidP="006A4C02">
            <w:pPr>
              <w:pStyle w:val="TableText"/>
              <w:rPr>
                <w:rStyle w:val="Strong"/>
              </w:rPr>
            </w:pPr>
            <w:r>
              <w:rPr>
                <w:rStyle w:val="Strong"/>
              </w:rPr>
              <w:t>—</w:t>
            </w:r>
          </w:p>
        </w:tc>
        <w:tc>
          <w:tcPr>
            <w:tcW w:w="625" w:type="pct"/>
            <w:tcBorders>
              <w:top w:val="nil"/>
              <w:left w:val="nil"/>
              <w:bottom w:val="single" w:sz="4" w:space="0" w:color="auto"/>
              <w:right w:val="nil"/>
            </w:tcBorders>
            <w:shd w:val="clear" w:color="auto" w:fill="auto"/>
            <w:noWrap/>
            <w:hideMark/>
          </w:tcPr>
          <w:p w14:paraId="793A3351" w14:textId="0BD87EF6" w:rsidR="00D61175" w:rsidRPr="00F54C68" w:rsidRDefault="00D61175" w:rsidP="00266250">
            <w:pPr>
              <w:pStyle w:val="TableText"/>
              <w:jc w:val="right"/>
              <w:rPr>
                <w:rStyle w:val="Strong"/>
              </w:rPr>
            </w:pPr>
            <w:r w:rsidRPr="00F54C68">
              <w:rPr>
                <w:rStyle w:val="Strong"/>
              </w:rPr>
              <w:t>97,290,574</w:t>
            </w:r>
          </w:p>
        </w:tc>
        <w:tc>
          <w:tcPr>
            <w:tcW w:w="625" w:type="pct"/>
            <w:tcBorders>
              <w:top w:val="nil"/>
              <w:left w:val="nil"/>
              <w:bottom w:val="single" w:sz="4" w:space="0" w:color="auto"/>
              <w:right w:val="nil"/>
            </w:tcBorders>
            <w:shd w:val="clear" w:color="auto" w:fill="auto"/>
            <w:noWrap/>
            <w:hideMark/>
          </w:tcPr>
          <w:p w14:paraId="48CFA229" w14:textId="77777777" w:rsidR="00D61175" w:rsidRPr="00F54C68" w:rsidRDefault="00D61175" w:rsidP="00266250">
            <w:pPr>
              <w:pStyle w:val="TableText"/>
              <w:jc w:val="right"/>
              <w:rPr>
                <w:rStyle w:val="Strong"/>
              </w:rPr>
            </w:pPr>
            <w:r w:rsidRPr="00F54C68">
              <w:rPr>
                <w:rStyle w:val="Strong"/>
              </w:rPr>
              <w:t>96,832,974</w:t>
            </w:r>
          </w:p>
        </w:tc>
        <w:tc>
          <w:tcPr>
            <w:tcW w:w="547" w:type="pct"/>
            <w:tcBorders>
              <w:top w:val="nil"/>
              <w:left w:val="nil"/>
              <w:bottom w:val="single" w:sz="4" w:space="0" w:color="auto"/>
              <w:right w:val="nil"/>
            </w:tcBorders>
            <w:shd w:val="clear" w:color="auto" w:fill="auto"/>
            <w:noWrap/>
            <w:hideMark/>
          </w:tcPr>
          <w:p w14:paraId="608CE2EC" w14:textId="77777777" w:rsidR="00D61175" w:rsidRPr="00F54C68" w:rsidRDefault="00D61175" w:rsidP="00266250">
            <w:pPr>
              <w:pStyle w:val="TableText"/>
              <w:jc w:val="right"/>
              <w:rPr>
                <w:rStyle w:val="Strong"/>
              </w:rPr>
            </w:pPr>
            <w:r w:rsidRPr="00F54C68">
              <w:rPr>
                <w:rStyle w:val="Strong"/>
              </w:rPr>
              <w:t>457,600</w:t>
            </w:r>
          </w:p>
        </w:tc>
        <w:tc>
          <w:tcPr>
            <w:tcW w:w="546" w:type="pct"/>
            <w:tcBorders>
              <w:top w:val="nil"/>
              <w:left w:val="nil"/>
              <w:bottom w:val="single" w:sz="4" w:space="0" w:color="000000"/>
              <w:right w:val="nil"/>
            </w:tcBorders>
            <w:shd w:val="clear" w:color="auto" w:fill="auto"/>
            <w:noWrap/>
            <w:hideMark/>
          </w:tcPr>
          <w:p w14:paraId="17EA6462" w14:textId="77777777" w:rsidR="00D61175" w:rsidRPr="00F54C68" w:rsidRDefault="00D61175" w:rsidP="00266250">
            <w:pPr>
              <w:pStyle w:val="TableText"/>
              <w:jc w:val="right"/>
              <w:rPr>
                <w:rStyle w:val="Strong"/>
              </w:rPr>
            </w:pPr>
            <w:r w:rsidRPr="00F54C68">
              <w:rPr>
                <w:rStyle w:val="Strong"/>
              </w:rPr>
              <w:t>0</w:t>
            </w:r>
          </w:p>
        </w:tc>
      </w:tr>
    </w:tbl>
    <w:p w14:paraId="009D6479" w14:textId="4C373B5C" w:rsidR="00D61175" w:rsidRPr="00BF0B4E" w:rsidRDefault="00BF0B4E" w:rsidP="00BF0B4E">
      <w:pPr>
        <w:pStyle w:val="FigureTableNoteSource"/>
      </w:pPr>
      <w:r w:rsidRPr="00BF0B4E">
        <w:t>Note:</w:t>
      </w:r>
      <w:r w:rsidR="00E93778" w:rsidRPr="00BF0B4E">
        <w:t xml:space="preserve"> </w:t>
      </w:r>
      <w:r w:rsidR="00816657" w:rsidRPr="00BF0B4E">
        <w:t>Totals are rounded.</w:t>
      </w:r>
      <w:bookmarkEnd w:id="39"/>
    </w:p>
    <w:p w14:paraId="7A5CC050" w14:textId="369D013B" w:rsidR="00816657" w:rsidRPr="00816657" w:rsidRDefault="00E93778" w:rsidP="00266250">
      <w:pPr>
        <w:pStyle w:val="Caption"/>
        <w:pageBreakBefore/>
      </w:pPr>
      <w:bookmarkStart w:id="40" w:name="_Toc178849867"/>
      <w:bookmarkStart w:id="41" w:name="_Toc181704922"/>
      <w:r w:rsidRPr="009A501D">
        <w:lastRenderedPageBreak/>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351083">
        <w:rPr>
          <w:noProof/>
        </w:rPr>
        <w:t>5</w:t>
      </w:r>
      <w:r w:rsidRPr="009A501D">
        <w:rPr>
          <w:noProof/>
        </w:rPr>
        <w:fldChar w:fldCharType="end"/>
      </w:r>
      <w:r>
        <w:rPr>
          <w:noProof/>
        </w:rPr>
        <w:t xml:space="preserve"> </w:t>
      </w:r>
      <w:r w:rsidR="00015605">
        <w:rPr>
          <w:noProof/>
        </w:rPr>
        <w:t>F</w:t>
      </w:r>
      <w:r w:rsidR="00816657" w:rsidRPr="00816657">
        <w:t xml:space="preserve">inancial performance for </w:t>
      </w:r>
      <w:r w:rsidR="00D61175">
        <w:t>meat</w:t>
      </w:r>
      <w:r w:rsidR="00816657" w:rsidRPr="00816657">
        <w:t xml:space="preserve"> exports cost recovery arrangement, 2020</w:t>
      </w:r>
      <w:r w:rsidR="00266250">
        <w:t>–</w:t>
      </w:r>
      <w:r w:rsidR="00816657" w:rsidRPr="00816657">
        <w:t>21 to 2023</w:t>
      </w:r>
      <w:r w:rsidR="00266250">
        <w:t>–</w:t>
      </w:r>
      <w:r w:rsidR="00816657" w:rsidRPr="00816657">
        <w:t>24</w:t>
      </w:r>
      <w:bookmarkEnd w:id="40"/>
      <w:bookmarkEnd w:id="41"/>
    </w:p>
    <w:tbl>
      <w:tblPr>
        <w:tblW w:w="5000" w:type="pct"/>
        <w:tblLook w:val="04A0" w:firstRow="1" w:lastRow="0" w:firstColumn="1" w:lastColumn="0" w:noHBand="0" w:noVBand="1"/>
      </w:tblPr>
      <w:tblGrid>
        <w:gridCol w:w="3817"/>
        <w:gridCol w:w="1275"/>
        <w:gridCol w:w="1275"/>
        <w:gridCol w:w="1344"/>
        <w:gridCol w:w="1359"/>
      </w:tblGrid>
      <w:tr w:rsidR="00372831" w:rsidRPr="00D61175" w14:paraId="3838219F" w14:textId="77777777" w:rsidTr="00266250">
        <w:trPr>
          <w:cantSplit/>
          <w:tblHeader/>
        </w:trPr>
        <w:tc>
          <w:tcPr>
            <w:tcW w:w="2104" w:type="pct"/>
            <w:tcBorders>
              <w:top w:val="single" w:sz="8" w:space="0" w:color="auto"/>
              <w:left w:val="nil"/>
              <w:bottom w:val="single" w:sz="8" w:space="0" w:color="auto"/>
              <w:right w:val="nil"/>
            </w:tcBorders>
            <w:shd w:val="clear" w:color="auto" w:fill="auto"/>
            <w:noWrap/>
            <w:hideMark/>
          </w:tcPr>
          <w:p w14:paraId="15E3E75C" w14:textId="77777777" w:rsidR="00D61175" w:rsidRPr="00D61175" w:rsidRDefault="00D61175" w:rsidP="00CB3CB7">
            <w:pPr>
              <w:pStyle w:val="TableHeading"/>
              <w:rPr>
                <w:rStyle w:val="Strong"/>
                <w:b/>
                <w:bCs w:val="0"/>
              </w:rPr>
            </w:pPr>
            <w:bookmarkStart w:id="42" w:name="Title_5"/>
            <w:bookmarkEnd w:id="42"/>
            <w:r w:rsidRPr="00D61175">
              <w:rPr>
                <w:rStyle w:val="Strong"/>
                <w:b/>
                <w:bCs w:val="0"/>
              </w:rPr>
              <w:t>Finance element</w:t>
            </w:r>
          </w:p>
        </w:tc>
        <w:tc>
          <w:tcPr>
            <w:tcW w:w="703" w:type="pct"/>
            <w:tcBorders>
              <w:top w:val="single" w:sz="8" w:space="0" w:color="auto"/>
              <w:left w:val="nil"/>
              <w:bottom w:val="single" w:sz="8" w:space="0" w:color="auto"/>
              <w:right w:val="nil"/>
            </w:tcBorders>
            <w:shd w:val="clear" w:color="auto" w:fill="auto"/>
            <w:noWrap/>
            <w:hideMark/>
          </w:tcPr>
          <w:p w14:paraId="632F6DD1" w14:textId="77777777" w:rsidR="00D61175" w:rsidRPr="00D61175" w:rsidRDefault="00D61175" w:rsidP="00266250">
            <w:pPr>
              <w:pStyle w:val="TableHeading"/>
              <w:jc w:val="right"/>
              <w:rPr>
                <w:rStyle w:val="Strong"/>
                <w:b/>
                <w:bCs w:val="0"/>
              </w:rPr>
            </w:pPr>
            <w:r w:rsidRPr="00D61175">
              <w:rPr>
                <w:rStyle w:val="Strong"/>
                <w:b/>
                <w:bCs w:val="0"/>
              </w:rPr>
              <w:t>2020–21 ($)</w:t>
            </w:r>
          </w:p>
        </w:tc>
        <w:tc>
          <w:tcPr>
            <w:tcW w:w="703" w:type="pct"/>
            <w:tcBorders>
              <w:top w:val="single" w:sz="8" w:space="0" w:color="auto"/>
              <w:left w:val="nil"/>
              <w:bottom w:val="single" w:sz="8" w:space="0" w:color="auto"/>
              <w:right w:val="nil"/>
            </w:tcBorders>
            <w:shd w:val="clear" w:color="auto" w:fill="auto"/>
            <w:noWrap/>
            <w:hideMark/>
          </w:tcPr>
          <w:p w14:paraId="2D94CA03" w14:textId="77777777" w:rsidR="00D61175" w:rsidRPr="00D61175" w:rsidRDefault="00D61175" w:rsidP="00266250">
            <w:pPr>
              <w:pStyle w:val="TableHeading"/>
              <w:jc w:val="right"/>
              <w:rPr>
                <w:rStyle w:val="Strong"/>
                <w:b/>
                <w:bCs w:val="0"/>
              </w:rPr>
            </w:pPr>
            <w:r w:rsidRPr="00D61175">
              <w:rPr>
                <w:rStyle w:val="Strong"/>
                <w:b/>
                <w:bCs w:val="0"/>
              </w:rPr>
              <w:t>2021–22 ($)</w:t>
            </w:r>
          </w:p>
        </w:tc>
        <w:tc>
          <w:tcPr>
            <w:tcW w:w="741" w:type="pct"/>
            <w:tcBorders>
              <w:top w:val="single" w:sz="8" w:space="0" w:color="auto"/>
              <w:left w:val="nil"/>
              <w:bottom w:val="single" w:sz="8" w:space="0" w:color="auto"/>
              <w:right w:val="nil"/>
            </w:tcBorders>
            <w:shd w:val="clear" w:color="auto" w:fill="auto"/>
            <w:noWrap/>
            <w:hideMark/>
          </w:tcPr>
          <w:p w14:paraId="40169BD3" w14:textId="77777777" w:rsidR="00D61175" w:rsidRPr="00D61175" w:rsidRDefault="00D61175" w:rsidP="00266250">
            <w:pPr>
              <w:pStyle w:val="TableHeading"/>
              <w:jc w:val="right"/>
              <w:rPr>
                <w:rStyle w:val="Strong"/>
                <w:b/>
                <w:bCs w:val="0"/>
              </w:rPr>
            </w:pPr>
            <w:r w:rsidRPr="00D61175">
              <w:rPr>
                <w:rStyle w:val="Strong"/>
                <w:b/>
                <w:bCs w:val="0"/>
              </w:rPr>
              <w:t>2022–23 ($)</w:t>
            </w:r>
          </w:p>
        </w:tc>
        <w:tc>
          <w:tcPr>
            <w:tcW w:w="749" w:type="pct"/>
            <w:tcBorders>
              <w:top w:val="single" w:sz="8" w:space="0" w:color="auto"/>
              <w:left w:val="nil"/>
              <w:bottom w:val="single" w:sz="8" w:space="0" w:color="auto"/>
              <w:right w:val="nil"/>
            </w:tcBorders>
            <w:shd w:val="clear" w:color="auto" w:fill="auto"/>
            <w:noWrap/>
            <w:hideMark/>
          </w:tcPr>
          <w:p w14:paraId="3E64B31C" w14:textId="77777777" w:rsidR="00D61175" w:rsidRPr="00D61175" w:rsidRDefault="00D61175" w:rsidP="00266250">
            <w:pPr>
              <w:pStyle w:val="TableHeading"/>
              <w:jc w:val="right"/>
              <w:rPr>
                <w:rStyle w:val="Strong"/>
                <w:b/>
                <w:bCs w:val="0"/>
              </w:rPr>
            </w:pPr>
            <w:r w:rsidRPr="00D61175">
              <w:rPr>
                <w:rStyle w:val="Strong"/>
                <w:b/>
                <w:bCs w:val="0"/>
              </w:rPr>
              <w:t>2023–24 ($)</w:t>
            </w:r>
          </w:p>
        </w:tc>
      </w:tr>
      <w:tr w:rsidR="00372831" w:rsidRPr="00813DE0" w14:paraId="3E1CB1A8" w14:textId="77777777" w:rsidTr="00266250">
        <w:tc>
          <w:tcPr>
            <w:tcW w:w="2104" w:type="pct"/>
            <w:tcBorders>
              <w:top w:val="nil"/>
              <w:left w:val="nil"/>
              <w:bottom w:val="single" w:sz="4" w:space="0" w:color="000000"/>
              <w:right w:val="nil"/>
            </w:tcBorders>
            <w:shd w:val="clear" w:color="auto" w:fill="auto"/>
            <w:noWrap/>
            <w:hideMark/>
          </w:tcPr>
          <w:p w14:paraId="5C6EB28B" w14:textId="77777777" w:rsidR="00D61175" w:rsidRPr="00813DE0" w:rsidRDefault="00D61175" w:rsidP="00CB3CB7">
            <w:pPr>
              <w:pStyle w:val="TableText"/>
              <w:rPr>
                <w:rFonts w:ascii="Calibri" w:eastAsia="Times New Roman" w:hAnsi="Calibri" w:cs="Calibri"/>
                <w:color w:val="000000"/>
                <w:szCs w:val="18"/>
                <w:lang w:eastAsia="en-AU"/>
              </w:rPr>
            </w:pPr>
            <w:r w:rsidRPr="00813DE0">
              <w:rPr>
                <w:rFonts w:ascii="Calibri" w:eastAsia="Times New Roman" w:hAnsi="Calibri" w:cs="Calibri"/>
                <w:color w:val="000000"/>
                <w:szCs w:val="18"/>
                <w:lang w:eastAsia="en-AU"/>
              </w:rPr>
              <w:t>Revenue = X</w:t>
            </w:r>
          </w:p>
        </w:tc>
        <w:tc>
          <w:tcPr>
            <w:tcW w:w="703" w:type="pct"/>
            <w:tcBorders>
              <w:top w:val="nil"/>
              <w:left w:val="nil"/>
              <w:bottom w:val="single" w:sz="4" w:space="0" w:color="000000"/>
              <w:right w:val="nil"/>
            </w:tcBorders>
            <w:shd w:val="clear" w:color="auto" w:fill="auto"/>
            <w:noWrap/>
            <w:hideMark/>
          </w:tcPr>
          <w:p w14:paraId="1DC459E9" w14:textId="77777777" w:rsidR="00D61175" w:rsidRPr="00813DE0" w:rsidRDefault="00D61175" w:rsidP="00266250">
            <w:pPr>
              <w:pStyle w:val="TableText"/>
              <w:jc w:val="right"/>
              <w:rPr>
                <w:rFonts w:ascii="Calibri" w:eastAsia="Times New Roman" w:hAnsi="Calibri" w:cs="Calibri"/>
                <w:color w:val="000000"/>
                <w:szCs w:val="18"/>
                <w:lang w:eastAsia="en-AU"/>
              </w:rPr>
            </w:pPr>
            <w:r w:rsidRPr="00813DE0">
              <w:rPr>
                <w:rFonts w:ascii="Calibri" w:eastAsia="Times New Roman" w:hAnsi="Calibri" w:cs="Calibri"/>
                <w:color w:val="000000"/>
                <w:szCs w:val="18"/>
                <w:lang w:eastAsia="en-AU"/>
              </w:rPr>
              <w:t>70,167,633</w:t>
            </w:r>
          </w:p>
        </w:tc>
        <w:tc>
          <w:tcPr>
            <w:tcW w:w="703" w:type="pct"/>
            <w:tcBorders>
              <w:top w:val="nil"/>
              <w:left w:val="nil"/>
              <w:bottom w:val="single" w:sz="4" w:space="0" w:color="000000"/>
              <w:right w:val="nil"/>
            </w:tcBorders>
            <w:shd w:val="clear" w:color="auto" w:fill="auto"/>
            <w:noWrap/>
            <w:hideMark/>
          </w:tcPr>
          <w:p w14:paraId="10BA0A34" w14:textId="77777777" w:rsidR="00D61175" w:rsidRPr="00813DE0" w:rsidRDefault="00D61175" w:rsidP="00266250">
            <w:pPr>
              <w:pStyle w:val="TableText"/>
              <w:jc w:val="right"/>
              <w:rPr>
                <w:rFonts w:ascii="Calibri" w:eastAsia="Times New Roman" w:hAnsi="Calibri" w:cs="Calibri"/>
                <w:color w:val="000000"/>
                <w:szCs w:val="18"/>
                <w:lang w:eastAsia="en-AU"/>
              </w:rPr>
            </w:pPr>
            <w:r w:rsidRPr="00813DE0">
              <w:rPr>
                <w:rFonts w:ascii="Calibri" w:eastAsia="Times New Roman" w:hAnsi="Calibri" w:cs="Calibri"/>
                <w:color w:val="000000"/>
                <w:szCs w:val="18"/>
                <w:lang w:eastAsia="en-AU"/>
              </w:rPr>
              <w:t>71,000,823</w:t>
            </w:r>
          </w:p>
        </w:tc>
        <w:tc>
          <w:tcPr>
            <w:tcW w:w="741" w:type="pct"/>
            <w:tcBorders>
              <w:top w:val="nil"/>
              <w:left w:val="nil"/>
              <w:bottom w:val="single" w:sz="4" w:space="0" w:color="000000"/>
              <w:right w:val="nil"/>
            </w:tcBorders>
            <w:shd w:val="clear" w:color="auto" w:fill="auto"/>
            <w:noWrap/>
            <w:hideMark/>
          </w:tcPr>
          <w:p w14:paraId="4C26161A" w14:textId="77777777" w:rsidR="00D61175" w:rsidRPr="00813DE0" w:rsidRDefault="00D61175" w:rsidP="00266250">
            <w:pPr>
              <w:pStyle w:val="TableText"/>
              <w:jc w:val="right"/>
              <w:rPr>
                <w:rFonts w:ascii="Calibri" w:eastAsia="Times New Roman" w:hAnsi="Calibri" w:cs="Calibri"/>
                <w:color w:val="000000"/>
                <w:szCs w:val="18"/>
                <w:lang w:eastAsia="en-AU"/>
              </w:rPr>
            </w:pPr>
            <w:r w:rsidRPr="00813DE0">
              <w:rPr>
                <w:rFonts w:ascii="Calibri" w:eastAsia="Times New Roman" w:hAnsi="Calibri" w:cs="Calibri"/>
                <w:color w:val="000000"/>
                <w:szCs w:val="18"/>
                <w:lang w:eastAsia="en-AU"/>
              </w:rPr>
              <w:t>77,860,338</w:t>
            </w:r>
          </w:p>
        </w:tc>
        <w:tc>
          <w:tcPr>
            <w:tcW w:w="749" w:type="pct"/>
            <w:tcBorders>
              <w:top w:val="nil"/>
              <w:left w:val="nil"/>
              <w:bottom w:val="single" w:sz="4" w:space="0" w:color="000000"/>
              <w:right w:val="nil"/>
            </w:tcBorders>
            <w:shd w:val="clear" w:color="auto" w:fill="auto"/>
            <w:noWrap/>
            <w:hideMark/>
          </w:tcPr>
          <w:p w14:paraId="6C2AB989" w14:textId="77777777" w:rsidR="00D61175" w:rsidRPr="00813DE0" w:rsidRDefault="00D61175" w:rsidP="00266250">
            <w:pPr>
              <w:pStyle w:val="TableText"/>
              <w:jc w:val="right"/>
              <w:rPr>
                <w:rFonts w:ascii="Calibri" w:eastAsia="Times New Roman" w:hAnsi="Calibri" w:cs="Calibri"/>
                <w:color w:val="000000"/>
                <w:szCs w:val="18"/>
                <w:lang w:eastAsia="en-AU"/>
              </w:rPr>
            </w:pPr>
            <w:r w:rsidRPr="00813DE0">
              <w:rPr>
                <w:rFonts w:ascii="Calibri" w:eastAsia="Times New Roman" w:hAnsi="Calibri" w:cs="Calibri"/>
                <w:color w:val="000000"/>
                <w:szCs w:val="18"/>
                <w:lang w:eastAsia="en-AU"/>
              </w:rPr>
              <w:t>79,040,670</w:t>
            </w:r>
          </w:p>
        </w:tc>
      </w:tr>
      <w:tr w:rsidR="00372831" w:rsidRPr="00813DE0" w14:paraId="1CE9D577" w14:textId="77777777" w:rsidTr="00266250">
        <w:tc>
          <w:tcPr>
            <w:tcW w:w="2104" w:type="pct"/>
            <w:tcBorders>
              <w:top w:val="nil"/>
              <w:left w:val="nil"/>
              <w:bottom w:val="single" w:sz="8" w:space="0" w:color="auto"/>
              <w:right w:val="nil"/>
            </w:tcBorders>
            <w:shd w:val="clear" w:color="auto" w:fill="auto"/>
            <w:noWrap/>
            <w:hideMark/>
          </w:tcPr>
          <w:p w14:paraId="6DD861A8" w14:textId="77777777" w:rsidR="00D61175" w:rsidRPr="00813DE0" w:rsidRDefault="00D61175" w:rsidP="00CB3CB7">
            <w:pPr>
              <w:pStyle w:val="TableText"/>
              <w:rPr>
                <w:rFonts w:ascii="Calibri" w:eastAsia="Times New Roman" w:hAnsi="Calibri" w:cs="Calibri"/>
                <w:color w:val="000000"/>
                <w:szCs w:val="18"/>
                <w:lang w:eastAsia="en-AU"/>
              </w:rPr>
            </w:pPr>
            <w:r w:rsidRPr="00813DE0">
              <w:rPr>
                <w:rFonts w:ascii="Calibri" w:eastAsia="Times New Roman" w:hAnsi="Calibri" w:cs="Calibri"/>
                <w:color w:val="000000"/>
                <w:szCs w:val="18"/>
                <w:lang w:eastAsia="en-AU"/>
              </w:rPr>
              <w:t>Expenses = Y</w:t>
            </w:r>
          </w:p>
        </w:tc>
        <w:tc>
          <w:tcPr>
            <w:tcW w:w="703" w:type="pct"/>
            <w:tcBorders>
              <w:top w:val="nil"/>
              <w:left w:val="nil"/>
              <w:bottom w:val="nil"/>
              <w:right w:val="nil"/>
            </w:tcBorders>
            <w:shd w:val="clear" w:color="auto" w:fill="auto"/>
            <w:noWrap/>
            <w:hideMark/>
          </w:tcPr>
          <w:p w14:paraId="21274BE4" w14:textId="77777777" w:rsidR="00D61175" w:rsidRPr="00813DE0" w:rsidRDefault="00D61175" w:rsidP="00266250">
            <w:pPr>
              <w:pStyle w:val="TableText"/>
              <w:jc w:val="right"/>
              <w:rPr>
                <w:rFonts w:ascii="Calibri" w:eastAsia="Times New Roman" w:hAnsi="Calibri" w:cs="Calibri"/>
                <w:color w:val="000000"/>
                <w:szCs w:val="18"/>
                <w:lang w:eastAsia="en-AU"/>
              </w:rPr>
            </w:pPr>
            <w:r w:rsidRPr="00813DE0">
              <w:rPr>
                <w:rFonts w:ascii="Calibri" w:eastAsia="Times New Roman" w:hAnsi="Calibri" w:cs="Calibri"/>
                <w:color w:val="000000"/>
                <w:szCs w:val="18"/>
                <w:lang w:eastAsia="en-AU"/>
              </w:rPr>
              <w:t>78,803,645</w:t>
            </w:r>
          </w:p>
        </w:tc>
        <w:tc>
          <w:tcPr>
            <w:tcW w:w="703" w:type="pct"/>
            <w:tcBorders>
              <w:top w:val="nil"/>
              <w:left w:val="nil"/>
              <w:bottom w:val="nil"/>
              <w:right w:val="nil"/>
            </w:tcBorders>
            <w:shd w:val="clear" w:color="auto" w:fill="auto"/>
            <w:noWrap/>
            <w:hideMark/>
          </w:tcPr>
          <w:p w14:paraId="7B9725FE" w14:textId="77777777" w:rsidR="00D61175" w:rsidRPr="00813DE0" w:rsidRDefault="00D61175" w:rsidP="00266250">
            <w:pPr>
              <w:pStyle w:val="TableText"/>
              <w:jc w:val="right"/>
              <w:rPr>
                <w:rFonts w:ascii="Calibri" w:eastAsia="Times New Roman" w:hAnsi="Calibri" w:cs="Calibri"/>
                <w:color w:val="000000"/>
                <w:szCs w:val="18"/>
                <w:lang w:eastAsia="en-AU"/>
              </w:rPr>
            </w:pPr>
            <w:r w:rsidRPr="00813DE0">
              <w:rPr>
                <w:rFonts w:ascii="Calibri" w:eastAsia="Times New Roman" w:hAnsi="Calibri" w:cs="Calibri"/>
                <w:color w:val="000000"/>
                <w:szCs w:val="18"/>
                <w:lang w:eastAsia="en-AU"/>
              </w:rPr>
              <w:t>71,789,805</w:t>
            </w:r>
          </w:p>
        </w:tc>
        <w:tc>
          <w:tcPr>
            <w:tcW w:w="741" w:type="pct"/>
            <w:tcBorders>
              <w:top w:val="nil"/>
              <w:left w:val="nil"/>
              <w:bottom w:val="nil"/>
              <w:right w:val="nil"/>
            </w:tcBorders>
            <w:shd w:val="clear" w:color="auto" w:fill="auto"/>
            <w:noWrap/>
            <w:hideMark/>
          </w:tcPr>
          <w:p w14:paraId="70997C01" w14:textId="77777777" w:rsidR="00D61175" w:rsidRPr="00813DE0" w:rsidRDefault="00D61175" w:rsidP="00266250">
            <w:pPr>
              <w:pStyle w:val="TableText"/>
              <w:jc w:val="right"/>
              <w:rPr>
                <w:rFonts w:ascii="Calibri" w:eastAsia="Times New Roman" w:hAnsi="Calibri" w:cs="Calibri"/>
                <w:color w:val="000000"/>
                <w:szCs w:val="18"/>
                <w:lang w:eastAsia="en-AU"/>
              </w:rPr>
            </w:pPr>
            <w:r w:rsidRPr="00813DE0">
              <w:rPr>
                <w:rFonts w:ascii="Calibri" w:eastAsia="Times New Roman" w:hAnsi="Calibri" w:cs="Calibri"/>
                <w:color w:val="000000"/>
                <w:szCs w:val="18"/>
                <w:lang w:eastAsia="en-AU"/>
              </w:rPr>
              <w:t>86,951,487</w:t>
            </w:r>
          </w:p>
        </w:tc>
        <w:tc>
          <w:tcPr>
            <w:tcW w:w="749" w:type="pct"/>
            <w:tcBorders>
              <w:top w:val="nil"/>
              <w:left w:val="nil"/>
              <w:bottom w:val="nil"/>
              <w:right w:val="nil"/>
            </w:tcBorders>
            <w:shd w:val="clear" w:color="auto" w:fill="auto"/>
            <w:noWrap/>
            <w:hideMark/>
          </w:tcPr>
          <w:p w14:paraId="4B372095" w14:textId="77777777" w:rsidR="00D61175" w:rsidRPr="00813DE0" w:rsidRDefault="00D61175" w:rsidP="00266250">
            <w:pPr>
              <w:pStyle w:val="TableText"/>
              <w:jc w:val="right"/>
              <w:rPr>
                <w:rFonts w:ascii="Calibri" w:eastAsia="Times New Roman" w:hAnsi="Calibri" w:cs="Calibri"/>
                <w:color w:val="000000"/>
                <w:szCs w:val="18"/>
                <w:lang w:eastAsia="en-AU"/>
              </w:rPr>
            </w:pPr>
            <w:r w:rsidRPr="00813DE0">
              <w:rPr>
                <w:rFonts w:ascii="Calibri" w:eastAsia="Times New Roman" w:hAnsi="Calibri" w:cs="Calibri"/>
                <w:color w:val="000000"/>
                <w:szCs w:val="18"/>
                <w:lang w:eastAsia="en-AU"/>
              </w:rPr>
              <w:t>97,290,574</w:t>
            </w:r>
          </w:p>
        </w:tc>
      </w:tr>
      <w:tr w:rsidR="00D61175" w:rsidRPr="00D61175" w14:paraId="2BF4B4E9" w14:textId="77777777" w:rsidTr="00266250">
        <w:tc>
          <w:tcPr>
            <w:tcW w:w="2104" w:type="pct"/>
            <w:tcBorders>
              <w:top w:val="nil"/>
              <w:left w:val="nil"/>
              <w:bottom w:val="single" w:sz="8" w:space="0" w:color="auto"/>
              <w:right w:val="nil"/>
            </w:tcBorders>
            <w:shd w:val="clear" w:color="auto" w:fill="auto"/>
            <w:noWrap/>
            <w:hideMark/>
          </w:tcPr>
          <w:p w14:paraId="51AEE7D5" w14:textId="77777777" w:rsidR="00D61175" w:rsidRPr="00D61175" w:rsidRDefault="00D61175" w:rsidP="00CB3CB7">
            <w:pPr>
              <w:pStyle w:val="TableText"/>
              <w:rPr>
                <w:rStyle w:val="Strong"/>
              </w:rPr>
            </w:pPr>
            <w:r w:rsidRPr="00D61175">
              <w:rPr>
                <w:rStyle w:val="Strong"/>
              </w:rPr>
              <w:t>Balance = X – Y</w:t>
            </w:r>
          </w:p>
        </w:tc>
        <w:tc>
          <w:tcPr>
            <w:tcW w:w="703" w:type="pct"/>
            <w:tcBorders>
              <w:top w:val="single" w:sz="8" w:space="0" w:color="auto"/>
              <w:left w:val="nil"/>
              <w:bottom w:val="single" w:sz="8" w:space="0" w:color="auto"/>
              <w:right w:val="nil"/>
            </w:tcBorders>
            <w:shd w:val="clear" w:color="auto" w:fill="auto"/>
            <w:noWrap/>
            <w:hideMark/>
          </w:tcPr>
          <w:p w14:paraId="3E00B9A9" w14:textId="77777777" w:rsidR="00D61175" w:rsidRPr="00372831" w:rsidRDefault="00D61175" w:rsidP="00266250">
            <w:pPr>
              <w:pStyle w:val="TableText"/>
              <w:jc w:val="right"/>
              <w:rPr>
                <w:rStyle w:val="Strong"/>
                <w:szCs w:val="18"/>
              </w:rPr>
            </w:pPr>
            <w:r w:rsidRPr="00372831">
              <w:rPr>
                <w:rStyle w:val="Strong"/>
                <w:szCs w:val="18"/>
              </w:rPr>
              <w:t>(8,636,012)</w:t>
            </w:r>
          </w:p>
        </w:tc>
        <w:tc>
          <w:tcPr>
            <w:tcW w:w="703" w:type="pct"/>
            <w:tcBorders>
              <w:top w:val="single" w:sz="8" w:space="0" w:color="auto"/>
              <w:left w:val="nil"/>
              <w:bottom w:val="single" w:sz="8" w:space="0" w:color="auto"/>
              <w:right w:val="nil"/>
            </w:tcBorders>
            <w:shd w:val="clear" w:color="auto" w:fill="auto"/>
            <w:noWrap/>
            <w:hideMark/>
          </w:tcPr>
          <w:p w14:paraId="3CDF55B9" w14:textId="77777777" w:rsidR="00D61175" w:rsidRPr="00372831" w:rsidRDefault="00D61175" w:rsidP="00266250">
            <w:pPr>
              <w:pStyle w:val="TableText"/>
              <w:jc w:val="right"/>
              <w:rPr>
                <w:rStyle w:val="Strong"/>
                <w:szCs w:val="18"/>
              </w:rPr>
            </w:pPr>
            <w:r w:rsidRPr="00372831">
              <w:rPr>
                <w:rStyle w:val="Strong"/>
                <w:szCs w:val="18"/>
              </w:rPr>
              <w:t>(788,982)</w:t>
            </w:r>
          </w:p>
        </w:tc>
        <w:tc>
          <w:tcPr>
            <w:tcW w:w="741" w:type="pct"/>
            <w:tcBorders>
              <w:top w:val="single" w:sz="8" w:space="0" w:color="auto"/>
              <w:left w:val="nil"/>
              <w:bottom w:val="single" w:sz="8" w:space="0" w:color="auto"/>
              <w:right w:val="nil"/>
            </w:tcBorders>
            <w:shd w:val="clear" w:color="auto" w:fill="auto"/>
            <w:noWrap/>
            <w:hideMark/>
          </w:tcPr>
          <w:p w14:paraId="5EE85F11" w14:textId="77777777" w:rsidR="00D61175" w:rsidRPr="00372831" w:rsidRDefault="00D61175" w:rsidP="00266250">
            <w:pPr>
              <w:pStyle w:val="TableText"/>
              <w:jc w:val="right"/>
              <w:rPr>
                <w:rStyle w:val="Strong"/>
                <w:szCs w:val="18"/>
              </w:rPr>
            </w:pPr>
            <w:r w:rsidRPr="00372831">
              <w:rPr>
                <w:rStyle w:val="Strong"/>
                <w:szCs w:val="18"/>
              </w:rPr>
              <w:t>(9,091,150)</w:t>
            </w:r>
          </w:p>
        </w:tc>
        <w:tc>
          <w:tcPr>
            <w:tcW w:w="749" w:type="pct"/>
            <w:tcBorders>
              <w:top w:val="single" w:sz="8" w:space="0" w:color="auto"/>
              <w:left w:val="nil"/>
              <w:bottom w:val="single" w:sz="8" w:space="0" w:color="auto"/>
              <w:right w:val="nil"/>
            </w:tcBorders>
            <w:shd w:val="clear" w:color="auto" w:fill="auto"/>
            <w:noWrap/>
            <w:hideMark/>
          </w:tcPr>
          <w:p w14:paraId="1393E63F" w14:textId="77777777" w:rsidR="00D61175" w:rsidRPr="00372831" w:rsidRDefault="00D61175" w:rsidP="00266250">
            <w:pPr>
              <w:pStyle w:val="TableText"/>
              <w:jc w:val="right"/>
              <w:rPr>
                <w:rStyle w:val="Strong"/>
                <w:szCs w:val="18"/>
              </w:rPr>
            </w:pPr>
            <w:r w:rsidRPr="00372831">
              <w:rPr>
                <w:rStyle w:val="Strong"/>
                <w:szCs w:val="18"/>
              </w:rPr>
              <w:t>(18,249,904)</w:t>
            </w:r>
          </w:p>
        </w:tc>
      </w:tr>
      <w:tr w:rsidR="00372831" w:rsidRPr="00813DE0" w14:paraId="66B68894" w14:textId="77777777" w:rsidTr="00266250">
        <w:tc>
          <w:tcPr>
            <w:tcW w:w="2104" w:type="pct"/>
            <w:tcBorders>
              <w:top w:val="nil"/>
              <w:left w:val="nil"/>
              <w:bottom w:val="single" w:sz="4" w:space="0" w:color="000000"/>
              <w:right w:val="nil"/>
            </w:tcBorders>
            <w:shd w:val="clear" w:color="auto" w:fill="auto"/>
            <w:noWrap/>
            <w:hideMark/>
          </w:tcPr>
          <w:p w14:paraId="65CD270F" w14:textId="77777777" w:rsidR="00D61175" w:rsidRPr="00813DE0" w:rsidRDefault="00D61175" w:rsidP="00CB3CB7">
            <w:pPr>
              <w:pStyle w:val="TableText"/>
              <w:rPr>
                <w:rFonts w:ascii="Calibri" w:eastAsia="Times New Roman" w:hAnsi="Calibri" w:cs="Calibri"/>
                <w:color w:val="000000"/>
                <w:szCs w:val="18"/>
                <w:lang w:eastAsia="en-AU"/>
              </w:rPr>
            </w:pPr>
            <w:r w:rsidRPr="00813DE0">
              <w:rPr>
                <w:rFonts w:ascii="Calibri" w:eastAsia="Times New Roman" w:hAnsi="Calibri" w:cs="Calibri"/>
                <w:color w:val="000000"/>
                <w:szCs w:val="18"/>
                <w:lang w:eastAsia="en-AU"/>
              </w:rPr>
              <w:t>Remissions, rebates and adjustments = Z</w:t>
            </w:r>
          </w:p>
        </w:tc>
        <w:tc>
          <w:tcPr>
            <w:tcW w:w="703" w:type="pct"/>
            <w:tcBorders>
              <w:top w:val="nil"/>
              <w:left w:val="nil"/>
              <w:bottom w:val="single" w:sz="4" w:space="0" w:color="000000"/>
              <w:right w:val="nil"/>
            </w:tcBorders>
            <w:shd w:val="clear" w:color="auto" w:fill="auto"/>
            <w:noWrap/>
            <w:hideMark/>
          </w:tcPr>
          <w:p w14:paraId="0A60512E" w14:textId="77777777" w:rsidR="00D61175" w:rsidRPr="00813DE0" w:rsidRDefault="00D61175" w:rsidP="00266250">
            <w:pPr>
              <w:pStyle w:val="TableText"/>
              <w:jc w:val="right"/>
              <w:rPr>
                <w:rFonts w:ascii="Calibri" w:eastAsia="Times New Roman" w:hAnsi="Calibri" w:cs="Calibri"/>
                <w:color w:val="000000"/>
                <w:szCs w:val="18"/>
                <w:lang w:eastAsia="en-AU"/>
              </w:rPr>
            </w:pPr>
            <w:r w:rsidRPr="00813DE0">
              <w:rPr>
                <w:rFonts w:ascii="Calibri" w:eastAsia="Times New Roman" w:hAnsi="Calibri" w:cs="Calibri"/>
                <w:color w:val="000000"/>
                <w:szCs w:val="18"/>
                <w:lang w:eastAsia="en-AU"/>
              </w:rPr>
              <w:t>8,636,012</w:t>
            </w:r>
          </w:p>
        </w:tc>
        <w:tc>
          <w:tcPr>
            <w:tcW w:w="703" w:type="pct"/>
            <w:tcBorders>
              <w:top w:val="nil"/>
              <w:left w:val="nil"/>
              <w:bottom w:val="single" w:sz="4" w:space="0" w:color="000000"/>
              <w:right w:val="nil"/>
            </w:tcBorders>
            <w:shd w:val="clear" w:color="auto" w:fill="auto"/>
            <w:noWrap/>
            <w:hideMark/>
          </w:tcPr>
          <w:p w14:paraId="2C170650" w14:textId="77777777" w:rsidR="00D61175" w:rsidRPr="00813DE0" w:rsidRDefault="00D61175" w:rsidP="00266250">
            <w:pPr>
              <w:pStyle w:val="TableText"/>
              <w:jc w:val="right"/>
              <w:rPr>
                <w:rFonts w:ascii="Calibri" w:eastAsia="Times New Roman" w:hAnsi="Calibri" w:cs="Calibri"/>
                <w:color w:val="000000"/>
                <w:szCs w:val="18"/>
                <w:lang w:eastAsia="en-AU"/>
              </w:rPr>
            </w:pPr>
            <w:r w:rsidRPr="00813DE0">
              <w:rPr>
                <w:rFonts w:ascii="Calibri" w:eastAsia="Times New Roman" w:hAnsi="Calibri" w:cs="Calibri"/>
                <w:color w:val="000000"/>
                <w:szCs w:val="18"/>
                <w:lang w:eastAsia="en-AU"/>
              </w:rPr>
              <w:t>788,982</w:t>
            </w:r>
          </w:p>
        </w:tc>
        <w:tc>
          <w:tcPr>
            <w:tcW w:w="741" w:type="pct"/>
            <w:tcBorders>
              <w:top w:val="nil"/>
              <w:left w:val="nil"/>
              <w:bottom w:val="single" w:sz="4" w:space="0" w:color="000000"/>
              <w:right w:val="nil"/>
            </w:tcBorders>
            <w:shd w:val="clear" w:color="auto" w:fill="auto"/>
            <w:noWrap/>
            <w:hideMark/>
          </w:tcPr>
          <w:p w14:paraId="0A59F22C" w14:textId="77777777" w:rsidR="00D61175" w:rsidRPr="00813DE0" w:rsidRDefault="00D61175" w:rsidP="00266250">
            <w:pPr>
              <w:pStyle w:val="TableText"/>
              <w:jc w:val="right"/>
              <w:rPr>
                <w:rFonts w:ascii="Calibri" w:eastAsia="Times New Roman" w:hAnsi="Calibri" w:cs="Calibri"/>
                <w:color w:val="000000"/>
                <w:szCs w:val="18"/>
                <w:lang w:eastAsia="en-AU"/>
              </w:rPr>
            </w:pPr>
            <w:r w:rsidRPr="00813DE0">
              <w:rPr>
                <w:rFonts w:ascii="Calibri" w:eastAsia="Times New Roman" w:hAnsi="Calibri" w:cs="Calibri"/>
                <w:color w:val="000000"/>
                <w:szCs w:val="18"/>
                <w:lang w:eastAsia="en-AU"/>
              </w:rPr>
              <w:t>5,048,039</w:t>
            </w:r>
          </w:p>
        </w:tc>
        <w:tc>
          <w:tcPr>
            <w:tcW w:w="749" w:type="pct"/>
            <w:tcBorders>
              <w:top w:val="nil"/>
              <w:left w:val="nil"/>
              <w:bottom w:val="single" w:sz="4" w:space="0" w:color="000000"/>
              <w:right w:val="nil"/>
            </w:tcBorders>
            <w:shd w:val="clear" w:color="auto" w:fill="auto"/>
            <w:noWrap/>
            <w:hideMark/>
          </w:tcPr>
          <w:p w14:paraId="37AC43EC" w14:textId="77777777" w:rsidR="00D61175" w:rsidRPr="00813DE0" w:rsidRDefault="00D61175" w:rsidP="00266250">
            <w:pPr>
              <w:pStyle w:val="TableText"/>
              <w:jc w:val="right"/>
              <w:rPr>
                <w:rFonts w:ascii="Calibri" w:eastAsia="Times New Roman" w:hAnsi="Calibri" w:cs="Calibri"/>
                <w:color w:val="000000"/>
                <w:szCs w:val="18"/>
                <w:lang w:eastAsia="en-AU"/>
              </w:rPr>
            </w:pPr>
            <w:r w:rsidRPr="00813DE0">
              <w:rPr>
                <w:rFonts w:ascii="Calibri" w:eastAsia="Times New Roman" w:hAnsi="Calibri" w:cs="Calibri"/>
                <w:color w:val="000000"/>
                <w:szCs w:val="18"/>
                <w:lang w:eastAsia="en-AU"/>
              </w:rPr>
              <w:t>18,249,904</w:t>
            </w:r>
          </w:p>
        </w:tc>
      </w:tr>
      <w:tr w:rsidR="00372831" w:rsidRPr="00813DE0" w14:paraId="4761583F" w14:textId="77777777" w:rsidTr="00266250">
        <w:tc>
          <w:tcPr>
            <w:tcW w:w="2104" w:type="pct"/>
            <w:tcBorders>
              <w:top w:val="nil"/>
              <w:left w:val="nil"/>
              <w:bottom w:val="single" w:sz="8" w:space="0" w:color="auto"/>
              <w:right w:val="nil"/>
            </w:tcBorders>
            <w:shd w:val="clear" w:color="auto" w:fill="auto"/>
            <w:noWrap/>
            <w:hideMark/>
          </w:tcPr>
          <w:p w14:paraId="03A2796D" w14:textId="77777777" w:rsidR="00D61175" w:rsidRPr="00813DE0" w:rsidRDefault="00D61175" w:rsidP="00CB3CB7">
            <w:pPr>
              <w:pStyle w:val="TableText"/>
              <w:rPr>
                <w:rFonts w:ascii="Calibri" w:eastAsia="Times New Roman" w:hAnsi="Calibri" w:cs="Calibri"/>
                <w:color w:val="000000"/>
                <w:szCs w:val="18"/>
                <w:lang w:eastAsia="en-AU"/>
              </w:rPr>
            </w:pPr>
            <w:r w:rsidRPr="00813DE0">
              <w:rPr>
                <w:rFonts w:ascii="Calibri" w:eastAsia="Times New Roman" w:hAnsi="Calibri" w:cs="Calibri"/>
                <w:color w:val="000000"/>
                <w:szCs w:val="18"/>
                <w:lang w:eastAsia="en-AU"/>
              </w:rPr>
              <w:t>Net balance = balance + Z</w:t>
            </w:r>
          </w:p>
        </w:tc>
        <w:tc>
          <w:tcPr>
            <w:tcW w:w="703" w:type="pct"/>
            <w:tcBorders>
              <w:top w:val="nil"/>
              <w:left w:val="nil"/>
              <w:bottom w:val="nil"/>
              <w:right w:val="nil"/>
            </w:tcBorders>
            <w:shd w:val="clear" w:color="auto" w:fill="auto"/>
            <w:noWrap/>
            <w:hideMark/>
          </w:tcPr>
          <w:p w14:paraId="0B18EE0B" w14:textId="104DFC03" w:rsidR="00D61175" w:rsidRPr="00643528" w:rsidRDefault="00D61175" w:rsidP="00266250">
            <w:pPr>
              <w:pStyle w:val="TableText"/>
              <w:jc w:val="right"/>
              <w:rPr>
                <w:rFonts w:ascii="Calibri" w:eastAsia="Times New Roman" w:hAnsi="Calibri" w:cs="Calibri"/>
                <w:color w:val="000000"/>
                <w:szCs w:val="18"/>
                <w:lang w:eastAsia="en-AU"/>
              </w:rPr>
            </w:pPr>
            <w:r w:rsidRPr="00643528">
              <w:rPr>
                <w:rFonts w:ascii="Calibri" w:eastAsia="Times New Roman" w:hAnsi="Calibri" w:cs="Calibri"/>
                <w:color w:val="000000"/>
                <w:szCs w:val="18"/>
                <w:lang w:eastAsia="en-AU"/>
              </w:rPr>
              <w:t>0</w:t>
            </w:r>
          </w:p>
        </w:tc>
        <w:tc>
          <w:tcPr>
            <w:tcW w:w="703" w:type="pct"/>
            <w:tcBorders>
              <w:top w:val="nil"/>
              <w:left w:val="nil"/>
              <w:bottom w:val="nil"/>
              <w:right w:val="nil"/>
            </w:tcBorders>
            <w:shd w:val="clear" w:color="auto" w:fill="auto"/>
            <w:noWrap/>
            <w:hideMark/>
          </w:tcPr>
          <w:p w14:paraId="5670CC40" w14:textId="419304F0" w:rsidR="00D61175" w:rsidRPr="00643528" w:rsidRDefault="00D61175" w:rsidP="00266250">
            <w:pPr>
              <w:pStyle w:val="TableText"/>
              <w:jc w:val="right"/>
              <w:rPr>
                <w:rFonts w:ascii="Calibri" w:eastAsia="Times New Roman" w:hAnsi="Calibri" w:cs="Calibri"/>
                <w:color w:val="000000"/>
                <w:szCs w:val="18"/>
                <w:lang w:eastAsia="en-AU"/>
              </w:rPr>
            </w:pPr>
            <w:r w:rsidRPr="00643528">
              <w:rPr>
                <w:rFonts w:ascii="Calibri" w:eastAsia="Times New Roman" w:hAnsi="Calibri" w:cs="Calibri"/>
                <w:color w:val="000000"/>
                <w:szCs w:val="18"/>
                <w:lang w:eastAsia="en-AU"/>
              </w:rPr>
              <w:t>0</w:t>
            </w:r>
          </w:p>
        </w:tc>
        <w:tc>
          <w:tcPr>
            <w:tcW w:w="741" w:type="pct"/>
            <w:tcBorders>
              <w:top w:val="nil"/>
              <w:left w:val="nil"/>
              <w:bottom w:val="nil"/>
              <w:right w:val="nil"/>
            </w:tcBorders>
            <w:shd w:val="clear" w:color="auto" w:fill="auto"/>
            <w:noWrap/>
            <w:hideMark/>
          </w:tcPr>
          <w:p w14:paraId="40588C31" w14:textId="77777777" w:rsidR="00D61175" w:rsidRPr="00643528" w:rsidRDefault="00D61175" w:rsidP="00266250">
            <w:pPr>
              <w:pStyle w:val="TableText"/>
              <w:jc w:val="right"/>
              <w:rPr>
                <w:rFonts w:ascii="Calibri" w:eastAsia="Times New Roman" w:hAnsi="Calibri" w:cs="Calibri"/>
                <w:color w:val="000000"/>
                <w:szCs w:val="18"/>
                <w:lang w:eastAsia="en-AU"/>
              </w:rPr>
            </w:pPr>
            <w:r w:rsidRPr="00643528">
              <w:rPr>
                <w:rFonts w:ascii="Calibri" w:eastAsia="Times New Roman" w:hAnsi="Calibri" w:cs="Calibri"/>
                <w:color w:val="000000"/>
                <w:szCs w:val="18"/>
                <w:lang w:eastAsia="en-AU"/>
              </w:rPr>
              <w:t>(4,043,111)</w:t>
            </w:r>
          </w:p>
        </w:tc>
        <w:tc>
          <w:tcPr>
            <w:tcW w:w="749" w:type="pct"/>
            <w:tcBorders>
              <w:top w:val="nil"/>
              <w:left w:val="nil"/>
              <w:bottom w:val="nil"/>
              <w:right w:val="nil"/>
            </w:tcBorders>
            <w:shd w:val="clear" w:color="auto" w:fill="auto"/>
            <w:noWrap/>
            <w:hideMark/>
          </w:tcPr>
          <w:p w14:paraId="2006FE95" w14:textId="76C16413" w:rsidR="00D61175" w:rsidRPr="00643528" w:rsidRDefault="00D61175" w:rsidP="00266250">
            <w:pPr>
              <w:pStyle w:val="TableText"/>
              <w:jc w:val="right"/>
              <w:rPr>
                <w:rFonts w:ascii="Calibri" w:eastAsia="Times New Roman" w:hAnsi="Calibri" w:cs="Calibri"/>
                <w:color w:val="000000"/>
                <w:szCs w:val="18"/>
                <w:lang w:eastAsia="en-AU"/>
              </w:rPr>
            </w:pPr>
            <w:r w:rsidRPr="00643528">
              <w:rPr>
                <w:rFonts w:ascii="Calibri" w:eastAsia="Times New Roman" w:hAnsi="Calibri" w:cs="Calibri"/>
                <w:color w:val="000000"/>
                <w:szCs w:val="18"/>
                <w:lang w:eastAsia="en-AU"/>
              </w:rPr>
              <w:t>0</w:t>
            </w:r>
          </w:p>
        </w:tc>
      </w:tr>
      <w:tr w:rsidR="00372831" w:rsidRPr="00813DE0" w14:paraId="51B77284" w14:textId="77777777" w:rsidTr="00266250">
        <w:tc>
          <w:tcPr>
            <w:tcW w:w="2104" w:type="pct"/>
            <w:tcBorders>
              <w:top w:val="nil"/>
              <w:left w:val="nil"/>
              <w:bottom w:val="single" w:sz="8" w:space="0" w:color="auto"/>
              <w:right w:val="nil"/>
            </w:tcBorders>
            <w:shd w:val="clear" w:color="auto" w:fill="auto"/>
            <w:noWrap/>
            <w:hideMark/>
          </w:tcPr>
          <w:p w14:paraId="7C83329D" w14:textId="77777777" w:rsidR="00D61175" w:rsidRPr="00D61175" w:rsidRDefault="00D61175" w:rsidP="00CB3CB7">
            <w:pPr>
              <w:pStyle w:val="TableText"/>
              <w:rPr>
                <w:rStyle w:val="Strong"/>
                <w:szCs w:val="18"/>
              </w:rPr>
            </w:pPr>
            <w:r w:rsidRPr="00D61175">
              <w:rPr>
                <w:rStyle w:val="Strong"/>
                <w:szCs w:val="18"/>
              </w:rPr>
              <w:t>Accumulated result</w:t>
            </w:r>
          </w:p>
        </w:tc>
        <w:tc>
          <w:tcPr>
            <w:tcW w:w="703" w:type="pct"/>
            <w:tcBorders>
              <w:top w:val="single" w:sz="8" w:space="0" w:color="auto"/>
              <w:left w:val="nil"/>
              <w:bottom w:val="single" w:sz="8" w:space="0" w:color="auto"/>
              <w:right w:val="nil"/>
            </w:tcBorders>
            <w:shd w:val="clear" w:color="auto" w:fill="auto"/>
            <w:noWrap/>
            <w:hideMark/>
          </w:tcPr>
          <w:p w14:paraId="5039A70C" w14:textId="77777777" w:rsidR="00D61175" w:rsidRPr="00D61175" w:rsidRDefault="00D61175" w:rsidP="00266250">
            <w:pPr>
              <w:pStyle w:val="TableText"/>
              <w:jc w:val="right"/>
              <w:rPr>
                <w:rStyle w:val="Strong"/>
                <w:szCs w:val="18"/>
              </w:rPr>
            </w:pPr>
            <w:r w:rsidRPr="00D61175">
              <w:rPr>
                <w:rStyle w:val="Strong"/>
                <w:szCs w:val="18"/>
              </w:rPr>
              <w:t>(2,359,620)</w:t>
            </w:r>
          </w:p>
        </w:tc>
        <w:tc>
          <w:tcPr>
            <w:tcW w:w="703" w:type="pct"/>
            <w:tcBorders>
              <w:top w:val="single" w:sz="8" w:space="0" w:color="auto"/>
              <w:left w:val="nil"/>
              <w:bottom w:val="single" w:sz="8" w:space="0" w:color="auto"/>
              <w:right w:val="nil"/>
            </w:tcBorders>
            <w:shd w:val="clear" w:color="auto" w:fill="auto"/>
            <w:noWrap/>
            <w:hideMark/>
          </w:tcPr>
          <w:p w14:paraId="4ECA547F" w14:textId="77777777" w:rsidR="00D61175" w:rsidRPr="00D61175" w:rsidRDefault="00D61175" w:rsidP="00266250">
            <w:pPr>
              <w:pStyle w:val="TableText"/>
              <w:jc w:val="right"/>
              <w:rPr>
                <w:rStyle w:val="Strong"/>
                <w:szCs w:val="18"/>
              </w:rPr>
            </w:pPr>
            <w:r w:rsidRPr="00D61175">
              <w:rPr>
                <w:rStyle w:val="Strong"/>
                <w:szCs w:val="18"/>
              </w:rPr>
              <w:t>(2,359,620)</w:t>
            </w:r>
          </w:p>
        </w:tc>
        <w:tc>
          <w:tcPr>
            <w:tcW w:w="741" w:type="pct"/>
            <w:tcBorders>
              <w:top w:val="single" w:sz="8" w:space="0" w:color="auto"/>
              <w:left w:val="nil"/>
              <w:bottom w:val="single" w:sz="8" w:space="0" w:color="auto"/>
              <w:right w:val="nil"/>
            </w:tcBorders>
            <w:shd w:val="clear" w:color="auto" w:fill="auto"/>
            <w:noWrap/>
            <w:hideMark/>
          </w:tcPr>
          <w:p w14:paraId="43185D82" w14:textId="77777777" w:rsidR="00D61175" w:rsidRPr="00D61175" w:rsidRDefault="00D61175" w:rsidP="00266250">
            <w:pPr>
              <w:pStyle w:val="TableText"/>
              <w:jc w:val="right"/>
              <w:rPr>
                <w:rStyle w:val="Strong"/>
                <w:szCs w:val="18"/>
              </w:rPr>
            </w:pPr>
            <w:r w:rsidRPr="00D61175">
              <w:rPr>
                <w:rStyle w:val="Strong"/>
                <w:szCs w:val="18"/>
              </w:rPr>
              <w:t>(6,402,731)</w:t>
            </w:r>
          </w:p>
        </w:tc>
        <w:tc>
          <w:tcPr>
            <w:tcW w:w="749" w:type="pct"/>
            <w:tcBorders>
              <w:top w:val="single" w:sz="8" w:space="0" w:color="auto"/>
              <w:left w:val="nil"/>
              <w:bottom w:val="single" w:sz="8" w:space="0" w:color="auto"/>
              <w:right w:val="nil"/>
            </w:tcBorders>
            <w:shd w:val="clear" w:color="auto" w:fill="auto"/>
            <w:noWrap/>
            <w:hideMark/>
          </w:tcPr>
          <w:p w14:paraId="18C8281C" w14:textId="77777777" w:rsidR="00D61175" w:rsidRPr="00D61175" w:rsidRDefault="00D61175" w:rsidP="00266250">
            <w:pPr>
              <w:pStyle w:val="TableText"/>
              <w:jc w:val="right"/>
              <w:rPr>
                <w:rStyle w:val="Strong"/>
                <w:szCs w:val="18"/>
              </w:rPr>
            </w:pPr>
            <w:r w:rsidRPr="00D61175">
              <w:rPr>
                <w:rStyle w:val="Strong"/>
                <w:szCs w:val="18"/>
              </w:rPr>
              <w:t>(6,402,731)</w:t>
            </w:r>
          </w:p>
        </w:tc>
      </w:tr>
    </w:tbl>
    <w:p w14:paraId="18105C53" w14:textId="77777777" w:rsidR="00595257" w:rsidRPr="002171BA" w:rsidRDefault="00595257" w:rsidP="00595257">
      <w:pPr>
        <w:pStyle w:val="Heading2"/>
        <w:numPr>
          <w:ilvl w:val="0"/>
          <w:numId w:val="0"/>
        </w:numPr>
        <w:ind w:left="720" w:hanging="720"/>
      </w:pPr>
      <w:bookmarkStart w:id="43" w:name="_Appendix_A:_Divisional"/>
      <w:bookmarkStart w:id="44" w:name="_Toc172898942"/>
      <w:bookmarkStart w:id="45" w:name="_Toc174445854"/>
      <w:bookmarkStart w:id="46" w:name="_Toc180066982"/>
      <w:bookmarkStart w:id="47" w:name="_Toc181704936"/>
      <w:bookmarkStart w:id="48" w:name="_Ref455668776"/>
      <w:bookmarkStart w:id="49" w:name="_Toc409769091"/>
      <w:bookmarkEnd w:id="43"/>
      <w:r w:rsidRPr="002171BA">
        <w:lastRenderedPageBreak/>
        <w:t>Non-financial performance</w:t>
      </w:r>
      <w:bookmarkEnd w:id="44"/>
      <w:bookmarkEnd w:id="45"/>
      <w:bookmarkEnd w:id="46"/>
      <w:bookmarkEnd w:id="47"/>
    </w:p>
    <w:p w14:paraId="46B2A8A7" w14:textId="5F635411" w:rsidR="00595257" w:rsidRPr="002171BA" w:rsidRDefault="007A041D" w:rsidP="00595257">
      <w:bookmarkStart w:id="50" w:name="_Hlk180492056"/>
      <w:r>
        <w:t xml:space="preserve">The </w:t>
      </w:r>
      <w:hyperlink r:id="rId29" w:history="1">
        <w:r>
          <w:rPr>
            <w:rStyle w:val="Hyperlink"/>
          </w:rPr>
          <w:t>Annual report 2023–24</w:t>
        </w:r>
      </w:hyperlink>
      <w:r w:rsidR="00595257">
        <w:t xml:space="preserve"> </w:t>
      </w:r>
      <w:r w:rsidR="00595257" w:rsidRPr="00004893">
        <w:t>provides comprehensive information on performance measures and performance results. Non-financial performance measures are given as high-level objectives and are not reported at a level specific to each cost recovery arrangement.</w:t>
      </w:r>
      <w:bookmarkEnd w:id="50"/>
    </w:p>
    <w:p w14:paraId="4EFCF9F7" w14:textId="77777777" w:rsidR="00595257" w:rsidRPr="002171BA" w:rsidRDefault="00595257" w:rsidP="00595257">
      <w:pPr>
        <w:pStyle w:val="Heading3"/>
        <w:numPr>
          <w:ilvl w:val="0"/>
          <w:numId w:val="0"/>
        </w:numPr>
        <w:ind w:left="964" w:hanging="964"/>
      </w:pPr>
      <w:bookmarkStart w:id="51" w:name="_Toc180066983"/>
      <w:bookmarkStart w:id="52" w:name="_Toc181704937"/>
      <w:r w:rsidRPr="002171BA">
        <w:t>Objective 1 Industry growth</w:t>
      </w:r>
      <w:bookmarkEnd w:id="51"/>
      <w:bookmarkEnd w:id="52"/>
    </w:p>
    <w:p w14:paraId="5A0E56C4" w14:textId="588E756A" w:rsidR="00595257" w:rsidRDefault="00595257" w:rsidP="00595257">
      <w:pPr>
        <w:spacing w:before="120" w:after="120"/>
      </w:pPr>
      <w:r w:rsidRPr="00004893">
        <w:t>Support industry to grow towards a $100 billion agriculture, fisheries and forestry industry by 2030</w:t>
      </w:r>
      <w:r>
        <w:t>.</w:t>
      </w:r>
    </w:p>
    <w:p w14:paraId="40A4C4DE" w14:textId="77777777" w:rsidR="00603D54" w:rsidRDefault="006E39CE" w:rsidP="006E39CE">
      <w:pPr>
        <w:pStyle w:val="Heading4"/>
        <w:numPr>
          <w:ilvl w:val="0"/>
          <w:numId w:val="0"/>
        </w:numPr>
      </w:pPr>
      <w:bookmarkStart w:id="53" w:name="_Toc166655134"/>
      <w:bookmarkStart w:id="54" w:name="_Toc180491631"/>
      <w:bookmarkStart w:id="55" w:name="_Toc181604876"/>
      <w:r>
        <w:t>Key activity 1.1</w:t>
      </w:r>
    </w:p>
    <w:p w14:paraId="4C40679A" w14:textId="5C46B7D9" w:rsidR="006E39CE" w:rsidRPr="00962E4F" w:rsidRDefault="00595257" w:rsidP="00962E4F">
      <w:r w:rsidRPr="00962E4F">
        <w:t>Support industry productivity and growth through science, policy and</w:t>
      </w:r>
      <w:r w:rsidRPr="00603D54">
        <w:t xml:space="preserve"> </w:t>
      </w:r>
      <w:r w:rsidRPr="00962E4F">
        <w:t>partnership</w:t>
      </w:r>
      <w:bookmarkEnd w:id="53"/>
      <w:bookmarkEnd w:id="54"/>
      <w:r w:rsidR="009F549B" w:rsidRPr="00962E4F">
        <w:t>s</w:t>
      </w:r>
      <w:bookmarkEnd w:id="55"/>
      <w:r w:rsidR="00603D54">
        <w:t>.</w:t>
      </w:r>
    </w:p>
    <w:p w14:paraId="095B15F1" w14:textId="4117A707" w:rsidR="00360EE8" w:rsidRPr="00603D54" w:rsidRDefault="00360EE8" w:rsidP="00603D54">
      <w:pPr>
        <w:pStyle w:val="Heading5"/>
        <w:spacing w:before="240"/>
      </w:pPr>
      <w:r w:rsidRPr="00603D54">
        <w:t>Measure IG-01</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595257" w:rsidRPr="0042486B" w14:paraId="27B0726E" w14:textId="77777777" w:rsidTr="001459C6">
        <w:trPr>
          <w:tblHeader/>
        </w:trPr>
        <w:tc>
          <w:tcPr>
            <w:tcW w:w="1014" w:type="pct"/>
            <w:shd w:val="clear" w:color="auto" w:fill="F2F2F2" w:themeFill="background1" w:themeFillShade="F2"/>
          </w:tcPr>
          <w:p w14:paraId="325E5563" w14:textId="77777777" w:rsidR="00595257" w:rsidRPr="001C2168" w:rsidRDefault="00595257" w:rsidP="00981397">
            <w:pPr>
              <w:pStyle w:val="TableHeading"/>
              <w:rPr>
                <w:highlight w:val="yellow"/>
              </w:rPr>
            </w:pPr>
            <w:bookmarkStart w:id="56" w:name="RowTitle_IG_01"/>
            <w:bookmarkEnd w:id="56"/>
            <w:r w:rsidRPr="001C2168">
              <w:t>Measure IG-01</w:t>
            </w:r>
          </w:p>
        </w:tc>
        <w:tc>
          <w:tcPr>
            <w:tcW w:w="3986" w:type="pct"/>
            <w:shd w:val="clear" w:color="auto" w:fill="F2F2F2" w:themeFill="background1" w:themeFillShade="F2"/>
          </w:tcPr>
          <w:p w14:paraId="67FE73E1" w14:textId="77777777" w:rsidR="00595257" w:rsidRPr="001C2168" w:rsidRDefault="00595257" w:rsidP="00981397">
            <w:pPr>
              <w:pStyle w:val="TableText"/>
              <w:rPr>
                <w:highlight w:val="yellow"/>
              </w:rPr>
            </w:pPr>
            <w:r w:rsidRPr="001C2168">
              <w:t>Greater growth in average agricultural productivity (adjusted for climate and weather effects) for the past 10 years, compared to average annual market sector productivity growth over the same period.</w:t>
            </w:r>
          </w:p>
        </w:tc>
      </w:tr>
      <w:tr w:rsidR="00595257" w:rsidRPr="0042486B" w14:paraId="45A6AC72" w14:textId="77777777" w:rsidTr="00981397">
        <w:trPr>
          <w:tblHeader/>
        </w:trPr>
        <w:tc>
          <w:tcPr>
            <w:tcW w:w="1014" w:type="pct"/>
          </w:tcPr>
          <w:p w14:paraId="3722AAD2" w14:textId="77777777" w:rsidR="00595257" w:rsidRPr="001C2168" w:rsidRDefault="00595257" w:rsidP="00981397">
            <w:pPr>
              <w:pStyle w:val="TableText"/>
              <w:rPr>
                <w:rStyle w:val="Strong"/>
              </w:rPr>
            </w:pPr>
            <w:r w:rsidRPr="001C2168">
              <w:rPr>
                <w:rStyle w:val="Strong"/>
              </w:rPr>
              <w:t>Measure type</w:t>
            </w:r>
          </w:p>
        </w:tc>
        <w:tc>
          <w:tcPr>
            <w:tcW w:w="3986" w:type="pct"/>
          </w:tcPr>
          <w:p w14:paraId="4800115B" w14:textId="77777777" w:rsidR="00595257" w:rsidRPr="001C2168" w:rsidRDefault="00595257" w:rsidP="00981397">
            <w:pPr>
              <w:pStyle w:val="TableText"/>
            </w:pPr>
            <w:r w:rsidRPr="001C2168">
              <w:t>Effectiveness.</w:t>
            </w:r>
          </w:p>
        </w:tc>
      </w:tr>
      <w:tr w:rsidR="00595257" w:rsidRPr="0042486B" w14:paraId="27DEE3FD" w14:textId="77777777" w:rsidTr="00981397">
        <w:trPr>
          <w:tblHeader/>
        </w:trPr>
        <w:tc>
          <w:tcPr>
            <w:tcW w:w="1014" w:type="pct"/>
          </w:tcPr>
          <w:p w14:paraId="263269D5" w14:textId="77777777" w:rsidR="00595257" w:rsidRPr="001C2168" w:rsidRDefault="00595257" w:rsidP="00981397">
            <w:pPr>
              <w:pStyle w:val="TableText"/>
              <w:rPr>
                <w:rStyle w:val="Strong"/>
              </w:rPr>
            </w:pPr>
            <w:r w:rsidRPr="001C2168">
              <w:rPr>
                <w:rStyle w:val="Strong"/>
              </w:rPr>
              <w:t>Target</w:t>
            </w:r>
          </w:p>
        </w:tc>
        <w:tc>
          <w:tcPr>
            <w:tcW w:w="3986" w:type="pct"/>
            <w:tcBorders>
              <w:bottom w:val="single" w:sz="4" w:space="0" w:color="auto"/>
            </w:tcBorders>
          </w:tcPr>
          <w:p w14:paraId="7712D0BD" w14:textId="77777777" w:rsidR="00595257" w:rsidRPr="001C2168" w:rsidRDefault="00595257" w:rsidP="00981397">
            <w:pPr>
              <w:pStyle w:val="TableText"/>
            </w:pPr>
            <w:r w:rsidRPr="001C2168">
              <w:t>Greater than 0% difference over past 10 years.</w:t>
            </w:r>
          </w:p>
        </w:tc>
      </w:tr>
      <w:tr w:rsidR="00595257" w:rsidRPr="0042486B" w14:paraId="24F0D8BE" w14:textId="77777777" w:rsidTr="00981397">
        <w:trPr>
          <w:tblHeader/>
        </w:trPr>
        <w:tc>
          <w:tcPr>
            <w:tcW w:w="1014" w:type="pct"/>
            <w:vMerge w:val="restart"/>
          </w:tcPr>
          <w:p w14:paraId="2CDD282B" w14:textId="77777777" w:rsidR="00595257" w:rsidRPr="001C2168" w:rsidRDefault="00595257" w:rsidP="00981397">
            <w:pPr>
              <w:pStyle w:val="TableText"/>
              <w:rPr>
                <w:rStyle w:val="Strong"/>
                <w:highlight w:val="yellow"/>
              </w:rPr>
            </w:pPr>
            <w:r w:rsidRPr="001C2168">
              <w:rPr>
                <w:rStyle w:val="Strong"/>
              </w:rPr>
              <w:t>Sources</w:t>
            </w:r>
          </w:p>
        </w:tc>
        <w:tc>
          <w:tcPr>
            <w:tcW w:w="3986" w:type="pct"/>
            <w:tcBorders>
              <w:bottom w:val="dotted" w:sz="4" w:space="0" w:color="auto"/>
            </w:tcBorders>
          </w:tcPr>
          <w:p w14:paraId="3B5AC97F" w14:textId="1B583AE9" w:rsidR="00595257" w:rsidRPr="001C2168" w:rsidRDefault="00595257" w:rsidP="00981397">
            <w:pPr>
              <w:pStyle w:val="TableText"/>
              <w:rPr>
                <w:rStyle w:val="Emphasis"/>
                <w:i w:val="0"/>
                <w:iCs w:val="0"/>
                <w:highlight w:val="yellow"/>
              </w:rPr>
            </w:pPr>
            <w:r w:rsidRPr="00D027AD">
              <w:rPr>
                <w:rStyle w:val="Emphasis"/>
              </w:rPr>
              <w:t>Corporate Plan 2023</w:t>
            </w:r>
            <w:r w:rsidR="00360EE8" w:rsidRPr="00D027AD">
              <w:rPr>
                <w:rStyle w:val="Emphasis"/>
              </w:rPr>
              <w:t>–</w:t>
            </w:r>
            <w:r w:rsidRPr="00D027AD">
              <w:rPr>
                <w:rStyle w:val="Emphasis"/>
              </w:rPr>
              <w:t>24</w:t>
            </w:r>
            <w:r w:rsidRPr="001C2168">
              <w:rPr>
                <w:rStyle w:val="Emphasis"/>
                <w:i w:val="0"/>
                <w:iCs w:val="0"/>
              </w:rPr>
              <w:t>.</w:t>
            </w:r>
          </w:p>
        </w:tc>
      </w:tr>
      <w:tr w:rsidR="00595257" w:rsidRPr="0042486B" w14:paraId="16CF9EB1" w14:textId="77777777" w:rsidTr="00981397">
        <w:trPr>
          <w:tblHeader/>
        </w:trPr>
        <w:tc>
          <w:tcPr>
            <w:tcW w:w="1014" w:type="pct"/>
            <w:vMerge/>
          </w:tcPr>
          <w:p w14:paraId="46B7AF10" w14:textId="77777777" w:rsidR="00595257" w:rsidRPr="001C2168" w:rsidRDefault="00595257" w:rsidP="00981397">
            <w:pPr>
              <w:pStyle w:val="TableText"/>
              <w:rPr>
                <w:rStyle w:val="Strong"/>
                <w:highlight w:val="yellow"/>
              </w:rPr>
            </w:pPr>
          </w:p>
        </w:tc>
        <w:tc>
          <w:tcPr>
            <w:tcW w:w="3986" w:type="pct"/>
            <w:tcBorders>
              <w:top w:val="dotted" w:sz="4" w:space="0" w:color="auto"/>
            </w:tcBorders>
          </w:tcPr>
          <w:p w14:paraId="0FC3E1F1" w14:textId="77777777" w:rsidR="00595257" w:rsidRPr="001C2168" w:rsidRDefault="00595257" w:rsidP="00981397">
            <w:pPr>
              <w:pStyle w:val="TableText"/>
            </w:pPr>
            <w:r w:rsidRPr="00D027AD">
              <w:rPr>
                <w:rStyle w:val="Emphasis"/>
              </w:rPr>
              <w:t>Portfolio Budget Statements 2023–24</w:t>
            </w:r>
            <w:r w:rsidRPr="001C2168">
              <w:t>.</w:t>
            </w:r>
          </w:p>
          <w:p w14:paraId="68BF87F5" w14:textId="77777777" w:rsidR="00595257" w:rsidRPr="001C2168" w:rsidRDefault="00595257" w:rsidP="00981397">
            <w:pPr>
              <w:pStyle w:val="TableText"/>
              <w:rPr>
                <w:highlight w:val="yellow"/>
              </w:rPr>
            </w:pPr>
            <w:r w:rsidRPr="001C2168">
              <w:t>Programs: 1.1, 1.3, 1.4, 1.5, 1.6, 1.7, 1.8, 1.9, 1.10, 1.11, 1.12.</w:t>
            </w:r>
          </w:p>
        </w:tc>
      </w:tr>
      <w:tr w:rsidR="00595257" w:rsidRPr="0042486B" w14:paraId="65FF0387" w14:textId="77777777" w:rsidTr="00981397">
        <w:trPr>
          <w:tblHeader/>
        </w:trPr>
        <w:tc>
          <w:tcPr>
            <w:tcW w:w="1014" w:type="pct"/>
            <w:shd w:val="clear" w:color="auto" w:fill="auto"/>
          </w:tcPr>
          <w:p w14:paraId="71054635" w14:textId="77777777" w:rsidR="00595257" w:rsidRPr="001C2168" w:rsidRDefault="00595257" w:rsidP="00981397">
            <w:pPr>
              <w:pStyle w:val="TableText"/>
              <w:rPr>
                <w:rStyle w:val="Strong"/>
              </w:rPr>
            </w:pPr>
            <w:r w:rsidRPr="001C2168">
              <w:rPr>
                <w:rStyle w:val="Strong"/>
              </w:rPr>
              <w:t>Result</w:t>
            </w:r>
          </w:p>
        </w:tc>
        <w:tc>
          <w:tcPr>
            <w:tcW w:w="3986" w:type="pct"/>
            <w:shd w:val="clear" w:color="auto" w:fill="auto"/>
          </w:tcPr>
          <w:p w14:paraId="72634946" w14:textId="77777777" w:rsidR="00595257" w:rsidRPr="001C2168" w:rsidRDefault="00595257" w:rsidP="00981397">
            <w:pPr>
              <w:pStyle w:val="TableText"/>
            </w:pPr>
            <w:r w:rsidRPr="001C2168">
              <w:t>Achieved – agricultural productivity growth was 0.11 percentage points higher than the market sector growth rate.</w:t>
            </w:r>
          </w:p>
        </w:tc>
      </w:tr>
      <w:tr w:rsidR="00595257" w:rsidRPr="0042486B" w14:paraId="6B5ACF86" w14:textId="77777777" w:rsidTr="00981397">
        <w:trPr>
          <w:tblHeader/>
        </w:trPr>
        <w:tc>
          <w:tcPr>
            <w:tcW w:w="1014" w:type="pct"/>
            <w:shd w:val="clear" w:color="auto" w:fill="auto"/>
          </w:tcPr>
          <w:p w14:paraId="0337510D" w14:textId="77777777" w:rsidR="00595257" w:rsidRPr="001C2168" w:rsidRDefault="00595257" w:rsidP="00981397">
            <w:pPr>
              <w:pStyle w:val="TableText"/>
              <w:rPr>
                <w:rStyle w:val="Strong"/>
              </w:rPr>
            </w:pPr>
            <w:r w:rsidRPr="001C2168">
              <w:rPr>
                <w:rStyle w:val="Strong"/>
              </w:rPr>
              <w:t>Tolerances</w:t>
            </w:r>
          </w:p>
        </w:tc>
        <w:tc>
          <w:tcPr>
            <w:tcW w:w="3986" w:type="pct"/>
            <w:shd w:val="clear" w:color="auto" w:fill="auto"/>
          </w:tcPr>
          <w:p w14:paraId="7C2D0EA0" w14:textId="77777777" w:rsidR="00595257" w:rsidRPr="001C2168" w:rsidRDefault="00595257" w:rsidP="00981397">
            <w:pPr>
              <w:pStyle w:val="TableText"/>
            </w:pPr>
            <w:r w:rsidRPr="001C2168">
              <w:t>Achieved: Average annual growth in the agricultural productivity (climate-adjusted) series exceeds average annual market sector productivity growth over the same period.</w:t>
            </w:r>
          </w:p>
          <w:p w14:paraId="67970517" w14:textId="77777777" w:rsidR="00595257" w:rsidRPr="001C2168" w:rsidRDefault="00595257" w:rsidP="00981397">
            <w:pPr>
              <w:pStyle w:val="TableText"/>
            </w:pPr>
            <w:r w:rsidRPr="001C2168">
              <w:t>Partially achieved: Not applicable.</w:t>
            </w:r>
          </w:p>
          <w:p w14:paraId="27AB2297" w14:textId="77777777" w:rsidR="00595257" w:rsidRPr="001C2168" w:rsidRDefault="00595257" w:rsidP="00981397">
            <w:pPr>
              <w:pStyle w:val="TableText"/>
            </w:pPr>
            <w:r w:rsidRPr="001C2168">
              <w:t>Not achieved: Average annual growth in the agricultural productivity (climate-adjusted) series is lower than average annual market sector productivity growth over the same period.</w:t>
            </w:r>
          </w:p>
        </w:tc>
      </w:tr>
    </w:tbl>
    <w:p w14:paraId="15D82B43" w14:textId="0B856C50" w:rsidR="00595257" w:rsidRPr="00603D54" w:rsidRDefault="00360EE8" w:rsidP="00603D54">
      <w:pPr>
        <w:pStyle w:val="Heading5"/>
        <w:spacing w:before="240"/>
      </w:pPr>
      <w:bookmarkStart w:id="57" w:name="_Hlk119935494"/>
      <w:r w:rsidRPr="00603D54">
        <w:t>Measure IG-02</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595257" w:rsidRPr="00D83317" w14:paraId="153BEF73" w14:textId="77777777" w:rsidTr="001459C6">
        <w:trPr>
          <w:tblHeader/>
        </w:trPr>
        <w:tc>
          <w:tcPr>
            <w:tcW w:w="1014" w:type="pct"/>
            <w:shd w:val="clear" w:color="auto" w:fill="F2F2F2" w:themeFill="background1" w:themeFillShade="F2"/>
          </w:tcPr>
          <w:p w14:paraId="21006C41" w14:textId="77777777" w:rsidR="00595257" w:rsidRPr="00431124" w:rsidRDefault="00595257" w:rsidP="00981397">
            <w:pPr>
              <w:pStyle w:val="TableHeading"/>
            </w:pPr>
            <w:bookmarkStart w:id="58" w:name="RowTitle_IG_02"/>
            <w:bookmarkEnd w:id="58"/>
            <w:r w:rsidRPr="00431124">
              <w:t>Measure IG-02</w:t>
            </w:r>
          </w:p>
        </w:tc>
        <w:tc>
          <w:tcPr>
            <w:tcW w:w="3986" w:type="pct"/>
            <w:shd w:val="clear" w:color="auto" w:fill="F2F2F2" w:themeFill="background1" w:themeFillShade="F2"/>
          </w:tcPr>
          <w:p w14:paraId="2845B4F5" w14:textId="77777777" w:rsidR="00595257" w:rsidRPr="001C2168" w:rsidRDefault="00595257" w:rsidP="00981397">
            <w:pPr>
              <w:pStyle w:val="TableText"/>
            </w:pPr>
            <w:r w:rsidRPr="001C2168">
              <w:t>Equal or reduced cost of levies administration compared with levies disbursed.</w:t>
            </w:r>
          </w:p>
        </w:tc>
      </w:tr>
      <w:tr w:rsidR="00595257" w:rsidRPr="00D83317" w14:paraId="18333539" w14:textId="77777777" w:rsidTr="00981397">
        <w:trPr>
          <w:tblHeader/>
        </w:trPr>
        <w:tc>
          <w:tcPr>
            <w:tcW w:w="1014" w:type="pct"/>
          </w:tcPr>
          <w:p w14:paraId="375DDD74" w14:textId="77777777" w:rsidR="00595257" w:rsidRPr="001C2168" w:rsidRDefault="00595257" w:rsidP="00981397">
            <w:pPr>
              <w:pStyle w:val="TableText"/>
              <w:rPr>
                <w:rStyle w:val="Strong"/>
              </w:rPr>
            </w:pPr>
            <w:r w:rsidRPr="001C2168">
              <w:rPr>
                <w:rStyle w:val="Strong"/>
              </w:rPr>
              <w:t>Measure type</w:t>
            </w:r>
          </w:p>
        </w:tc>
        <w:tc>
          <w:tcPr>
            <w:tcW w:w="3986" w:type="pct"/>
          </w:tcPr>
          <w:p w14:paraId="27057A57" w14:textId="77777777" w:rsidR="00595257" w:rsidRPr="001C2168" w:rsidRDefault="00595257" w:rsidP="00981397">
            <w:pPr>
              <w:pStyle w:val="TableText"/>
            </w:pPr>
            <w:r w:rsidRPr="001C2168">
              <w:t>Effectiveness and regulatory.</w:t>
            </w:r>
          </w:p>
        </w:tc>
      </w:tr>
      <w:tr w:rsidR="00595257" w:rsidRPr="00D83317" w14:paraId="2BFF665F" w14:textId="77777777" w:rsidTr="00981397">
        <w:trPr>
          <w:tblHeader/>
        </w:trPr>
        <w:tc>
          <w:tcPr>
            <w:tcW w:w="1014" w:type="pct"/>
          </w:tcPr>
          <w:p w14:paraId="7F8D8878" w14:textId="77777777" w:rsidR="00595257" w:rsidRPr="001C2168" w:rsidRDefault="00595257" w:rsidP="00981397">
            <w:pPr>
              <w:pStyle w:val="TableText"/>
              <w:rPr>
                <w:rStyle w:val="Strong"/>
                <w:highlight w:val="yellow"/>
              </w:rPr>
            </w:pPr>
            <w:r w:rsidRPr="001C2168">
              <w:rPr>
                <w:rStyle w:val="Strong"/>
              </w:rPr>
              <w:t>Target</w:t>
            </w:r>
          </w:p>
        </w:tc>
        <w:tc>
          <w:tcPr>
            <w:tcW w:w="3986" w:type="pct"/>
            <w:tcBorders>
              <w:bottom w:val="single" w:sz="4" w:space="0" w:color="auto"/>
            </w:tcBorders>
          </w:tcPr>
          <w:p w14:paraId="73B96FB5" w14:textId="3597142B" w:rsidR="00595257" w:rsidRPr="001C2168" w:rsidRDefault="009F549B" w:rsidP="00981397">
            <w:pPr>
              <w:pStyle w:val="TableText"/>
            </w:pPr>
            <w:r>
              <w:t>Cost is less than or equal to 1.2% of levies disbursed.</w:t>
            </w:r>
          </w:p>
        </w:tc>
      </w:tr>
      <w:tr w:rsidR="00595257" w:rsidRPr="00D83317" w14:paraId="441AAA36" w14:textId="77777777" w:rsidTr="00981397">
        <w:trPr>
          <w:tblHeader/>
        </w:trPr>
        <w:tc>
          <w:tcPr>
            <w:tcW w:w="1014" w:type="pct"/>
            <w:vMerge w:val="restart"/>
          </w:tcPr>
          <w:p w14:paraId="0007087B" w14:textId="77777777" w:rsidR="00595257" w:rsidRPr="001C2168" w:rsidRDefault="00595257" w:rsidP="00981397">
            <w:pPr>
              <w:pStyle w:val="TableText"/>
              <w:rPr>
                <w:rStyle w:val="Strong"/>
              </w:rPr>
            </w:pPr>
            <w:r w:rsidRPr="001C2168">
              <w:rPr>
                <w:rStyle w:val="Strong"/>
              </w:rPr>
              <w:t>Sources</w:t>
            </w:r>
          </w:p>
        </w:tc>
        <w:tc>
          <w:tcPr>
            <w:tcW w:w="3986" w:type="pct"/>
            <w:tcBorders>
              <w:bottom w:val="dotted" w:sz="4" w:space="0" w:color="auto"/>
            </w:tcBorders>
          </w:tcPr>
          <w:p w14:paraId="28DD127A" w14:textId="2FA495F9" w:rsidR="00595257" w:rsidRPr="001C2168" w:rsidRDefault="00595257" w:rsidP="00981397">
            <w:pPr>
              <w:pStyle w:val="TableText"/>
              <w:rPr>
                <w:rStyle w:val="Emphasis"/>
              </w:rPr>
            </w:pPr>
            <w:r w:rsidRPr="001C2168">
              <w:rPr>
                <w:rStyle w:val="Emphasis"/>
              </w:rPr>
              <w:t>Corporate Plan 2023</w:t>
            </w:r>
            <w:r w:rsidR="00360EE8">
              <w:rPr>
                <w:rStyle w:val="Emphasis"/>
              </w:rPr>
              <w:t>–</w:t>
            </w:r>
            <w:r w:rsidRPr="001C2168">
              <w:rPr>
                <w:rStyle w:val="Emphasis"/>
              </w:rPr>
              <w:t>24.</w:t>
            </w:r>
          </w:p>
        </w:tc>
      </w:tr>
      <w:tr w:rsidR="00595257" w:rsidRPr="00D83317" w14:paraId="12EA807C" w14:textId="77777777" w:rsidTr="00981397">
        <w:trPr>
          <w:tblHeader/>
        </w:trPr>
        <w:tc>
          <w:tcPr>
            <w:tcW w:w="1014" w:type="pct"/>
            <w:vMerge/>
          </w:tcPr>
          <w:p w14:paraId="4E00C391" w14:textId="77777777" w:rsidR="00595257" w:rsidRPr="001C2168" w:rsidRDefault="00595257" w:rsidP="00981397">
            <w:pPr>
              <w:pStyle w:val="TableText"/>
              <w:rPr>
                <w:rStyle w:val="Strong"/>
                <w:highlight w:val="yellow"/>
              </w:rPr>
            </w:pPr>
          </w:p>
        </w:tc>
        <w:tc>
          <w:tcPr>
            <w:tcW w:w="3986" w:type="pct"/>
            <w:tcBorders>
              <w:top w:val="dotted" w:sz="4" w:space="0" w:color="auto"/>
            </w:tcBorders>
          </w:tcPr>
          <w:p w14:paraId="0E5B6560" w14:textId="77777777" w:rsidR="00595257" w:rsidRPr="001C2168" w:rsidRDefault="00595257" w:rsidP="00981397">
            <w:pPr>
              <w:pStyle w:val="TableText"/>
              <w:rPr>
                <w:rStyle w:val="Emphasis"/>
              </w:rPr>
            </w:pPr>
            <w:r w:rsidRPr="001C2168">
              <w:rPr>
                <w:rStyle w:val="Emphasis"/>
              </w:rPr>
              <w:t>Portfolio Budget Statements 2023–24.</w:t>
            </w:r>
          </w:p>
          <w:p w14:paraId="634CC33A" w14:textId="77777777" w:rsidR="00595257" w:rsidRPr="001C2168" w:rsidRDefault="00595257" w:rsidP="00981397">
            <w:pPr>
              <w:pStyle w:val="TableText"/>
              <w:rPr>
                <w:highlight w:val="yellow"/>
              </w:rPr>
            </w:pPr>
            <w:r w:rsidRPr="001C2168">
              <w:rPr>
                <w:rStyle w:val="Emphasis"/>
                <w:i w:val="0"/>
                <w:iCs w:val="0"/>
              </w:rPr>
              <w:t>Programs: 1.1, 1.3, 1.4, 1.5, 1.6, 1.7, 1.8, 1.9, 1.10, 1.11, 1.12.</w:t>
            </w:r>
          </w:p>
        </w:tc>
      </w:tr>
      <w:tr w:rsidR="00595257" w:rsidRPr="00D83317" w14:paraId="31E9FFE1" w14:textId="77777777" w:rsidTr="00981397">
        <w:trPr>
          <w:tblHeader/>
        </w:trPr>
        <w:tc>
          <w:tcPr>
            <w:tcW w:w="1014" w:type="pct"/>
          </w:tcPr>
          <w:p w14:paraId="494FC48D" w14:textId="77777777" w:rsidR="00595257" w:rsidRPr="001C2168" w:rsidRDefault="00595257" w:rsidP="00981397">
            <w:pPr>
              <w:pStyle w:val="TableText"/>
              <w:rPr>
                <w:rStyle w:val="Strong"/>
              </w:rPr>
            </w:pPr>
            <w:r w:rsidRPr="001C2168">
              <w:rPr>
                <w:rStyle w:val="Strong"/>
              </w:rPr>
              <w:t>Results</w:t>
            </w:r>
          </w:p>
        </w:tc>
        <w:tc>
          <w:tcPr>
            <w:tcW w:w="3986" w:type="pct"/>
          </w:tcPr>
          <w:p w14:paraId="14343535" w14:textId="77777777" w:rsidR="00595257" w:rsidRPr="001C2168" w:rsidRDefault="00595257" w:rsidP="00981397">
            <w:pPr>
              <w:pStyle w:val="TableText"/>
            </w:pPr>
            <w:r w:rsidRPr="001C2168">
              <w:t>Achieved – cost was $4.65 million or 0.77% of levies disbursed.</w:t>
            </w:r>
          </w:p>
        </w:tc>
      </w:tr>
      <w:bookmarkEnd w:id="57"/>
      <w:tr w:rsidR="00595257" w:rsidRPr="00D83317" w14:paraId="07AB0142" w14:textId="77777777" w:rsidTr="00981397">
        <w:trPr>
          <w:tblHeader/>
        </w:trPr>
        <w:tc>
          <w:tcPr>
            <w:tcW w:w="1014" w:type="pct"/>
          </w:tcPr>
          <w:p w14:paraId="790A3B78" w14:textId="77777777" w:rsidR="00595257" w:rsidRPr="001C2168" w:rsidRDefault="00595257" w:rsidP="00981397">
            <w:pPr>
              <w:pStyle w:val="TableText"/>
              <w:rPr>
                <w:rStyle w:val="Strong"/>
              </w:rPr>
            </w:pPr>
            <w:r w:rsidRPr="001C2168">
              <w:rPr>
                <w:rStyle w:val="Strong"/>
              </w:rPr>
              <w:t>Tolerances</w:t>
            </w:r>
          </w:p>
        </w:tc>
        <w:tc>
          <w:tcPr>
            <w:tcW w:w="3986" w:type="pct"/>
          </w:tcPr>
          <w:p w14:paraId="1898578B" w14:textId="77777777" w:rsidR="00595257" w:rsidRPr="001C2168" w:rsidRDefault="00595257" w:rsidP="00981397">
            <w:pPr>
              <w:pStyle w:val="TableText"/>
            </w:pPr>
            <w:r w:rsidRPr="001C2168">
              <w:t>Achieved: Levies administration cost is less than 1.2% of levies disbursed.</w:t>
            </w:r>
          </w:p>
          <w:p w14:paraId="2763272B" w14:textId="77777777" w:rsidR="00595257" w:rsidRPr="001C2168" w:rsidRDefault="00595257" w:rsidP="00981397">
            <w:pPr>
              <w:pStyle w:val="TableText"/>
            </w:pPr>
            <w:r w:rsidRPr="001C2168">
              <w:t>Partially achieved: Not applicable.</w:t>
            </w:r>
          </w:p>
          <w:p w14:paraId="21E274E4" w14:textId="77777777" w:rsidR="00595257" w:rsidRPr="001C2168" w:rsidRDefault="00595257" w:rsidP="00981397">
            <w:pPr>
              <w:pStyle w:val="TableText"/>
            </w:pPr>
            <w:r w:rsidRPr="001C2168">
              <w:t>Not achieved: Levies administration cost is more than 1.2% of levies disbursed.</w:t>
            </w:r>
          </w:p>
        </w:tc>
      </w:tr>
    </w:tbl>
    <w:p w14:paraId="465BFDD1" w14:textId="19F5BCED" w:rsidR="00595257" w:rsidRPr="006E39CE" w:rsidRDefault="006E39CE" w:rsidP="006E39CE">
      <w:pPr>
        <w:pStyle w:val="Heading4"/>
        <w:numPr>
          <w:ilvl w:val="0"/>
          <w:numId w:val="0"/>
        </w:numPr>
        <w:spacing w:after="120"/>
        <w:rPr>
          <w:rFonts w:eastAsiaTheme="minorHAnsi"/>
        </w:rPr>
      </w:pPr>
      <w:bookmarkStart w:id="59" w:name="_Toc180491633"/>
      <w:bookmarkStart w:id="60" w:name="_Toc181604877"/>
      <w:r>
        <w:lastRenderedPageBreak/>
        <w:t>Key activity 1.3</w:t>
      </w:r>
      <w:r w:rsidR="00595257" w:rsidRPr="006E39CE">
        <w:rPr>
          <w:rFonts w:eastAsiaTheme="minorHAnsi"/>
        </w:rPr>
        <w:t xml:space="preserve"> </w:t>
      </w:r>
      <w:r w:rsidR="00360EE8" w:rsidRPr="006E39CE">
        <w:rPr>
          <w:rFonts w:eastAsiaTheme="minorHAnsi"/>
        </w:rPr>
        <w:t>Streamline export regulations and compliance arrangements</w:t>
      </w:r>
      <w:bookmarkEnd w:id="59"/>
      <w:bookmarkEnd w:id="60"/>
    </w:p>
    <w:p w14:paraId="26A739E1" w14:textId="3D75E70D" w:rsidR="00360EE8" w:rsidRPr="00360EE8" w:rsidRDefault="006E39CE" w:rsidP="006E39CE">
      <w:pPr>
        <w:pStyle w:val="Caption"/>
        <w:spacing w:before="120"/>
      </w:pPr>
      <w:bookmarkStart w:id="61" w:name="_Toc181704923"/>
      <w:r>
        <w:t xml:space="preserve">Table </w:t>
      </w:r>
      <w:r>
        <w:fldChar w:fldCharType="begin"/>
      </w:r>
      <w:r>
        <w:instrText xml:space="preserve"> SEQ Table \* ARABIC </w:instrText>
      </w:r>
      <w:r>
        <w:fldChar w:fldCharType="separate"/>
      </w:r>
      <w:r w:rsidR="00351083">
        <w:rPr>
          <w:noProof/>
        </w:rPr>
        <w:t>6</w:t>
      </w:r>
      <w:r>
        <w:fldChar w:fldCharType="end"/>
      </w:r>
      <w:r>
        <w:t xml:space="preserve"> </w:t>
      </w:r>
      <w:r w:rsidR="00360EE8">
        <w:t xml:space="preserve">Measure </w:t>
      </w:r>
      <w:r w:rsidR="00360EE8" w:rsidRPr="006E39CE">
        <w:t>IG</w:t>
      </w:r>
      <w:r w:rsidR="00360EE8">
        <w:t>-07</w:t>
      </w:r>
      <w:bookmarkEnd w:id="61"/>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595257" w:rsidRPr="00D83317" w14:paraId="14D2CB37" w14:textId="77777777" w:rsidTr="006E39CE">
        <w:trPr>
          <w:tblHeader/>
        </w:trPr>
        <w:tc>
          <w:tcPr>
            <w:tcW w:w="1014" w:type="pct"/>
            <w:shd w:val="clear" w:color="auto" w:fill="F2F2F2" w:themeFill="background1" w:themeFillShade="F2"/>
          </w:tcPr>
          <w:p w14:paraId="522527A5" w14:textId="77777777" w:rsidR="00595257" w:rsidRPr="001C2168" w:rsidRDefault="00595257" w:rsidP="00981397">
            <w:pPr>
              <w:pStyle w:val="TableHeading"/>
            </w:pPr>
            <w:bookmarkStart w:id="62" w:name="RowTitle_IG_07"/>
            <w:bookmarkEnd w:id="62"/>
            <w:r w:rsidRPr="001C2168">
              <w:t>Measure IG-07</w:t>
            </w:r>
          </w:p>
        </w:tc>
        <w:tc>
          <w:tcPr>
            <w:tcW w:w="3986" w:type="pct"/>
            <w:shd w:val="clear" w:color="auto" w:fill="F2F2F2" w:themeFill="background1" w:themeFillShade="F2"/>
          </w:tcPr>
          <w:p w14:paraId="766ED448" w14:textId="77777777" w:rsidR="00595257" w:rsidRPr="001C2168" w:rsidRDefault="00595257" w:rsidP="00981397">
            <w:pPr>
              <w:pStyle w:val="TableText"/>
            </w:pPr>
            <w:r w:rsidRPr="001C2168">
              <w:t>Increase in the number of electronic certificates for export issued (moving to paperless trade).</w:t>
            </w:r>
          </w:p>
        </w:tc>
      </w:tr>
      <w:tr w:rsidR="00595257" w:rsidRPr="00D83317" w14:paraId="391864C6" w14:textId="77777777" w:rsidTr="006E39CE">
        <w:trPr>
          <w:tblHeader/>
        </w:trPr>
        <w:tc>
          <w:tcPr>
            <w:tcW w:w="1014" w:type="pct"/>
          </w:tcPr>
          <w:p w14:paraId="75CAB699" w14:textId="77777777" w:rsidR="00595257" w:rsidRPr="001C2168" w:rsidRDefault="00595257" w:rsidP="00981397">
            <w:pPr>
              <w:pStyle w:val="TableText"/>
              <w:rPr>
                <w:rStyle w:val="Strong"/>
              </w:rPr>
            </w:pPr>
            <w:r w:rsidRPr="001C2168">
              <w:rPr>
                <w:rStyle w:val="Strong"/>
              </w:rPr>
              <w:t>Measure type</w:t>
            </w:r>
          </w:p>
        </w:tc>
        <w:tc>
          <w:tcPr>
            <w:tcW w:w="3986" w:type="pct"/>
          </w:tcPr>
          <w:p w14:paraId="7CCBFF91" w14:textId="77777777" w:rsidR="00595257" w:rsidRPr="001C2168" w:rsidRDefault="00595257" w:rsidP="00981397">
            <w:pPr>
              <w:pStyle w:val="TableText"/>
            </w:pPr>
            <w:r w:rsidRPr="001C2168">
              <w:t>Effectiveness and regulatory.</w:t>
            </w:r>
          </w:p>
        </w:tc>
      </w:tr>
      <w:tr w:rsidR="00595257" w:rsidRPr="00D83317" w14:paraId="072515B2" w14:textId="77777777" w:rsidTr="006E39CE">
        <w:trPr>
          <w:tblHeader/>
        </w:trPr>
        <w:tc>
          <w:tcPr>
            <w:tcW w:w="1014" w:type="pct"/>
          </w:tcPr>
          <w:p w14:paraId="77DEC696" w14:textId="77777777" w:rsidR="00595257" w:rsidRPr="001C2168" w:rsidRDefault="00595257" w:rsidP="00981397">
            <w:pPr>
              <w:pStyle w:val="TableText"/>
              <w:rPr>
                <w:rStyle w:val="Strong"/>
                <w:highlight w:val="yellow"/>
              </w:rPr>
            </w:pPr>
            <w:r w:rsidRPr="001C2168">
              <w:rPr>
                <w:rStyle w:val="Strong"/>
              </w:rPr>
              <w:t>Target</w:t>
            </w:r>
          </w:p>
        </w:tc>
        <w:tc>
          <w:tcPr>
            <w:tcW w:w="3986" w:type="pct"/>
            <w:tcBorders>
              <w:bottom w:val="single" w:sz="4" w:space="0" w:color="auto"/>
            </w:tcBorders>
          </w:tcPr>
          <w:p w14:paraId="38754D59" w14:textId="77777777" w:rsidR="00595257" w:rsidRPr="001C2168" w:rsidRDefault="00595257" w:rsidP="00981397">
            <w:pPr>
              <w:pStyle w:val="TableText"/>
            </w:pPr>
            <w:r w:rsidRPr="001C2168">
              <w:t xml:space="preserve">Plus 2.5% of the final 2022–23 </w:t>
            </w:r>
            <w:proofErr w:type="spellStart"/>
            <w:r w:rsidRPr="001C2168">
              <w:t>eCert</w:t>
            </w:r>
            <w:proofErr w:type="spellEnd"/>
            <w:r w:rsidRPr="001C2168">
              <w:t xml:space="preserve"> number (61,237).</w:t>
            </w:r>
          </w:p>
        </w:tc>
      </w:tr>
      <w:tr w:rsidR="00595257" w:rsidRPr="00D83317" w14:paraId="27D3F4BE" w14:textId="77777777" w:rsidTr="006E39CE">
        <w:trPr>
          <w:tblHeader/>
        </w:trPr>
        <w:tc>
          <w:tcPr>
            <w:tcW w:w="1014" w:type="pct"/>
            <w:vMerge w:val="restart"/>
          </w:tcPr>
          <w:p w14:paraId="34BDF048" w14:textId="6E0C661E" w:rsidR="00595257" w:rsidRPr="001C2168" w:rsidRDefault="001459C6" w:rsidP="00981397">
            <w:pPr>
              <w:pStyle w:val="TableText"/>
              <w:rPr>
                <w:rStyle w:val="Strong"/>
              </w:rPr>
            </w:pPr>
            <w:r>
              <w:rPr>
                <w:rStyle w:val="Strong"/>
              </w:rPr>
              <w:t>Sources</w:t>
            </w:r>
          </w:p>
        </w:tc>
        <w:tc>
          <w:tcPr>
            <w:tcW w:w="3986" w:type="pct"/>
            <w:tcBorders>
              <w:bottom w:val="dotted" w:sz="4" w:space="0" w:color="auto"/>
            </w:tcBorders>
          </w:tcPr>
          <w:p w14:paraId="75B7D0D8" w14:textId="77777777" w:rsidR="00595257" w:rsidRPr="001C2168" w:rsidRDefault="00595257" w:rsidP="00981397">
            <w:pPr>
              <w:pStyle w:val="TableText"/>
              <w:rPr>
                <w:rStyle w:val="Emphasis"/>
              </w:rPr>
            </w:pPr>
            <w:r w:rsidRPr="001C2168">
              <w:rPr>
                <w:rStyle w:val="Emphasis"/>
              </w:rPr>
              <w:t>Corporate Plan 2023–24.</w:t>
            </w:r>
          </w:p>
        </w:tc>
      </w:tr>
      <w:tr w:rsidR="00595257" w:rsidRPr="00D83317" w14:paraId="4DC58202" w14:textId="77777777" w:rsidTr="006E39CE">
        <w:trPr>
          <w:tblHeader/>
        </w:trPr>
        <w:tc>
          <w:tcPr>
            <w:tcW w:w="1014" w:type="pct"/>
            <w:vMerge/>
          </w:tcPr>
          <w:p w14:paraId="0960E3AF" w14:textId="77777777" w:rsidR="00595257" w:rsidRPr="001C2168" w:rsidRDefault="00595257" w:rsidP="00981397">
            <w:pPr>
              <w:pStyle w:val="TableText"/>
              <w:rPr>
                <w:rStyle w:val="Strong"/>
              </w:rPr>
            </w:pPr>
          </w:p>
        </w:tc>
        <w:tc>
          <w:tcPr>
            <w:tcW w:w="3986" w:type="pct"/>
            <w:tcBorders>
              <w:top w:val="dotted" w:sz="4" w:space="0" w:color="auto"/>
            </w:tcBorders>
          </w:tcPr>
          <w:p w14:paraId="650B6F10" w14:textId="77777777" w:rsidR="00595257" w:rsidRPr="001C2168" w:rsidRDefault="00595257" w:rsidP="00981397">
            <w:pPr>
              <w:pStyle w:val="TableText"/>
              <w:rPr>
                <w:rStyle w:val="Emphasis"/>
              </w:rPr>
            </w:pPr>
            <w:r w:rsidRPr="001C2168">
              <w:rPr>
                <w:rStyle w:val="Emphasis"/>
              </w:rPr>
              <w:t>Portfolio Budget Statements 2023–24.</w:t>
            </w:r>
          </w:p>
          <w:p w14:paraId="02B0A563" w14:textId="77777777" w:rsidR="00595257" w:rsidRPr="001C2168" w:rsidRDefault="00595257" w:rsidP="00981397">
            <w:pPr>
              <w:pStyle w:val="TableText"/>
              <w:rPr>
                <w:rStyle w:val="Emphasis"/>
                <w:i w:val="0"/>
                <w:iCs w:val="0"/>
              </w:rPr>
            </w:pPr>
            <w:r w:rsidRPr="001C2168">
              <w:rPr>
                <w:rStyle w:val="Emphasis"/>
                <w:i w:val="0"/>
                <w:iCs w:val="0"/>
              </w:rPr>
              <w:t>Programs: 1.13</w:t>
            </w:r>
          </w:p>
        </w:tc>
      </w:tr>
      <w:tr w:rsidR="001459C6" w:rsidRPr="00D83317" w14:paraId="0480E7F2" w14:textId="77777777" w:rsidTr="006E39CE">
        <w:trPr>
          <w:trHeight w:val="70"/>
          <w:tblHeader/>
        </w:trPr>
        <w:tc>
          <w:tcPr>
            <w:tcW w:w="1014" w:type="pct"/>
          </w:tcPr>
          <w:p w14:paraId="0B402C60" w14:textId="16A873DF" w:rsidR="001459C6" w:rsidRPr="001C2168" w:rsidRDefault="001459C6" w:rsidP="00981397">
            <w:pPr>
              <w:pStyle w:val="TableText"/>
              <w:rPr>
                <w:rStyle w:val="Strong"/>
              </w:rPr>
            </w:pPr>
            <w:r>
              <w:rPr>
                <w:rStyle w:val="Strong"/>
              </w:rPr>
              <w:t>Result</w:t>
            </w:r>
          </w:p>
        </w:tc>
        <w:tc>
          <w:tcPr>
            <w:tcW w:w="3986" w:type="pct"/>
          </w:tcPr>
          <w:p w14:paraId="37F31BDE" w14:textId="4ACA18E3" w:rsidR="001459C6" w:rsidRPr="001C2168" w:rsidRDefault="001459C6" w:rsidP="00981397">
            <w:pPr>
              <w:pStyle w:val="TableText"/>
            </w:pPr>
            <w:r>
              <w:t>Achieved – 21.9% increase in the number of electronic certificates issued for export (74,661 in 2023</w:t>
            </w:r>
            <w:r w:rsidR="006F5BD3">
              <w:t>–</w:t>
            </w:r>
            <w:r>
              <w:t>24 compared with 61,237 in 2022</w:t>
            </w:r>
            <w:r w:rsidR="006F5BD3">
              <w:t>–</w:t>
            </w:r>
            <w:r>
              <w:t>23).</w:t>
            </w:r>
          </w:p>
        </w:tc>
      </w:tr>
      <w:tr w:rsidR="00595257" w:rsidRPr="00D83317" w14:paraId="51C3DF6B" w14:textId="77777777" w:rsidTr="006E39CE">
        <w:trPr>
          <w:trHeight w:val="70"/>
          <w:tblHeader/>
        </w:trPr>
        <w:tc>
          <w:tcPr>
            <w:tcW w:w="1014" w:type="pct"/>
          </w:tcPr>
          <w:p w14:paraId="2D1965AA" w14:textId="77777777" w:rsidR="00595257" w:rsidRPr="001C2168" w:rsidRDefault="00595257" w:rsidP="00981397">
            <w:pPr>
              <w:pStyle w:val="TableText"/>
              <w:rPr>
                <w:rStyle w:val="Strong"/>
              </w:rPr>
            </w:pPr>
            <w:r w:rsidRPr="001C2168">
              <w:rPr>
                <w:rStyle w:val="Strong"/>
              </w:rPr>
              <w:t>Tolerances</w:t>
            </w:r>
          </w:p>
        </w:tc>
        <w:tc>
          <w:tcPr>
            <w:tcW w:w="3986" w:type="pct"/>
          </w:tcPr>
          <w:p w14:paraId="425DFA8E" w14:textId="77777777" w:rsidR="00595257" w:rsidRPr="001C2168" w:rsidRDefault="00595257" w:rsidP="00981397">
            <w:pPr>
              <w:pStyle w:val="TableText"/>
            </w:pPr>
            <w:r w:rsidRPr="001C2168">
              <w:t>Achieved: 100%.</w:t>
            </w:r>
          </w:p>
          <w:p w14:paraId="2A620496" w14:textId="77777777" w:rsidR="00595257" w:rsidRPr="001C2168" w:rsidRDefault="00595257" w:rsidP="00981397">
            <w:pPr>
              <w:pStyle w:val="TableText"/>
            </w:pPr>
            <w:r w:rsidRPr="001C2168">
              <w:t>Partially achieved: 50% to 99%.</w:t>
            </w:r>
          </w:p>
          <w:p w14:paraId="0D56B0A8" w14:textId="77777777" w:rsidR="00595257" w:rsidRPr="001C2168" w:rsidRDefault="00595257" w:rsidP="00981397">
            <w:pPr>
              <w:pStyle w:val="TableText"/>
            </w:pPr>
            <w:r w:rsidRPr="001C2168">
              <w:t>Not achieved: 0% to 49%.</w:t>
            </w:r>
          </w:p>
        </w:tc>
      </w:tr>
    </w:tbl>
    <w:p w14:paraId="625EE329" w14:textId="3B887DD9" w:rsidR="00595257" w:rsidRDefault="00595257" w:rsidP="00962E4F">
      <w:pPr>
        <w:pStyle w:val="FigureTableNoteSource"/>
        <w:sectPr w:rsidR="00595257" w:rsidSect="00595257">
          <w:pgSz w:w="11906" w:h="16838"/>
          <w:pgMar w:top="1418" w:right="1418" w:bottom="1418" w:left="1418" w:header="567" w:footer="283" w:gutter="0"/>
          <w:pgNumType w:start="1"/>
          <w:cols w:space="708"/>
          <w:docGrid w:linePitch="360"/>
        </w:sectPr>
      </w:pPr>
      <w:r w:rsidRPr="0021106F">
        <w:t xml:space="preserve">For a complete picture of </w:t>
      </w:r>
      <w:r w:rsidRPr="00431124">
        <w:t xml:space="preserve">our performance, see page </w:t>
      </w:r>
      <w:r w:rsidR="009F549B">
        <w:t>14</w:t>
      </w:r>
      <w:r w:rsidRPr="00431124">
        <w:t xml:space="preserve"> of the </w:t>
      </w:r>
      <w:hyperlink r:id="rId30" w:history="1">
        <w:r w:rsidR="009F549B" w:rsidRPr="00726370">
          <w:rPr>
            <w:rStyle w:val="Hyperlink"/>
          </w:rPr>
          <w:t>Annual report 2023–24</w:t>
        </w:r>
      </w:hyperlink>
      <w:r>
        <w:t>.</w:t>
      </w:r>
    </w:p>
    <w:p w14:paraId="0A52F2CE" w14:textId="79E09005" w:rsidR="0021106F" w:rsidRDefault="0021106F" w:rsidP="00595257">
      <w:pPr>
        <w:pStyle w:val="Heading2"/>
        <w:numPr>
          <w:ilvl w:val="0"/>
          <w:numId w:val="0"/>
        </w:numPr>
        <w:ind w:left="720" w:hanging="720"/>
      </w:pPr>
      <w:bookmarkStart w:id="63" w:name="_Toc181704938"/>
      <w:r w:rsidRPr="0021106F">
        <w:lastRenderedPageBreak/>
        <w:t>Appendix A: Divisional functions</w:t>
      </w:r>
      <w:bookmarkEnd w:id="63"/>
    </w:p>
    <w:p w14:paraId="5AF18F99" w14:textId="6C4BF478" w:rsidR="0021106F" w:rsidRDefault="0021106F" w:rsidP="0021106F">
      <w:pPr>
        <w:pStyle w:val="Caption"/>
      </w:pPr>
      <w:bookmarkStart w:id="64" w:name="_Toc181704924"/>
      <w:bookmarkEnd w:id="48"/>
      <w:bookmarkEnd w:id="49"/>
      <w:r w:rsidRPr="0021106F">
        <w:t>Table A</w:t>
      </w:r>
      <w:r w:rsidR="00E82999">
        <w:rPr>
          <w:noProof/>
        </w:rPr>
        <w:fldChar w:fldCharType="begin"/>
      </w:r>
      <w:r w:rsidR="00E82999">
        <w:rPr>
          <w:noProof/>
        </w:rPr>
        <w:instrText xml:space="preserve"> SEQ Table_A \* ARABIC </w:instrText>
      </w:r>
      <w:r w:rsidR="00E82999">
        <w:rPr>
          <w:noProof/>
        </w:rPr>
        <w:fldChar w:fldCharType="separate"/>
      </w:r>
      <w:r w:rsidR="00351083">
        <w:rPr>
          <w:noProof/>
        </w:rPr>
        <w:t>1</w:t>
      </w:r>
      <w:r w:rsidR="00E82999">
        <w:rPr>
          <w:noProof/>
        </w:rPr>
        <w:fldChar w:fldCharType="end"/>
      </w:r>
      <w:r w:rsidR="00E82999">
        <w:rPr>
          <w:noProof/>
        </w:rPr>
        <w:t xml:space="preserve"> </w:t>
      </w:r>
      <w:r w:rsidRPr="0021106F">
        <w:t xml:space="preserve">Additional information on </w:t>
      </w:r>
      <w:r w:rsidR="00BD3A80">
        <w:t>d</w:t>
      </w:r>
      <w:r w:rsidRPr="0021106F">
        <w:t>ivisional functions</w:t>
      </w:r>
      <w:bookmarkEnd w:id="64"/>
    </w:p>
    <w:tbl>
      <w:tblPr>
        <w:tblW w:w="5000" w:type="pct"/>
        <w:tblBorders>
          <w:top w:val="single" w:sz="6" w:space="0" w:color="auto"/>
          <w:bottom w:val="single" w:sz="4" w:space="0" w:color="auto"/>
          <w:insideH w:val="single" w:sz="4" w:space="0" w:color="auto"/>
        </w:tblBorders>
        <w:tblLook w:val="0000" w:firstRow="0" w:lastRow="0" w:firstColumn="0" w:lastColumn="0" w:noHBand="0" w:noVBand="0"/>
      </w:tblPr>
      <w:tblGrid>
        <w:gridCol w:w="3397"/>
        <w:gridCol w:w="3386"/>
        <w:gridCol w:w="7219"/>
      </w:tblGrid>
      <w:tr w:rsidR="0021106F" w:rsidRPr="003C3B86" w14:paraId="11F02DBB" w14:textId="77777777" w:rsidTr="006E39CE">
        <w:trPr>
          <w:cantSplit/>
          <w:tblHeader/>
        </w:trPr>
        <w:tc>
          <w:tcPr>
            <w:tcW w:w="1213" w:type="pct"/>
          </w:tcPr>
          <w:p w14:paraId="001EC61D" w14:textId="77777777" w:rsidR="0021106F" w:rsidRPr="003C3B86" w:rsidRDefault="0021106F" w:rsidP="002A04FD">
            <w:pPr>
              <w:pStyle w:val="TableHeading"/>
            </w:pPr>
            <w:bookmarkStart w:id="65" w:name="Title_A1"/>
            <w:bookmarkEnd w:id="65"/>
            <w:r w:rsidRPr="003C3B86">
              <w:t>Group</w:t>
            </w:r>
          </w:p>
        </w:tc>
        <w:tc>
          <w:tcPr>
            <w:tcW w:w="1209" w:type="pct"/>
            <w:tcMar>
              <w:left w:w="108" w:type="dxa"/>
              <w:right w:w="108" w:type="dxa"/>
            </w:tcMar>
          </w:tcPr>
          <w:p w14:paraId="37A2FEBB" w14:textId="77777777" w:rsidR="0021106F" w:rsidRPr="003C3B86" w:rsidRDefault="0021106F" w:rsidP="002A04FD">
            <w:pPr>
              <w:pStyle w:val="TableHeading"/>
            </w:pPr>
            <w:r w:rsidRPr="003C3B86">
              <w:t>Division</w:t>
            </w:r>
          </w:p>
        </w:tc>
        <w:tc>
          <w:tcPr>
            <w:tcW w:w="2578" w:type="pct"/>
            <w:tcMar>
              <w:left w:w="108" w:type="dxa"/>
              <w:right w:w="108" w:type="dxa"/>
            </w:tcMar>
          </w:tcPr>
          <w:p w14:paraId="03132E9F" w14:textId="1018B43A" w:rsidR="0021106F" w:rsidRPr="003C3B86" w:rsidRDefault="0021106F" w:rsidP="002A04FD">
            <w:pPr>
              <w:pStyle w:val="TableHeading"/>
            </w:pPr>
            <w:r w:rsidRPr="003C3B86">
              <w:t xml:space="preserve">Description of </w:t>
            </w:r>
            <w:r w:rsidR="00BB72F2">
              <w:t>a</w:t>
            </w:r>
            <w:r w:rsidRPr="003C3B86">
              <w:t>ctivities</w:t>
            </w:r>
          </w:p>
        </w:tc>
      </w:tr>
      <w:tr w:rsidR="0021106F" w:rsidRPr="003C3B86" w14:paraId="6C078717" w14:textId="77777777" w:rsidTr="006E39CE">
        <w:tc>
          <w:tcPr>
            <w:tcW w:w="1213" w:type="pct"/>
            <w:vMerge w:val="restart"/>
          </w:tcPr>
          <w:p w14:paraId="4617199B" w14:textId="77777777" w:rsidR="0021106F" w:rsidRPr="00E34818" w:rsidRDefault="0021106F" w:rsidP="002A04FD">
            <w:pPr>
              <w:pStyle w:val="TableText"/>
              <w:rPr>
                <w:rStyle w:val="Strong"/>
              </w:rPr>
            </w:pPr>
            <w:r w:rsidRPr="00E34818">
              <w:rPr>
                <w:rStyle w:val="Strong"/>
              </w:rPr>
              <w:t>Agricultural Trade Group</w:t>
            </w:r>
          </w:p>
        </w:tc>
        <w:tc>
          <w:tcPr>
            <w:tcW w:w="1209" w:type="pct"/>
            <w:tcMar>
              <w:left w:w="108" w:type="dxa"/>
              <w:right w:w="108" w:type="dxa"/>
            </w:tcMar>
          </w:tcPr>
          <w:p w14:paraId="7F3E2267" w14:textId="77777777" w:rsidR="0021106F" w:rsidRPr="004D4495" w:rsidRDefault="0021106F" w:rsidP="002A04FD">
            <w:pPr>
              <w:pStyle w:val="TableText"/>
            </w:pPr>
            <w:r w:rsidRPr="004D4495">
              <w:t>Trade and International Division</w:t>
            </w:r>
          </w:p>
        </w:tc>
        <w:tc>
          <w:tcPr>
            <w:tcW w:w="2578" w:type="pct"/>
            <w:tcMar>
              <w:left w:w="108" w:type="dxa"/>
              <w:right w:w="108" w:type="dxa"/>
            </w:tcMar>
          </w:tcPr>
          <w:p w14:paraId="4E9CAF8D" w14:textId="720C6368" w:rsidR="0021106F" w:rsidRPr="003C3B86" w:rsidRDefault="0060210C" w:rsidP="00BB72F2">
            <w:pPr>
              <w:pStyle w:val="TableText"/>
            </w:pPr>
            <w:r>
              <w:t>E</w:t>
            </w:r>
            <w:r w:rsidR="0021106F" w:rsidRPr="003C3B86">
              <w:t>ngages in bilateral, regional and multilateral opportunities to advance Australia’s agriculture trade and international diplomatic interests. Pursue agricultural trade and market access through multilateral negotiations, high-level bilateral meetings and counsellor network engagement and negotiations with trading partners. Invest in the department’s culture and capability</w:t>
            </w:r>
            <w:r w:rsidR="00BB72F2">
              <w:t xml:space="preserve"> </w:t>
            </w:r>
            <w:r w:rsidR="0021106F" w:rsidRPr="003C3B86">
              <w:t>to deliver policies and initiatives reflecting international interest.</w:t>
            </w:r>
          </w:p>
        </w:tc>
      </w:tr>
      <w:tr w:rsidR="0021106F" w:rsidRPr="003C3B86" w14:paraId="2C82C648" w14:textId="77777777" w:rsidTr="006E39CE">
        <w:tc>
          <w:tcPr>
            <w:tcW w:w="1213" w:type="pct"/>
            <w:vMerge/>
          </w:tcPr>
          <w:p w14:paraId="77D67982" w14:textId="77777777" w:rsidR="0021106F" w:rsidRPr="00E34818" w:rsidRDefault="0021106F" w:rsidP="002A04FD">
            <w:pPr>
              <w:pStyle w:val="TableText"/>
            </w:pPr>
          </w:p>
        </w:tc>
        <w:tc>
          <w:tcPr>
            <w:tcW w:w="1209" w:type="pct"/>
            <w:tcMar>
              <w:left w:w="108" w:type="dxa"/>
              <w:right w:w="108" w:type="dxa"/>
            </w:tcMar>
          </w:tcPr>
          <w:p w14:paraId="7A006FAD" w14:textId="77777777" w:rsidR="0021106F" w:rsidRPr="004D4495" w:rsidRDefault="0021106F" w:rsidP="002A04FD">
            <w:pPr>
              <w:pStyle w:val="TableText"/>
            </w:pPr>
            <w:r w:rsidRPr="004D4495">
              <w:t>Exports and Veterinary Services</w:t>
            </w:r>
          </w:p>
        </w:tc>
        <w:tc>
          <w:tcPr>
            <w:tcW w:w="2578" w:type="pct"/>
            <w:tcMar>
              <w:left w:w="108" w:type="dxa"/>
              <w:right w:w="108" w:type="dxa"/>
            </w:tcMar>
          </w:tcPr>
          <w:p w14:paraId="7DC93EFF" w14:textId="40773325" w:rsidR="0021106F" w:rsidRPr="003C3B86" w:rsidRDefault="0021106F" w:rsidP="002A04FD">
            <w:pPr>
              <w:pStyle w:val="TableText"/>
            </w:pPr>
            <w:r w:rsidRPr="003C3B86">
              <w:t>Manage export inspection, audit and certification services for food, non-food commodities and live animal operations. Negotiate technical markets access for food and non-food commodities. Manage agricultural quotas negotiated under Free trade agreements and lead Australia’s positions at the Codex Alimentarius Commission for international food standards</w:t>
            </w:r>
            <w:r w:rsidR="00BB72F2">
              <w:t>.</w:t>
            </w:r>
          </w:p>
        </w:tc>
      </w:tr>
      <w:tr w:rsidR="0021106F" w:rsidRPr="003C3B86" w14:paraId="05E14BED" w14:textId="77777777" w:rsidTr="006E39CE">
        <w:tc>
          <w:tcPr>
            <w:tcW w:w="1213" w:type="pct"/>
            <w:vMerge/>
          </w:tcPr>
          <w:p w14:paraId="2FFD858F" w14:textId="77777777" w:rsidR="0021106F" w:rsidRPr="00E34818" w:rsidRDefault="0021106F" w:rsidP="002A04FD">
            <w:pPr>
              <w:pStyle w:val="TableText"/>
            </w:pPr>
          </w:p>
        </w:tc>
        <w:tc>
          <w:tcPr>
            <w:tcW w:w="1209" w:type="pct"/>
            <w:tcMar>
              <w:left w:w="108" w:type="dxa"/>
              <w:right w:w="108" w:type="dxa"/>
            </w:tcMar>
          </w:tcPr>
          <w:p w14:paraId="2BF98AC7" w14:textId="77777777" w:rsidR="0021106F" w:rsidRPr="004D4495" w:rsidRDefault="0021106F" w:rsidP="002A04FD">
            <w:pPr>
              <w:pStyle w:val="TableText"/>
            </w:pPr>
            <w:r w:rsidRPr="004D4495">
              <w:t>Digital Business</w:t>
            </w:r>
          </w:p>
        </w:tc>
        <w:tc>
          <w:tcPr>
            <w:tcW w:w="2578" w:type="pct"/>
            <w:tcMar>
              <w:left w:w="108" w:type="dxa"/>
              <w:right w:w="108" w:type="dxa"/>
            </w:tcMar>
          </w:tcPr>
          <w:p w14:paraId="1F4DC73E" w14:textId="77777777" w:rsidR="0021106F" w:rsidRPr="003C3B86" w:rsidRDefault="0021106F" w:rsidP="002A04FD">
            <w:pPr>
              <w:pStyle w:val="TableText"/>
            </w:pPr>
            <w:r w:rsidRPr="003C3B86">
              <w:t xml:space="preserve">The Digital </w:t>
            </w:r>
            <w:r>
              <w:t>Business</w:t>
            </w:r>
            <w:r w:rsidRPr="003C3B86">
              <w:t xml:space="preserve"> Division is leading the digital transformation of Australia’s agricultural export systems to help get produce to the market faster and cheaper while maintaining the levels of quality that makes Australia’s exports world class. Working closely with business teams across the Agriculture Trade Group and across government, they are delivering digital reform by streamlining, improving and overhauling the export experience and internal agency processes. These enhancements will allow digital interaction with the agency and reduce regulatory and cost burden for Australian agricultural exporters.</w:t>
            </w:r>
          </w:p>
        </w:tc>
      </w:tr>
      <w:tr w:rsidR="0021106F" w:rsidRPr="003C3B86" w14:paraId="3420B717" w14:textId="77777777" w:rsidTr="006E39CE">
        <w:tc>
          <w:tcPr>
            <w:tcW w:w="1213" w:type="pct"/>
            <w:vMerge/>
          </w:tcPr>
          <w:p w14:paraId="2F2A71A1" w14:textId="77777777" w:rsidR="0021106F" w:rsidRPr="003C3B86" w:rsidRDefault="0021106F" w:rsidP="002A04FD">
            <w:pPr>
              <w:pStyle w:val="TableText"/>
            </w:pPr>
          </w:p>
        </w:tc>
        <w:tc>
          <w:tcPr>
            <w:tcW w:w="1209" w:type="pct"/>
            <w:tcMar>
              <w:left w:w="108" w:type="dxa"/>
              <w:right w:w="108" w:type="dxa"/>
            </w:tcMar>
          </w:tcPr>
          <w:p w14:paraId="0A55FF9D" w14:textId="77777777" w:rsidR="0021106F" w:rsidRPr="004D4495" w:rsidRDefault="0021106F" w:rsidP="002A04FD">
            <w:pPr>
              <w:pStyle w:val="TableText"/>
            </w:pPr>
            <w:r w:rsidRPr="004D4495">
              <w:t>Plant and Live Animal Exports, Welfare and Regulation</w:t>
            </w:r>
          </w:p>
        </w:tc>
        <w:tc>
          <w:tcPr>
            <w:tcW w:w="2578" w:type="pct"/>
            <w:tcMar>
              <w:left w:w="108" w:type="dxa"/>
              <w:right w:w="108" w:type="dxa"/>
            </w:tcMar>
          </w:tcPr>
          <w:p w14:paraId="203BE083" w14:textId="71DBDC00" w:rsidR="0021106F" w:rsidRPr="003C3B86" w:rsidRDefault="00915115" w:rsidP="002A04FD">
            <w:pPr>
              <w:pStyle w:val="TableText"/>
            </w:pPr>
            <w:r>
              <w:t>S</w:t>
            </w:r>
            <w:r w:rsidR="00955C18" w:rsidRPr="0016170E">
              <w:t xml:space="preserve">upports Australian agriculture industries and the government </w:t>
            </w:r>
            <w:r w:rsidR="00955C18" w:rsidRPr="00915115">
              <w:t>through export regulatory integrity assurance, export assessment services, food market access, certification management group, development of animal welfare policy for export and domestic issues; management of policy, operations and certification for the export of live animals, animal</w:t>
            </w:r>
            <w:r w:rsidR="00955C18" w:rsidRPr="0016170E">
              <w:t xml:space="preserve"> reproductive material, plants, and plant products; management of the government priority to phase out live sheep exports; and foster</w:t>
            </w:r>
            <w:r>
              <w:t>ing</w:t>
            </w:r>
            <w:r w:rsidR="00955C18" w:rsidRPr="0016170E">
              <w:t xml:space="preserve"> regulatory stewardship across the export related functions.</w:t>
            </w:r>
          </w:p>
        </w:tc>
      </w:tr>
      <w:tr w:rsidR="0021106F" w:rsidRPr="003C3B86" w14:paraId="4D78AF9D" w14:textId="77777777" w:rsidTr="006E39CE">
        <w:tc>
          <w:tcPr>
            <w:tcW w:w="1213" w:type="pct"/>
            <w:vMerge w:val="restart"/>
          </w:tcPr>
          <w:p w14:paraId="661CBB5B" w14:textId="77777777" w:rsidR="0021106F" w:rsidRPr="003C3B86" w:rsidRDefault="0021106F" w:rsidP="002A04FD">
            <w:pPr>
              <w:pStyle w:val="TableText"/>
              <w:rPr>
                <w:rStyle w:val="Strong"/>
              </w:rPr>
            </w:pPr>
            <w:r w:rsidRPr="003C3B86">
              <w:rPr>
                <w:rStyle w:val="Strong"/>
              </w:rPr>
              <w:t>Biosecurity, Operations and Compliance Group</w:t>
            </w:r>
          </w:p>
        </w:tc>
        <w:tc>
          <w:tcPr>
            <w:tcW w:w="1209" w:type="pct"/>
            <w:tcMar>
              <w:left w:w="108" w:type="dxa"/>
              <w:right w:w="108" w:type="dxa"/>
            </w:tcMar>
          </w:tcPr>
          <w:p w14:paraId="774C6F44" w14:textId="77777777" w:rsidR="0021106F" w:rsidRPr="004D4495" w:rsidRDefault="0021106F" w:rsidP="002A04FD">
            <w:pPr>
              <w:pStyle w:val="TableText"/>
            </w:pPr>
            <w:r w:rsidRPr="004D4495">
              <w:t>Biosecurity Plant and Science Services</w:t>
            </w:r>
          </w:p>
        </w:tc>
        <w:tc>
          <w:tcPr>
            <w:tcW w:w="2578" w:type="pct"/>
            <w:tcMar>
              <w:left w:w="108" w:type="dxa"/>
              <w:right w:w="108" w:type="dxa"/>
            </w:tcMar>
          </w:tcPr>
          <w:p w14:paraId="4A558268" w14:textId="77777777" w:rsidR="0021106F" w:rsidRPr="003C3B86" w:rsidRDefault="0021106F" w:rsidP="002A04FD">
            <w:pPr>
              <w:pStyle w:val="TableText"/>
            </w:pPr>
            <w:r w:rsidRPr="003C3B86">
              <w:t>Safeguarding Australia’s plant health stats to achieve, maintain and expand access to overseas markets, while protecting the economy and environment from biosecurity risks on imports. The Division provides scientific analysis and technical advice, regulates the safe imports of plants and plant products, conducts surveillance, diagnostics and response activities, and provides quarantine services at the world class Post Entry Quarantine facility at Mickleham. Our technical expertise is called upon for a range of national and international purposes including international capability building and standard setting.</w:t>
            </w:r>
          </w:p>
        </w:tc>
      </w:tr>
      <w:tr w:rsidR="0021106F" w:rsidRPr="003C3B86" w14:paraId="69B91006" w14:textId="77777777" w:rsidTr="006E39CE">
        <w:tc>
          <w:tcPr>
            <w:tcW w:w="1213" w:type="pct"/>
            <w:vMerge/>
          </w:tcPr>
          <w:p w14:paraId="29F60017" w14:textId="77777777" w:rsidR="0021106F" w:rsidRPr="003C3B86" w:rsidRDefault="0021106F" w:rsidP="002A04FD">
            <w:pPr>
              <w:pStyle w:val="TableText"/>
            </w:pPr>
          </w:p>
        </w:tc>
        <w:tc>
          <w:tcPr>
            <w:tcW w:w="1209" w:type="pct"/>
            <w:tcMar>
              <w:left w:w="108" w:type="dxa"/>
              <w:right w:w="108" w:type="dxa"/>
            </w:tcMar>
          </w:tcPr>
          <w:p w14:paraId="5D6E34F7" w14:textId="77777777" w:rsidR="0021106F" w:rsidRPr="004D4495" w:rsidRDefault="0021106F" w:rsidP="002A04FD">
            <w:pPr>
              <w:pStyle w:val="TableText"/>
            </w:pPr>
            <w:r w:rsidRPr="004D4495">
              <w:t>Compliance and Enforcement</w:t>
            </w:r>
          </w:p>
        </w:tc>
        <w:tc>
          <w:tcPr>
            <w:tcW w:w="2578" w:type="pct"/>
            <w:tcMar>
              <w:left w:w="108" w:type="dxa"/>
              <w:right w:w="108" w:type="dxa"/>
            </w:tcMar>
          </w:tcPr>
          <w:p w14:paraId="67F2D3ED" w14:textId="77777777" w:rsidR="0021106F" w:rsidRPr="003C3B86" w:rsidRDefault="0021106F" w:rsidP="002A04FD">
            <w:pPr>
              <w:pStyle w:val="TableText"/>
            </w:pPr>
            <w:r w:rsidRPr="003C3B86">
              <w:t>Delivers regulatory outcomes that protect Australia from risks to our biosecurity and trade systems. Informed by both science and intelligence we set controls and deliver assurance activities to increase compliance with legislation; and respond appropriately and proportionately to any breaches. We work with internal and external stakeholders across the regulatory continuum responding to known and emerging risks to safeguard Australia’s agriculture, economy, trade and way of life.</w:t>
            </w:r>
          </w:p>
        </w:tc>
      </w:tr>
      <w:tr w:rsidR="0021106F" w:rsidRPr="003C3B86" w14:paraId="4C5D491E" w14:textId="77777777" w:rsidTr="006E39CE">
        <w:tc>
          <w:tcPr>
            <w:tcW w:w="1213" w:type="pct"/>
            <w:vMerge/>
          </w:tcPr>
          <w:p w14:paraId="7BA8A9B7" w14:textId="77777777" w:rsidR="0021106F" w:rsidRPr="003C3B86" w:rsidRDefault="0021106F" w:rsidP="002A04FD">
            <w:pPr>
              <w:pStyle w:val="TableText"/>
            </w:pPr>
          </w:p>
        </w:tc>
        <w:tc>
          <w:tcPr>
            <w:tcW w:w="1209" w:type="pct"/>
            <w:tcMar>
              <w:left w:w="108" w:type="dxa"/>
              <w:right w:w="108" w:type="dxa"/>
            </w:tcMar>
          </w:tcPr>
          <w:p w14:paraId="1083D522" w14:textId="77777777" w:rsidR="0021106F" w:rsidRPr="004D4495" w:rsidRDefault="0021106F" w:rsidP="002A04FD">
            <w:pPr>
              <w:pStyle w:val="TableText"/>
            </w:pPr>
            <w:r w:rsidRPr="004D4495">
              <w:t>Biosecurity Operations</w:t>
            </w:r>
          </w:p>
        </w:tc>
        <w:tc>
          <w:tcPr>
            <w:tcW w:w="2578" w:type="pct"/>
            <w:tcMar>
              <w:left w:w="108" w:type="dxa"/>
              <w:right w:w="108" w:type="dxa"/>
            </w:tcMar>
          </w:tcPr>
          <w:p w14:paraId="2C943260" w14:textId="77777777" w:rsidR="0021106F" w:rsidRPr="003C3B86" w:rsidRDefault="0021106F" w:rsidP="002A04FD">
            <w:pPr>
              <w:pStyle w:val="TableText"/>
            </w:pPr>
            <w:r w:rsidRPr="003C3B86">
              <w:t>Deliver nationally integrated biosecurity and imported food regulatory activities to ensure goods, conveyances and travellers meet Australia's import requirements. Manage operational policy and front-line regulatory control setting to manage biosecurity and imported food risk. Deliver assessment, inspection, post entry quarantine, stakeholder engagement and client contact centre services. Improve the delivery of those regulatory functions.</w:t>
            </w:r>
          </w:p>
        </w:tc>
      </w:tr>
      <w:tr w:rsidR="0021106F" w:rsidRPr="003C3B86" w14:paraId="2D1C7C59" w14:textId="77777777" w:rsidTr="006E39CE">
        <w:tc>
          <w:tcPr>
            <w:tcW w:w="1213" w:type="pct"/>
            <w:vMerge w:val="restart"/>
          </w:tcPr>
          <w:p w14:paraId="31CADF3D" w14:textId="77777777" w:rsidR="0021106F" w:rsidRPr="003C3B86" w:rsidRDefault="0021106F" w:rsidP="002A04FD">
            <w:pPr>
              <w:pStyle w:val="TableText"/>
              <w:rPr>
                <w:rStyle w:val="Strong"/>
              </w:rPr>
            </w:pPr>
            <w:r w:rsidRPr="003C3B86">
              <w:rPr>
                <w:rStyle w:val="Strong"/>
              </w:rPr>
              <w:t>Strategy, Enterprise, and Engagement Group</w:t>
            </w:r>
          </w:p>
        </w:tc>
        <w:tc>
          <w:tcPr>
            <w:tcW w:w="1209" w:type="pct"/>
            <w:tcMar>
              <w:left w:w="108" w:type="dxa"/>
              <w:right w:w="108" w:type="dxa"/>
            </w:tcMar>
          </w:tcPr>
          <w:p w14:paraId="4EE2EABF" w14:textId="77777777" w:rsidR="0021106F" w:rsidRPr="004D4495" w:rsidRDefault="0021106F" w:rsidP="002A04FD">
            <w:pPr>
              <w:pStyle w:val="TableText"/>
            </w:pPr>
            <w:r w:rsidRPr="004D4495">
              <w:t>Legal</w:t>
            </w:r>
          </w:p>
        </w:tc>
        <w:tc>
          <w:tcPr>
            <w:tcW w:w="2578" w:type="pct"/>
            <w:tcMar>
              <w:left w:w="108" w:type="dxa"/>
              <w:right w:w="108" w:type="dxa"/>
            </w:tcMar>
          </w:tcPr>
          <w:p w14:paraId="72547514" w14:textId="77777777" w:rsidR="0021106F" w:rsidRPr="003C3B86" w:rsidRDefault="0021106F" w:rsidP="002A04FD">
            <w:pPr>
              <w:pStyle w:val="TableText"/>
            </w:pPr>
            <w:r w:rsidRPr="003C3B86">
              <w:t>Responsible for the provision of all legal services and advice required by the department to develop its legislation and deliver its functions.</w:t>
            </w:r>
          </w:p>
        </w:tc>
      </w:tr>
      <w:tr w:rsidR="0021106F" w:rsidRPr="003C3B86" w14:paraId="0ABB3360" w14:textId="77777777" w:rsidTr="006E39CE">
        <w:tc>
          <w:tcPr>
            <w:tcW w:w="1213" w:type="pct"/>
            <w:vMerge/>
          </w:tcPr>
          <w:p w14:paraId="38DB3461" w14:textId="77777777" w:rsidR="0021106F" w:rsidRPr="003C3B86" w:rsidRDefault="0021106F" w:rsidP="002A04FD">
            <w:pPr>
              <w:pStyle w:val="TableText"/>
            </w:pPr>
          </w:p>
        </w:tc>
        <w:tc>
          <w:tcPr>
            <w:tcW w:w="1209" w:type="pct"/>
            <w:tcMar>
              <w:left w:w="108" w:type="dxa"/>
              <w:right w:w="108" w:type="dxa"/>
            </w:tcMar>
          </w:tcPr>
          <w:p w14:paraId="4C75431B" w14:textId="77777777" w:rsidR="0021106F" w:rsidRPr="004D4495" w:rsidRDefault="0021106F" w:rsidP="002A04FD">
            <w:pPr>
              <w:pStyle w:val="TableText"/>
            </w:pPr>
            <w:r w:rsidRPr="004D4495">
              <w:t>Digital Services</w:t>
            </w:r>
          </w:p>
        </w:tc>
        <w:tc>
          <w:tcPr>
            <w:tcW w:w="2578" w:type="pct"/>
            <w:tcMar>
              <w:left w:w="108" w:type="dxa"/>
              <w:right w:w="108" w:type="dxa"/>
            </w:tcMar>
          </w:tcPr>
          <w:p w14:paraId="499C42CB" w14:textId="56C04012" w:rsidR="0021106F" w:rsidRPr="003C3B86" w:rsidRDefault="0021106F" w:rsidP="002A04FD">
            <w:pPr>
              <w:pStyle w:val="TableText"/>
            </w:pPr>
            <w:r w:rsidRPr="003C3B86">
              <w:t>Deliver high values, sustainable digital services, reduce complexity and provide secure, reusable, innovative digital services and solutions to meet business and customer needs.</w:t>
            </w:r>
          </w:p>
        </w:tc>
      </w:tr>
      <w:tr w:rsidR="0021106F" w:rsidRPr="003C3B86" w14:paraId="4F1F7103" w14:textId="77777777" w:rsidTr="006E39CE">
        <w:tc>
          <w:tcPr>
            <w:tcW w:w="1213" w:type="pct"/>
            <w:vMerge/>
          </w:tcPr>
          <w:p w14:paraId="4AAEA43E" w14:textId="77777777" w:rsidR="0021106F" w:rsidRPr="003C3B86" w:rsidRDefault="0021106F" w:rsidP="002A04FD">
            <w:pPr>
              <w:pStyle w:val="TableText"/>
            </w:pPr>
          </w:p>
        </w:tc>
        <w:tc>
          <w:tcPr>
            <w:tcW w:w="1209" w:type="pct"/>
            <w:tcMar>
              <w:left w:w="108" w:type="dxa"/>
              <w:right w:w="108" w:type="dxa"/>
            </w:tcMar>
          </w:tcPr>
          <w:p w14:paraId="28DFCB79" w14:textId="77777777" w:rsidR="0021106F" w:rsidRPr="004D4495" w:rsidRDefault="0021106F" w:rsidP="002A04FD">
            <w:pPr>
              <w:pStyle w:val="TableText"/>
            </w:pPr>
            <w:r w:rsidRPr="004D4495">
              <w:t>People, Property and Security</w:t>
            </w:r>
          </w:p>
        </w:tc>
        <w:tc>
          <w:tcPr>
            <w:tcW w:w="2578" w:type="pct"/>
            <w:tcMar>
              <w:left w:w="108" w:type="dxa"/>
              <w:right w:w="108" w:type="dxa"/>
            </w:tcMar>
          </w:tcPr>
          <w:p w14:paraId="2C8D987B" w14:textId="2EC4F07D" w:rsidR="0021106F" w:rsidRPr="003C3B86" w:rsidRDefault="0021106F" w:rsidP="002A04FD">
            <w:pPr>
              <w:pStyle w:val="TableText"/>
            </w:pPr>
            <w:r w:rsidRPr="003C3B86">
              <w:t>Support our people and leaders across the employment life cycle by enabling the effective management of people-related risk and building future ready leaders, people and culture.</w:t>
            </w:r>
          </w:p>
        </w:tc>
      </w:tr>
      <w:tr w:rsidR="0021106F" w:rsidRPr="003C3B86" w14:paraId="6D7400B6" w14:textId="77777777" w:rsidTr="006E39CE">
        <w:tc>
          <w:tcPr>
            <w:tcW w:w="1213" w:type="pct"/>
            <w:vMerge/>
          </w:tcPr>
          <w:p w14:paraId="043F6120" w14:textId="77777777" w:rsidR="0021106F" w:rsidRPr="003C3B86" w:rsidRDefault="0021106F" w:rsidP="002A04FD">
            <w:pPr>
              <w:pStyle w:val="TableText"/>
            </w:pPr>
          </w:p>
        </w:tc>
        <w:tc>
          <w:tcPr>
            <w:tcW w:w="1209" w:type="pct"/>
            <w:tcMar>
              <w:left w:w="108" w:type="dxa"/>
              <w:right w:w="108" w:type="dxa"/>
            </w:tcMar>
          </w:tcPr>
          <w:p w14:paraId="0E7DC4B9" w14:textId="77777777" w:rsidR="0021106F" w:rsidRPr="004D4495" w:rsidRDefault="0021106F" w:rsidP="002A04FD">
            <w:pPr>
              <w:pStyle w:val="TableText"/>
            </w:pPr>
            <w:r w:rsidRPr="004D4495">
              <w:t>Finance and Investment</w:t>
            </w:r>
          </w:p>
        </w:tc>
        <w:tc>
          <w:tcPr>
            <w:tcW w:w="2578" w:type="pct"/>
            <w:tcMar>
              <w:left w:w="108" w:type="dxa"/>
              <w:right w:w="108" w:type="dxa"/>
            </w:tcMar>
          </w:tcPr>
          <w:p w14:paraId="09F09440" w14:textId="11F02305" w:rsidR="0021106F" w:rsidRPr="003C3B86" w:rsidRDefault="0021106F" w:rsidP="002A04FD">
            <w:pPr>
              <w:pStyle w:val="TableText"/>
            </w:pPr>
            <w:r w:rsidRPr="003C3B86">
              <w:t xml:space="preserve">The Finance and Investment Division manages all financial activities for the department, including budgeting and reporting, policy and governance, cost recovery, spending and receiving money, debt management, grants, procurement and contract management policy advice, treasury and assets, ensuring financial compliance, payroll, credit cards and travel, </w:t>
            </w:r>
            <w:r w:rsidR="00BE53B4">
              <w:t>t</w:t>
            </w:r>
            <w:r w:rsidRPr="003C3B86">
              <w:t xml:space="preserve">he </w:t>
            </w:r>
            <w:r w:rsidR="00492A5C">
              <w:t>d</w:t>
            </w:r>
            <w:r w:rsidRPr="003C3B86">
              <w:t xml:space="preserve">ivision provides financial systems administration and delivers training to uplift financial acumen across the department, and ensures our people receive strategic financial advice through </w:t>
            </w:r>
            <w:r w:rsidR="00492A5C">
              <w:t>f</w:t>
            </w:r>
            <w:r w:rsidRPr="003C3B86">
              <w:t xml:space="preserve">inance </w:t>
            </w:r>
            <w:r w:rsidR="00492A5C">
              <w:t>b</w:t>
            </w:r>
            <w:r w:rsidRPr="003C3B86">
              <w:t xml:space="preserve">usiness </w:t>
            </w:r>
            <w:r w:rsidR="00492A5C">
              <w:t>p</w:t>
            </w:r>
            <w:r w:rsidRPr="003C3B86">
              <w:t>artners. We build value and relationships through trusted engagements and provide considered financial advice for successful management of our resourcing.</w:t>
            </w:r>
          </w:p>
        </w:tc>
      </w:tr>
      <w:tr w:rsidR="0021106F" w:rsidRPr="004D4495" w14:paraId="690A4270" w14:textId="77777777" w:rsidTr="006E39CE">
        <w:tc>
          <w:tcPr>
            <w:tcW w:w="1213" w:type="pct"/>
            <w:vMerge/>
          </w:tcPr>
          <w:p w14:paraId="164C3F6E" w14:textId="77777777" w:rsidR="0021106F" w:rsidRPr="003C3B86" w:rsidRDefault="0021106F" w:rsidP="002A04FD">
            <w:pPr>
              <w:pStyle w:val="TableText"/>
            </w:pPr>
          </w:p>
        </w:tc>
        <w:tc>
          <w:tcPr>
            <w:tcW w:w="1209" w:type="pct"/>
            <w:tcMar>
              <w:left w:w="108" w:type="dxa"/>
              <w:right w:w="108" w:type="dxa"/>
            </w:tcMar>
          </w:tcPr>
          <w:p w14:paraId="062A1570" w14:textId="77777777" w:rsidR="0021106F" w:rsidRPr="004D4495" w:rsidRDefault="0021106F" w:rsidP="002A04FD">
            <w:pPr>
              <w:pStyle w:val="TableText"/>
            </w:pPr>
            <w:r w:rsidRPr="004D4495">
              <w:t>Enterprise Strategy and Governance</w:t>
            </w:r>
          </w:p>
        </w:tc>
        <w:tc>
          <w:tcPr>
            <w:tcW w:w="2578" w:type="pct"/>
            <w:tcMar>
              <w:left w:w="108" w:type="dxa"/>
              <w:right w:w="108" w:type="dxa"/>
            </w:tcMar>
          </w:tcPr>
          <w:p w14:paraId="17851F30" w14:textId="77777777" w:rsidR="0021106F" w:rsidRPr="004D4495" w:rsidRDefault="0021106F" w:rsidP="002A04FD">
            <w:pPr>
              <w:pStyle w:val="TableText"/>
            </w:pPr>
            <w:r w:rsidRPr="004D4495">
              <w:t>Responsible for enterprise and budget strategy, communication and media, and governance and corporate support including parliamentary and ministerial services.</w:t>
            </w:r>
          </w:p>
        </w:tc>
      </w:tr>
      <w:tr w:rsidR="0021106F" w:rsidRPr="003C3B86" w14:paraId="0457DB5E" w14:textId="77777777" w:rsidTr="006E39CE">
        <w:tc>
          <w:tcPr>
            <w:tcW w:w="1213" w:type="pct"/>
            <w:vMerge/>
          </w:tcPr>
          <w:p w14:paraId="49A39FE6" w14:textId="77777777" w:rsidR="0021106F" w:rsidRPr="003C3B86" w:rsidRDefault="0021106F" w:rsidP="002A04FD">
            <w:pPr>
              <w:pStyle w:val="TableText"/>
            </w:pPr>
          </w:p>
        </w:tc>
        <w:tc>
          <w:tcPr>
            <w:tcW w:w="1209" w:type="pct"/>
            <w:tcMar>
              <w:left w:w="108" w:type="dxa"/>
              <w:right w:w="108" w:type="dxa"/>
            </w:tcMar>
          </w:tcPr>
          <w:p w14:paraId="253A12E6" w14:textId="77777777" w:rsidR="0021106F" w:rsidRPr="003C3B86" w:rsidRDefault="0021106F" w:rsidP="002A04FD">
            <w:pPr>
              <w:pStyle w:val="TableText"/>
            </w:pPr>
            <w:r w:rsidRPr="003C3B86">
              <w:t>Transformation Taskforce</w:t>
            </w:r>
          </w:p>
        </w:tc>
        <w:tc>
          <w:tcPr>
            <w:tcW w:w="2578" w:type="pct"/>
            <w:tcMar>
              <w:left w:w="108" w:type="dxa"/>
              <w:right w:w="108" w:type="dxa"/>
            </w:tcMar>
          </w:tcPr>
          <w:p w14:paraId="3FF3BAF3" w14:textId="69E0076B" w:rsidR="0021106F" w:rsidRPr="003C3B86" w:rsidRDefault="0021106F" w:rsidP="002A04FD">
            <w:pPr>
              <w:pStyle w:val="TableText"/>
            </w:pPr>
            <w:r w:rsidRPr="003C3B86">
              <w:t xml:space="preserve">Deliver the integrated transformation program and its </w:t>
            </w:r>
            <w:r w:rsidR="00492A5C">
              <w:t>4</w:t>
            </w:r>
            <w:r w:rsidRPr="003C3B86">
              <w:t xml:space="preserve"> pillars, the Transformation Action Plan, Statement of Strategic Intent, Organisation Design and Culture as a response to the department’s </w:t>
            </w:r>
            <w:r w:rsidR="00492A5C">
              <w:t>c</w:t>
            </w:r>
            <w:r w:rsidRPr="003C3B86">
              <w:t xml:space="preserve">apability </w:t>
            </w:r>
            <w:r w:rsidR="00492A5C">
              <w:t>r</w:t>
            </w:r>
            <w:r w:rsidRPr="003C3B86">
              <w:t>eview findings.</w:t>
            </w:r>
          </w:p>
        </w:tc>
      </w:tr>
    </w:tbl>
    <w:p w14:paraId="75DF2A69" w14:textId="2AC8456C" w:rsidR="00764D6A" w:rsidRPr="0060210C" w:rsidRDefault="00764D6A" w:rsidP="0060210C"/>
    <w:sectPr w:rsidR="00764D6A" w:rsidRPr="0060210C" w:rsidSect="00962E4F">
      <w:headerReference w:type="even" r:id="rId31"/>
      <w:headerReference w:type="default" r:id="rId32"/>
      <w:footerReference w:type="even" r:id="rId33"/>
      <w:footerReference w:type="default" r:id="rId34"/>
      <w:headerReference w:type="first" r:id="rId35"/>
      <w:pgSz w:w="16838" w:h="11906" w:orient="landscape"/>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63803" w14:textId="77777777" w:rsidR="009852E4" w:rsidRDefault="009852E4">
      <w:r>
        <w:separator/>
      </w:r>
    </w:p>
    <w:p w14:paraId="56DF88C1" w14:textId="77777777" w:rsidR="009852E4" w:rsidRDefault="009852E4"/>
    <w:p w14:paraId="588E40C2" w14:textId="77777777" w:rsidR="009852E4" w:rsidRDefault="009852E4"/>
  </w:endnote>
  <w:endnote w:type="continuationSeparator" w:id="0">
    <w:p w14:paraId="01799803" w14:textId="77777777" w:rsidR="009852E4" w:rsidRDefault="009852E4">
      <w:r>
        <w:continuationSeparator/>
      </w:r>
    </w:p>
    <w:p w14:paraId="30C96443" w14:textId="77777777" w:rsidR="009852E4" w:rsidRDefault="009852E4"/>
    <w:p w14:paraId="39182885" w14:textId="77777777" w:rsidR="009852E4" w:rsidRDefault="009852E4"/>
  </w:endnote>
  <w:endnote w:type="continuationNotice" w:id="1">
    <w:p w14:paraId="55E16807" w14:textId="77777777" w:rsidR="009852E4" w:rsidRDefault="009852E4" w:rsidP="00274B73">
      <w:pPr>
        <w:pStyle w:val="Footer"/>
      </w:pPr>
    </w:p>
    <w:p w14:paraId="4360B846" w14:textId="77777777" w:rsidR="009852E4" w:rsidRDefault="009852E4"/>
    <w:p w14:paraId="708A2633" w14:textId="77777777" w:rsidR="009852E4" w:rsidRDefault="00985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0DB3" w14:textId="77777777" w:rsidR="00CA6C9D" w:rsidRDefault="009622CD" w:rsidP="00274B73">
    <w:pPr>
      <w:pStyle w:val="Footer"/>
    </w:pPr>
    <w:r>
      <w:rPr>
        <w:noProof/>
      </w:rPr>
      <mc:AlternateContent>
        <mc:Choice Requires="wps">
          <w:drawing>
            <wp:anchor distT="0" distB="0" distL="0" distR="0" simplePos="0" relativeHeight="251677184" behindDoc="0" locked="0" layoutInCell="1" allowOverlap="1" wp14:anchorId="1110D1C9" wp14:editId="4D4CD0E1">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03F45A"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10D1C9"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77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5403F45A"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A942" w14:textId="77777777" w:rsidR="00B861B4" w:rsidRDefault="009622CD" w:rsidP="00274B73">
    <w:pPr>
      <w:pStyle w:val="Footer"/>
    </w:pPr>
    <w:r>
      <w:rPr>
        <w:noProof/>
      </w:rPr>
      <mc:AlternateContent>
        <mc:Choice Requires="wps">
          <w:drawing>
            <wp:anchor distT="0" distB="0" distL="0" distR="0" simplePos="0" relativeHeight="251678208" behindDoc="0" locked="0" layoutInCell="1" allowOverlap="1" wp14:anchorId="16F61ECF" wp14:editId="7B08A138">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E64010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F61ECF"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31.85pt;z-index:251678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E64010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74A7" w14:textId="77777777" w:rsidR="00BA7B4F" w:rsidRDefault="00BA7B4F">
    <w:pPr>
      <w:pStyle w:val="Footer"/>
    </w:pPr>
    <w:r>
      <w:rPr>
        <w:noProof/>
      </w:rPr>
      <mc:AlternateContent>
        <mc:Choice Requires="wps">
          <w:drawing>
            <wp:anchor distT="0" distB="0" distL="0" distR="0" simplePos="0" relativeHeight="251682304" behindDoc="0" locked="0" layoutInCell="1" allowOverlap="1" wp14:anchorId="1EEDA04E" wp14:editId="1D2B908D">
              <wp:simplePos x="635" y="635"/>
              <wp:positionH relativeFrom="page">
                <wp:align>center</wp:align>
              </wp:positionH>
              <wp:positionV relativeFrom="page">
                <wp:align>bottom</wp:align>
              </wp:positionV>
              <wp:extent cx="443865" cy="443865"/>
              <wp:effectExtent l="0" t="0" r="635" b="0"/>
              <wp:wrapNone/>
              <wp:docPr id="17791794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368841" w14:textId="77777777" w:rsidR="00BA7B4F" w:rsidRPr="00CA6C9D" w:rsidRDefault="00BA7B4F" w:rsidP="00CA6C9D">
                          <w:pPr>
                            <w:spacing w:after="0"/>
                            <w:rPr>
                              <w:rFonts w:ascii="Calibri" w:eastAsia="Calibri" w:hAnsi="Calibri" w:cs="Calibri"/>
                              <w:noProof/>
                              <w:color w:val="FF0000"/>
                              <w:sz w:val="24"/>
                              <w:szCs w:val="24"/>
                            </w:rPr>
                          </w:pPr>
                          <w:r w:rsidRPr="00CA6C9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EDA04E" id="_x0000_t202" coordsize="21600,21600" o:spt="202" path="m,l,21600r21600,l21600,xe">
              <v:stroke joinstyle="miter"/>
              <v:path gradientshapeok="t" o:connecttype="rect"/>
            </v:shapetype>
            <v:shape id="_x0000_s1031" type="#_x0000_t202" alt="OFFICIAL" style="position:absolute;left:0;text-align:left;margin-left:0;margin-top:0;width:34.95pt;height:34.95pt;z-index:251682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A368841" w14:textId="77777777" w:rsidR="00BA7B4F" w:rsidRPr="00CA6C9D" w:rsidRDefault="00BA7B4F" w:rsidP="00CA6C9D">
                    <w:pPr>
                      <w:spacing w:after="0"/>
                      <w:rPr>
                        <w:rFonts w:ascii="Calibri" w:eastAsia="Calibri" w:hAnsi="Calibri" w:cs="Calibri"/>
                        <w:noProof/>
                        <w:color w:val="FF0000"/>
                        <w:sz w:val="24"/>
                        <w:szCs w:val="24"/>
                      </w:rPr>
                    </w:pPr>
                    <w:r w:rsidRPr="00CA6C9D">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2071" w14:textId="77777777" w:rsidR="00B10EB0" w:rsidRDefault="00B10EB0" w:rsidP="00B10EB0">
    <w:pPr>
      <w:pStyle w:val="Footer"/>
    </w:pPr>
    <w:r>
      <w:rPr>
        <w:noProof/>
      </w:rPr>
      <mc:AlternateContent>
        <mc:Choice Requires="wps">
          <w:drawing>
            <wp:anchor distT="0" distB="0" distL="0" distR="0" simplePos="0" relativeHeight="251684352" behindDoc="0" locked="0" layoutInCell="1" allowOverlap="1" wp14:anchorId="6FE85196" wp14:editId="3E8ECCB9">
              <wp:simplePos x="901065" y="10053320"/>
              <wp:positionH relativeFrom="page">
                <wp:align>center</wp:align>
              </wp:positionH>
              <wp:positionV relativeFrom="page">
                <wp:align>bottom</wp:align>
              </wp:positionV>
              <wp:extent cx="551815" cy="404495"/>
              <wp:effectExtent l="0" t="0" r="635" b="0"/>
              <wp:wrapNone/>
              <wp:docPr id="138378787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E5377C" w14:textId="77777777" w:rsidR="00B10EB0" w:rsidRPr="009622CD" w:rsidRDefault="00B10EB0" w:rsidP="00B10EB0">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E85196" id="_x0000_t202" coordsize="21600,21600" o:spt="202" path="m,l,21600r21600,l21600,xe">
              <v:stroke joinstyle="miter"/>
              <v:path gradientshapeok="t" o:connecttype="rect"/>
            </v:shapetype>
            <v:shape id="_x0000_s1032" type="#_x0000_t202" alt="OFFICIAL" style="position:absolute;left:0;text-align:left;margin-left:0;margin-top:0;width:43.45pt;height:31.85pt;z-index:251684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dGWcxg4CAAAc&#10;BAAADgAAAAAAAAAAAAAAAAAuAgAAZHJzL2Uyb0RvYy54bWxQSwECLQAUAAYACAAAACEAH1WiDdsA&#10;AAADAQAADwAAAAAAAAAAAAAAAABoBAAAZHJzL2Rvd25yZXYueG1sUEsFBgAAAAAEAAQA8wAAAHAF&#10;AAAAAA==&#10;" filled="f" stroked="f">
              <v:textbox style="mso-fit-shape-to-text:t" inset="0,0,0,15pt">
                <w:txbxContent>
                  <w:p w14:paraId="3CE5377C" w14:textId="77777777" w:rsidR="00B10EB0" w:rsidRPr="009622CD" w:rsidRDefault="00B10EB0" w:rsidP="00B10EB0">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Pr="00DE0AAE">
      <w:t>Department of Agriculture, Fisheries and Forestry</w:t>
    </w:r>
    <w:r>
      <w:tab/>
    </w:r>
    <w:r>
      <w:fldChar w:fldCharType="begin"/>
    </w:r>
    <w:r>
      <w:instrText xml:space="preserve"> PAGE   \* MERGEFORMAT </w:instrText>
    </w:r>
    <w:r>
      <w:fldChar w:fldCharType="separate"/>
    </w:r>
    <w:r>
      <w:t>iii</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82F1" w14:textId="77777777" w:rsidR="009852E4" w:rsidRDefault="009852E4">
      <w:r>
        <w:separator/>
      </w:r>
    </w:p>
    <w:p w14:paraId="4884191D" w14:textId="77777777" w:rsidR="009852E4" w:rsidRDefault="009852E4"/>
    <w:p w14:paraId="0EC444E8" w14:textId="77777777" w:rsidR="009852E4" w:rsidRDefault="009852E4"/>
  </w:footnote>
  <w:footnote w:type="continuationSeparator" w:id="0">
    <w:p w14:paraId="402ED0DB" w14:textId="77777777" w:rsidR="009852E4" w:rsidRDefault="009852E4">
      <w:r>
        <w:continuationSeparator/>
      </w:r>
    </w:p>
    <w:p w14:paraId="5F0F49C8" w14:textId="77777777" w:rsidR="009852E4" w:rsidRDefault="009852E4"/>
    <w:p w14:paraId="688E70E5" w14:textId="77777777" w:rsidR="009852E4" w:rsidRDefault="009852E4"/>
  </w:footnote>
  <w:footnote w:type="continuationNotice" w:id="1">
    <w:p w14:paraId="4E2F3B86" w14:textId="77777777" w:rsidR="009852E4" w:rsidRDefault="009852E4" w:rsidP="00274B73">
      <w:pPr>
        <w:pStyle w:val="Footer"/>
      </w:pPr>
    </w:p>
    <w:p w14:paraId="050B5DD3" w14:textId="77777777" w:rsidR="009852E4" w:rsidRDefault="009852E4"/>
    <w:p w14:paraId="201B0879" w14:textId="77777777" w:rsidR="009852E4" w:rsidRDefault="009852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B805" w14:textId="67D7C408" w:rsidR="00B861B4" w:rsidRDefault="009622CD">
    <w:pPr>
      <w:pStyle w:val="Header"/>
    </w:pPr>
    <w:r>
      <w:rPr>
        <w:noProof/>
        <w:lang w:val="en-US"/>
      </w:rPr>
      <mc:AlternateContent>
        <mc:Choice Requires="wps">
          <w:drawing>
            <wp:anchor distT="0" distB="0" distL="0" distR="0" simplePos="0" relativeHeight="251674112" behindDoc="0" locked="0" layoutInCell="1" allowOverlap="1" wp14:anchorId="4C5433E3" wp14:editId="55576740">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DD6EC3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433E3"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DD6EC3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C464" w14:textId="3A565E26" w:rsidR="00B861B4" w:rsidRDefault="00B30E49">
    <w:pPr>
      <w:pStyle w:val="Header"/>
    </w:pPr>
    <w:r w:rsidRPr="00B30E49">
      <w:t>Meat export cost recovery arrangement: financial performance 2023–24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F60B" w14:textId="1D01C463" w:rsidR="00B861B4" w:rsidRDefault="006B3546">
    <w:pPr>
      <w:pStyle w:val="Header"/>
      <w:jc w:val="left"/>
    </w:pPr>
    <w:r>
      <w:rPr>
        <w:noProof/>
      </w:rPr>
      <w:drawing>
        <wp:anchor distT="0" distB="0" distL="114300" distR="114300" simplePos="0" relativeHeight="251660800" behindDoc="1" locked="0" layoutInCell="1" allowOverlap="1" wp14:anchorId="151DE020" wp14:editId="428D2F08">
          <wp:simplePos x="0" y="0"/>
          <wp:positionH relativeFrom="page">
            <wp:posOffset>0</wp:posOffset>
          </wp:positionH>
          <wp:positionV relativeFrom="paragraph">
            <wp:posOffset>-387341</wp:posOffset>
          </wp:positionV>
          <wp:extent cx="7565594" cy="10701655"/>
          <wp:effectExtent l="0" t="0" r="0" b="4445"/>
          <wp:wrapNone/>
          <wp:docPr id="227300097" name="Picture 227300097"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73088" behindDoc="0" locked="0" layoutInCell="1" allowOverlap="1" wp14:anchorId="4E0923DF" wp14:editId="4FB20F7B">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863EAC9"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0923DF" id="_x0000_t202" coordsize="21600,21600" o:spt="202" path="m,l,21600r21600,l21600,xe">
              <v:stroke joinstyle="miter"/>
              <v:path gradientshapeok="t" o:connecttype="rect"/>
            </v:shapetype>
            <v:shape id="Text Box 1" o:spid="_x0000_s1029" type="#_x0000_t202" alt="OFFICIAL" style="position:absolute;margin-left:0;margin-top:0;width:43.45pt;height:31.8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1863EAC9"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05D1" w14:textId="77777777" w:rsidR="00BA7B4F" w:rsidRDefault="00BA7B4F">
    <w:pPr>
      <w:pStyle w:val="Header"/>
    </w:pPr>
    <w:r>
      <w:rPr>
        <w:noProof/>
        <w:lang w:val="en-US"/>
      </w:rPr>
      <mc:AlternateContent>
        <mc:Choice Requires="wps">
          <w:drawing>
            <wp:anchor distT="0" distB="0" distL="0" distR="0" simplePos="0" relativeHeight="251681280" behindDoc="0" locked="0" layoutInCell="1" allowOverlap="1" wp14:anchorId="5537419F" wp14:editId="43DD6161">
              <wp:simplePos x="635" y="635"/>
              <wp:positionH relativeFrom="page">
                <wp:align>center</wp:align>
              </wp:positionH>
              <wp:positionV relativeFrom="page">
                <wp:align>top</wp:align>
              </wp:positionV>
              <wp:extent cx="443865" cy="443865"/>
              <wp:effectExtent l="0" t="0" r="635" b="14605"/>
              <wp:wrapNone/>
              <wp:docPr id="9872337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68028C" w14:textId="77777777" w:rsidR="00BA7B4F" w:rsidRPr="00CA6C9D" w:rsidRDefault="00BA7B4F" w:rsidP="00CA6C9D">
                          <w:pPr>
                            <w:spacing w:after="0"/>
                            <w:rPr>
                              <w:rFonts w:ascii="Calibri" w:eastAsia="Calibri" w:hAnsi="Calibri" w:cs="Calibri"/>
                              <w:noProof/>
                              <w:color w:val="FF0000"/>
                              <w:sz w:val="24"/>
                              <w:szCs w:val="24"/>
                            </w:rPr>
                          </w:pPr>
                          <w:r w:rsidRPr="00CA6C9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7419F" id="_x0000_t202" coordsize="21600,21600" o:spt="202" path="m,l,21600r21600,l21600,xe">
              <v:stroke joinstyle="miter"/>
              <v:path gradientshapeok="t" o:connecttype="rect"/>
            </v:shapetype>
            <v:shape id="_x0000_s1030" type="#_x0000_t202" alt="OFFICIAL" style="position:absolute;left:0;text-align:left;margin-left:0;margin-top:0;width:34.95pt;height:34.95pt;z-index:251681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D68028C" w14:textId="77777777" w:rsidR="00BA7B4F" w:rsidRPr="00CA6C9D" w:rsidRDefault="00BA7B4F" w:rsidP="00CA6C9D">
                    <w:pPr>
                      <w:spacing w:after="0"/>
                      <w:rPr>
                        <w:rFonts w:ascii="Calibri" w:eastAsia="Calibri" w:hAnsi="Calibri" w:cs="Calibri"/>
                        <w:noProof/>
                        <w:color w:val="FF0000"/>
                        <w:sz w:val="24"/>
                        <w:szCs w:val="24"/>
                      </w:rPr>
                    </w:pPr>
                    <w:r w:rsidRPr="00CA6C9D">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EBBC" w14:textId="64B6F8BE" w:rsidR="00BA7B4F" w:rsidRDefault="00B30E49">
    <w:pPr>
      <w:pStyle w:val="Header"/>
    </w:pPr>
    <w:r w:rsidRPr="00B30E49">
      <w:t>Meat export cost recovery arrangement: financial performance 2023–24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A938" w14:textId="36570106" w:rsidR="00BA7B4F" w:rsidRDefault="00BA7B4F">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231D5A"/>
    <w:multiLevelType w:val="hybridMultilevel"/>
    <w:tmpl w:val="237EE558"/>
    <w:lvl w:ilvl="0" w:tplc="1BAE68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940B9B"/>
    <w:multiLevelType w:val="hybridMultilevel"/>
    <w:tmpl w:val="6F84757E"/>
    <w:lvl w:ilvl="0" w:tplc="3D9CE4DC">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86800B4"/>
    <w:multiLevelType w:val="multilevel"/>
    <w:tmpl w:val="A0241B28"/>
    <w:numStyleLink w:val="List1"/>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1048C8"/>
    <w:multiLevelType w:val="hybridMultilevel"/>
    <w:tmpl w:val="740205D0"/>
    <w:lvl w:ilvl="0" w:tplc="F8D00F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5D264301"/>
    <w:multiLevelType w:val="hybridMultilevel"/>
    <w:tmpl w:val="0FF442A8"/>
    <w:lvl w:ilvl="0" w:tplc="6F4ADC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78C0F0D"/>
    <w:multiLevelType w:val="hybridMultilevel"/>
    <w:tmpl w:val="A2504978"/>
    <w:lvl w:ilvl="0" w:tplc="7D20D1F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C192589"/>
    <w:multiLevelType w:val="hybridMultilevel"/>
    <w:tmpl w:val="773CA5C2"/>
    <w:lvl w:ilvl="0" w:tplc="30E88D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1057155">
    <w:abstractNumId w:val="10"/>
  </w:num>
  <w:num w:numId="2" w16cid:durableId="1639215797">
    <w:abstractNumId w:val="11"/>
  </w:num>
  <w:num w:numId="3" w16cid:durableId="1643265712">
    <w:abstractNumId w:val="4"/>
  </w:num>
  <w:num w:numId="4" w16cid:durableId="1568950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7"/>
  </w:num>
  <w:num w:numId="6" w16cid:durableId="281765065">
    <w:abstractNumId w:val="9"/>
  </w:num>
  <w:num w:numId="7" w16cid:durableId="2092000146">
    <w:abstractNumId w:val="6"/>
  </w:num>
  <w:num w:numId="8" w16cid:durableId="864908900">
    <w:abstractNumId w:val="4"/>
    <w:lvlOverride w:ilvl="0">
      <w:lvl w:ilvl="0">
        <w:start w:val="1"/>
        <w:numFmt w:val="decimal"/>
        <w:pStyle w:val="Heading2"/>
        <w:lvlText w:val="%1"/>
        <w:lvlJc w:val="left"/>
        <w:pPr>
          <w:ind w:left="720" w:hanging="720"/>
        </w:pPr>
        <w:rPr>
          <w:color w:val="auto"/>
        </w:rPr>
      </w:lvl>
    </w:lvlOverride>
  </w:num>
  <w:num w:numId="9" w16cid:durableId="1469322956">
    <w:abstractNumId w:val="10"/>
  </w:num>
  <w:num w:numId="10" w16cid:durableId="1341661948">
    <w:abstractNumId w:val="11"/>
  </w:num>
  <w:num w:numId="11" w16cid:durableId="1983389004">
    <w:abstractNumId w:val="3"/>
  </w:num>
  <w:num w:numId="12" w16cid:durableId="435951209">
    <w:abstractNumId w:val="13"/>
  </w:num>
  <w:num w:numId="13" w16cid:durableId="1385720017">
    <w:abstractNumId w:val="15"/>
  </w:num>
  <w:num w:numId="14" w16cid:durableId="1361395064">
    <w:abstractNumId w:val="14"/>
  </w:num>
  <w:num w:numId="15" w16cid:durableId="2119637520">
    <w:abstractNumId w:val="0"/>
  </w:num>
  <w:num w:numId="16" w16cid:durableId="630865590">
    <w:abstractNumId w:val="2"/>
  </w:num>
  <w:num w:numId="17" w16cid:durableId="405538990">
    <w:abstractNumId w:val="16"/>
  </w:num>
  <w:num w:numId="18" w16cid:durableId="1030649147">
    <w:abstractNumId w:val="17"/>
  </w:num>
  <w:num w:numId="19" w16cid:durableId="446656706">
    <w:abstractNumId w:val="1"/>
  </w:num>
  <w:num w:numId="20" w16cid:durableId="308216782">
    <w:abstractNumId w:val="12"/>
  </w:num>
  <w:num w:numId="21" w16cid:durableId="113969068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60"/>
    <w:rsid w:val="000032AD"/>
    <w:rsid w:val="000053BE"/>
    <w:rsid w:val="00006D71"/>
    <w:rsid w:val="00013C7C"/>
    <w:rsid w:val="00015605"/>
    <w:rsid w:val="00020123"/>
    <w:rsid w:val="00023860"/>
    <w:rsid w:val="00032789"/>
    <w:rsid w:val="000327F6"/>
    <w:rsid w:val="00033831"/>
    <w:rsid w:val="00033E60"/>
    <w:rsid w:val="000373C5"/>
    <w:rsid w:val="00043D85"/>
    <w:rsid w:val="000441EC"/>
    <w:rsid w:val="00046540"/>
    <w:rsid w:val="000542FF"/>
    <w:rsid w:val="00056CBE"/>
    <w:rsid w:val="00063B97"/>
    <w:rsid w:val="00071927"/>
    <w:rsid w:val="00072351"/>
    <w:rsid w:val="00084D2D"/>
    <w:rsid w:val="000869AB"/>
    <w:rsid w:val="0008747B"/>
    <w:rsid w:val="000931FA"/>
    <w:rsid w:val="000942EE"/>
    <w:rsid w:val="000962A6"/>
    <w:rsid w:val="00097FA8"/>
    <w:rsid w:val="000A1447"/>
    <w:rsid w:val="000A5170"/>
    <w:rsid w:val="000A7AAF"/>
    <w:rsid w:val="000B5FA0"/>
    <w:rsid w:val="000C0F45"/>
    <w:rsid w:val="000D3E1E"/>
    <w:rsid w:val="000E3C0F"/>
    <w:rsid w:val="001013AD"/>
    <w:rsid w:val="001116C3"/>
    <w:rsid w:val="0013191B"/>
    <w:rsid w:val="001459C6"/>
    <w:rsid w:val="0015123F"/>
    <w:rsid w:val="0016201B"/>
    <w:rsid w:val="00163317"/>
    <w:rsid w:val="001641A3"/>
    <w:rsid w:val="00166C87"/>
    <w:rsid w:val="001728AE"/>
    <w:rsid w:val="00176594"/>
    <w:rsid w:val="0017699C"/>
    <w:rsid w:val="001868A1"/>
    <w:rsid w:val="00186CF2"/>
    <w:rsid w:val="0019001C"/>
    <w:rsid w:val="001A505B"/>
    <w:rsid w:val="001B62D1"/>
    <w:rsid w:val="001B69E5"/>
    <w:rsid w:val="001C1865"/>
    <w:rsid w:val="001C782B"/>
    <w:rsid w:val="001E50A9"/>
    <w:rsid w:val="001F0E41"/>
    <w:rsid w:val="001F16F7"/>
    <w:rsid w:val="001F73AF"/>
    <w:rsid w:val="00210FCC"/>
    <w:rsid w:val="0021106F"/>
    <w:rsid w:val="00213E7A"/>
    <w:rsid w:val="00215CF0"/>
    <w:rsid w:val="0021649B"/>
    <w:rsid w:val="00216882"/>
    <w:rsid w:val="00222137"/>
    <w:rsid w:val="00226BC7"/>
    <w:rsid w:val="00232F52"/>
    <w:rsid w:val="00233B17"/>
    <w:rsid w:val="0023755B"/>
    <w:rsid w:val="002402D1"/>
    <w:rsid w:val="00240E15"/>
    <w:rsid w:val="002458E1"/>
    <w:rsid w:val="00247A0F"/>
    <w:rsid w:val="00251762"/>
    <w:rsid w:val="0025520F"/>
    <w:rsid w:val="00256F28"/>
    <w:rsid w:val="00263B3F"/>
    <w:rsid w:val="00263CB6"/>
    <w:rsid w:val="00265A2D"/>
    <w:rsid w:val="00265EEE"/>
    <w:rsid w:val="00266250"/>
    <w:rsid w:val="00266B5E"/>
    <w:rsid w:val="00266C5A"/>
    <w:rsid w:val="00274B73"/>
    <w:rsid w:val="00274FFC"/>
    <w:rsid w:val="00275281"/>
    <w:rsid w:val="00281BB6"/>
    <w:rsid w:val="00282642"/>
    <w:rsid w:val="00284C5A"/>
    <w:rsid w:val="00284D14"/>
    <w:rsid w:val="00286307"/>
    <w:rsid w:val="002B245D"/>
    <w:rsid w:val="002C24CD"/>
    <w:rsid w:val="002C2571"/>
    <w:rsid w:val="002D4BDA"/>
    <w:rsid w:val="002D5B0A"/>
    <w:rsid w:val="002D5FB1"/>
    <w:rsid w:val="002D67C2"/>
    <w:rsid w:val="002E0E91"/>
    <w:rsid w:val="002F1457"/>
    <w:rsid w:val="003001B4"/>
    <w:rsid w:val="00301836"/>
    <w:rsid w:val="003024BD"/>
    <w:rsid w:val="00304AB4"/>
    <w:rsid w:val="003214B3"/>
    <w:rsid w:val="00324BD0"/>
    <w:rsid w:val="00341111"/>
    <w:rsid w:val="00345484"/>
    <w:rsid w:val="00345C11"/>
    <w:rsid w:val="00350D80"/>
    <w:rsid w:val="00351083"/>
    <w:rsid w:val="0035152D"/>
    <w:rsid w:val="003537AD"/>
    <w:rsid w:val="00354C6A"/>
    <w:rsid w:val="00360039"/>
    <w:rsid w:val="00360EE8"/>
    <w:rsid w:val="00364A4A"/>
    <w:rsid w:val="003654AC"/>
    <w:rsid w:val="0037073B"/>
    <w:rsid w:val="00372831"/>
    <w:rsid w:val="00385F67"/>
    <w:rsid w:val="00395407"/>
    <w:rsid w:val="003A222D"/>
    <w:rsid w:val="003A6F9D"/>
    <w:rsid w:val="003B1E29"/>
    <w:rsid w:val="003B2E54"/>
    <w:rsid w:val="003C1FCE"/>
    <w:rsid w:val="003E4C1C"/>
    <w:rsid w:val="003F0145"/>
    <w:rsid w:val="003F03A6"/>
    <w:rsid w:val="003F0D20"/>
    <w:rsid w:val="003F58F8"/>
    <w:rsid w:val="00401445"/>
    <w:rsid w:val="00410B27"/>
    <w:rsid w:val="004119A5"/>
    <w:rsid w:val="00414891"/>
    <w:rsid w:val="0042443D"/>
    <w:rsid w:val="00425C16"/>
    <w:rsid w:val="004262DD"/>
    <w:rsid w:val="00432172"/>
    <w:rsid w:val="00437495"/>
    <w:rsid w:val="00441BFD"/>
    <w:rsid w:val="004435B9"/>
    <w:rsid w:val="00446881"/>
    <w:rsid w:val="00451B82"/>
    <w:rsid w:val="00453CB0"/>
    <w:rsid w:val="00461957"/>
    <w:rsid w:val="0046625C"/>
    <w:rsid w:val="00470C21"/>
    <w:rsid w:val="004747BB"/>
    <w:rsid w:val="004754FB"/>
    <w:rsid w:val="00476C9E"/>
    <w:rsid w:val="00483493"/>
    <w:rsid w:val="00491E5F"/>
    <w:rsid w:val="00492A5C"/>
    <w:rsid w:val="00493F3C"/>
    <w:rsid w:val="004959C4"/>
    <w:rsid w:val="00496D0B"/>
    <w:rsid w:val="004A5EC1"/>
    <w:rsid w:val="004A775D"/>
    <w:rsid w:val="004B1C2B"/>
    <w:rsid w:val="004B1D54"/>
    <w:rsid w:val="004B3F30"/>
    <w:rsid w:val="004B51E6"/>
    <w:rsid w:val="004B6E01"/>
    <w:rsid w:val="004B7CD0"/>
    <w:rsid w:val="004C320D"/>
    <w:rsid w:val="004D094A"/>
    <w:rsid w:val="004D2569"/>
    <w:rsid w:val="004D6DD4"/>
    <w:rsid w:val="004E0F77"/>
    <w:rsid w:val="004F3F2A"/>
    <w:rsid w:val="004F54BB"/>
    <w:rsid w:val="0050220F"/>
    <w:rsid w:val="005043EB"/>
    <w:rsid w:val="00510C42"/>
    <w:rsid w:val="00514A31"/>
    <w:rsid w:val="00517A68"/>
    <w:rsid w:val="00522D3B"/>
    <w:rsid w:val="005231E5"/>
    <w:rsid w:val="00530A5D"/>
    <w:rsid w:val="0053293D"/>
    <w:rsid w:val="00542414"/>
    <w:rsid w:val="00544064"/>
    <w:rsid w:val="00546E56"/>
    <w:rsid w:val="0055555B"/>
    <w:rsid w:val="00562729"/>
    <w:rsid w:val="00564B9B"/>
    <w:rsid w:val="00574557"/>
    <w:rsid w:val="0059380F"/>
    <w:rsid w:val="00593D91"/>
    <w:rsid w:val="00595257"/>
    <w:rsid w:val="005A08B1"/>
    <w:rsid w:val="005A7193"/>
    <w:rsid w:val="005B29CD"/>
    <w:rsid w:val="005B3325"/>
    <w:rsid w:val="005C27FB"/>
    <w:rsid w:val="005C36F6"/>
    <w:rsid w:val="005D3790"/>
    <w:rsid w:val="005E25BD"/>
    <w:rsid w:val="0060210C"/>
    <w:rsid w:val="00603D54"/>
    <w:rsid w:val="006138D1"/>
    <w:rsid w:val="00615FA5"/>
    <w:rsid w:val="00635C53"/>
    <w:rsid w:val="00640902"/>
    <w:rsid w:val="00643528"/>
    <w:rsid w:val="00643B74"/>
    <w:rsid w:val="00643C78"/>
    <w:rsid w:val="006440A9"/>
    <w:rsid w:val="006615B1"/>
    <w:rsid w:val="006713A7"/>
    <w:rsid w:val="00680970"/>
    <w:rsid w:val="00680ADB"/>
    <w:rsid w:val="0068273F"/>
    <w:rsid w:val="0068643F"/>
    <w:rsid w:val="006964A5"/>
    <w:rsid w:val="006979E8"/>
    <w:rsid w:val="006A4C02"/>
    <w:rsid w:val="006B222A"/>
    <w:rsid w:val="006B3546"/>
    <w:rsid w:val="006C16FF"/>
    <w:rsid w:val="006C261F"/>
    <w:rsid w:val="006C350D"/>
    <w:rsid w:val="006C4CB8"/>
    <w:rsid w:val="006C5145"/>
    <w:rsid w:val="006C6961"/>
    <w:rsid w:val="006C7A6B"/>
    <w:rsid w:val="006D1999"/>
    <w:rsid w:val="006E1A6F"/>
    <w:rsid w:val="006E39CE"/>
    <w:rsid w:val="006E6712"/>
    <w:rsid w:val="006F4EBA"/>
    <w:rsid w:val="006F5BD3"/>
    <w:rsid w:val="006F6656"/>
    <w:rsid w:val="007012FB"/>
    <w:rsid w:val="00713617"/>
    <w:rsid w:val="0071381A"/>
    <w:rsid w:val="00715212"/>
    <w:rsid w:val="007169D6"/>
    <w:rsid w:val="007240C3"/>
    <w:rsid w:val="00732408"/>
    <w:rsid w:val="00761FCF"/>
    <w:rsid w:val="00764D6A"/>
    <w:rsid w:val="00771495"/>
    <w:rsid w:val="00773056"/>
    <w:rsid w:val="00775385"/>
    <w:rsid w:val="007754E3"/>
    <w:rsid w:val="0078222E"/>
    <w:rsid w:val="007904D6"/>
    <w:rsid w:val="00797460"/>
    <w:rsid w:val="007A041D"/>
    <w:rsid w:val="007A2B9F"/>
    <w:rsid w:val="007A4DDB"/>
    <w:rsid w:val="007A5D10"/>
    <w:rsid w:val="007B018C"/>
    <w:rsid w:val="007B66C4"/>
    <w:rsid w:val="007B7E13"/>
    <w:rsid w:val="007C358A"/>
    <w:rsid w:val="007C3ABC"/>
    <w:rsid w:val="007C73BC"/>
    <w:rsid w:val="007E0F69"/>
    <w:rsid w:val="007E2BC6"/>
    <w:rsid w:val="007E39EF"/>
    <w:rsid w:val="007F229B"/>
    <w:rsid w:val="007F410F"/>
    <w:rsid w:val="007F774D"/>
    <w:rsid w:val="00800FE1"/>
    <w:rsid w:val="00804C6C"/>
    <w:rsid w:val="00806A2A"/>
    <w:rsid w:val="00811238"/>
    <w:rsid w:val="00816657"/>
    <w:rsid w:val="00817281"/>
    <w:rsid w:val="00820F04"/>
    <w:rsid w:val="008212A5"/>
    <w:rsid w:val="00823601"/>
    <w:rsid w:val="00824B88"/>
    <w:rsid w:val="00825FB9"/>
    <w:rsid w:val="00831DED"/>
    <w:rsid w:val="0084011B"/>
    <w:rsid w:val="00860B64"/>
    <w:rsid w:val="00863135"/>
    <w:rsid w:val="00867C15"/>
    <w:rsid w:val="0087752B"/>
    <w:rsid w:val="00880725"/>
    <w:rsid w:val="00892CC1"/>
    <w:rsid w:val="0089320B"/>
    <w:rsid w:val="00897B06"/>
    <w:rsid w:val="00897BAB"/>
    <w:rsid w:val="008A0EE3"/>
    <w:rsid w:val="008B14E1"/>
    <w:rsid w:val="008B34EE"/>
    <w:rsid w:val="008C584E"/>
    <w:rsid w:val="008D0D64"/>
    <w:rsid w:val="008D32E7"/>
    <w:rsid w:val="008D619B"/>
    <w:rsid w:val="008E2231"/>
    <w:rsid w:val="008F0E45"/>
    <w:rsid w:val="008F5066"/>
    <w:rsid w:val="00901742"/>
    <w:rsid w:val="009020C3"/>
    <w:rsid w:val="00915115"/>
    <w:rsid w:val="009178CA"/>
    <w:rsid w:val="00920CE5"/>
    <w:rsid w:val="00923CC9"/>
    <w:rsid w:val="00924375"/>
    <w:rsid w:val="00933D8D"/>
    <w:rsid w:val="00937987"/>
    <w:rsid w:val="009407D8"/>
    <w:rsid w:val="00943CF5"/>
    <w:rsid w:val="00955C18"/>
    <w:rsid w:val="00961230"/>
    <w:rsid w:val="009622CD"/>
    <w:rsid w:val="00962E4F"/>
    <w:rsid w:val="009738CA"/>
    <w:rsid w:val="0097536B"/>
    <w:rsid w:val="0097615E"/>
    <w:rsid w:val="009852E4"/>
    <w:rsid w:val="00997381"/>
    <w:rsid w:val="009A501D"/>
    <w:rsid w:val="009B0C02"/>
    <w:rsid w:val="009B2FB6"/>
    <w:rsid w:val="009B5A0E"/>
    <w:rsid w:val="009B774A"/>
    <w:rsid w:val="009B790D"/>
    <w:rsid w:val="009C2D57"/>
    <w:rsid w:val="009D1247"/>
    <w:rsid w:val="009D263F"/>
    <w:rsid w:val="009D5007"/>
    <w:rsid w:val="009E2823"/>
    <w:rsid w:val="009E468D"/>
    <w:rsid w:val="009F549B"/>
    <w:rsid w:val="009F7053"/>
    <w:rsid w:val="00A020F0"/>
    <w:rsid w:val="00A306C3"/>
    <w:rsid w:val="00A32E25"/>
    <w:rsid w:val="00A375B0"/>
    <w:rsid w:val="00A411A8"/>
    <w:rsid w:val="00A44950"/>
    <w:rsid w:val="00A45A63"/>
    <w:rsid w:val="00A50EBC"/>
    <w:rsid w:val="00A6516C"/>
    <w:rsid w:val="00A812AF"/>
    <w:rsid w:val="00A91307"/>
    <w:rsid w:val="00A96174"/>
    <w:rsid w:val="00A97DEA"/>
    <w:rsid w:val="00AA1D58"/>
    <w:rsid w:val="00AA53AA"/>
    <w:rsid w:val="00AA6670"/>
    <w:rsid w:val="00AB3491"/>
    <w:rsid w:val="00AB45BF"/>
    <w:rsid w:val="00AB665C"/>
    <w:rsid w:val="00AB72AD"/>
    <w:rsid w:val="00AB7911"/>
    <w:rsid w:val="00AC35F5"/>
    <w:rsid w:val="00AE272C"/>
    <w:rsid w:val="00AE4237"/>
    <w:rsid w:val="00AF148D"/>
    <w:rsid w:val="00AF7997"/>
    <w:rsid w:val="00B02B9B"/>
    <w:rsid w:val="00B10863"/>
    <w:rsid w:val="00B10EB0"/>
    <w:rsid w:val="00B152FF"/>
    <w:rsid w:val="00B2557D"/>
    <w:rsid w:val="00B30E49"/>
    <w:rsid w:val="00B5266D"/>
    <w:rsid w:val="00B54B30"/>
    <w:rsid w:val="00B5740E"/>
    <w:rsid w:val="00B63B5D"/>
    <w:rsid w:val="00B807C6"/>
    <w:rsid w:val="00B83E08"/>
    <w:rsid w:val="00B84485"/>
    <w:rsid w:val="00B849EF"/>
    <w:rsid w:val="00B861B4"/>
    <w:rsid w:val="00B866E0"/>
    <w:rsid w:val="00B93C7A"/>
    <w:rsid w:val="00B97E61"/>
    <w:rsid w:val="00BA37AB"/>
    <w:rsid w:val="00BA5B0F"/>
    <w:rsid w:val="00BA7B4F"/>
    <w:rsid w:val="00BB0F70"/>
    <w:rsid w:val="00BB4453"/>
    <w:rsid w:val="00BB72F2"/>
    <w:rsid w:val="00BC1616"/>
    <w:rsid w:val="00BD17F9"/>
    <w:rsid w:val="00BD3A80"/>
    <w:rsid w:val="00BD671A"/>
    <w:rsid w:val="00BE24B6"/>
    <w:rsid w:val="00BE53B4"/>
    <w:rsid w:val="00BE561A"/>
    <w:rsid w:val="00BF0B4E"/>
    <w:rsid w:val="00BF4D87"/>
    <w:rsid w:val="00BF4E55"/>
    <w:rsid w:val="00BF6B40"/>
    <w:rsid w:val="00C003C5"/>
    <w:rsid w:val="00C02519"/>
    <w:rsid w:val="00C12ACE"/>
    <w:rsid w:val="00C265E2"/>
    <w:rsid w:val="00C27046"/>
    <w:rsid w:val="00C31682"/>
    <w:rsid w:val="00C33358"/>
    <w:rsid w:val="00C416EC"/>
    <w:rsid w:val="00C53439"/>
    <w:rsid w:val="00C568B0"/>
    <w:rsid w:val="00C63E3B"/>
    <w:rsid w:val="00C67284"/>
    <w:rsid w:val="00C74B5D"/>
    <w:rsid w:val="00C76A59"/>
    <w:rsid w:val="00C84903"/>
    <w:rsid w:val="00C859C9"/>
    <w:rsid w:val="00C85C62"/>
    <w:rsid w:val="00CA34DF"/>
    <w:rsid w:val="00CA6C9D"/>
    <w:rsid w:val="00CB3CB7"/>
    <w:rsid w:val="00CB73FC"/>
    <w:rsid w:val="00CD46C7"/>
    <w:rsid w:val="00CD6120"/>
    <w:rsid w:val="00CF2EAC"/>
    <w:rsid w:val="00CF4F5E"/>
    <w:rsid w:val="00CF52C1"/>
    <w:rsid w:val="00D01BA5"/>
    <w:rsid w:val="00D027AD"/>
    <w:rsid w:val="00D07380"/>
    <w:rsid w:val="00D07F7D"/>
    <w:rsid w:val="00D1032B"/>
    <w:rsid w:val="00D20DAF"/>
    <w:rsid w:val="00D41EF7"/>
    <w:rsid w:val="00D46CA3"/>
    <w:rsid w:val="00D46DE2"/>
    <w:rsid w:val="00D47121"/>
    <w:rsid w:val="00D61175"/>
    <w:rsid w:val="00D636A8"/>
    <w:rsid w:val="00D6561B"/>
    <w:rsid w:val="00D65CD1"/>
    <w:rsid w:val="00D6626A"/>
    <w:rsid w:val="00D8639E"/>
    <w:rsid w:val="00DA1F76"/>
    <w:rsid w:val="00DA71B8"/>
    <w:rsid w:val="00DB221C"/>
    <w:rsid w:val="00DB31EB"/>
    <w:rsid w:val="00DB71A3"/>
    <w:rsid w:val="00DC20D3"/>
    <w:rsid w:val="00DC41DE"/>
    <w:rsid w:val="00DC55BE"/>
    <w:rsid w:val="00DC7AA9"/>
    <w:rsid w:val="00DD38D4"/>
    <w:rsid w:val="00DE0442"/>
    <w:rsid w:val="00DE0AAE"/>
    <w:rsid w:val="00DF04AB"/>
    <w:rsid w:val="00DF4E47"/>
    <w:rsid w:val="00E11AC7"/>
    <w:rsid w:val="00E20810"/>
    <w:rsid w:val="00E2127D"/>
    <w:rsid w:val="00E21539"/>
    <w:rsid w:val="00E223F4"/>
    <w:rsid w:val="00E23501"/>
    <w:rsid w:val="00E24DAF"/>
    <w:rsid w:val="00E337A4"/>
    <w:rsid w:val="00E67A0A"/>
    <w:rsid w:val="00E700E5"/>
    <w:rsid w:val="00E7137E"/>
    <w:rsid w:val="00E82999"/>
    <w:rsid w:val="00E83BAC"/>
    <w:rsid w:val="00E84F8D"/>
    <w:rsid w:val="00E87CEC"/>
    <w:rsid w:val="00E919FF"/>
    <w:rsid w:val="00E91D72"/>
    <w:rsid w:val="00E93778"/>
    <w:rsid w:val="00E97CE1"/>
    <w:rsid w:val="00E97F13"/>
    <w:rsid w:val="00EA3E22"/>
    <w:rsid w:val="00EA5678"/>
    <w:rsid w:val="00EC40D3"/>
    <w:rsid w:val="00EC508A"/>
    <w:rsid w:val="00ED01BB"/>
    <w:rsid w:val="00ED78A6"/>
    <w:rsid w:val="00EE4833"/>
    <w:rsid w:val="00EF55CC"/>
    <w:rsid w:val="00F0184D"/>
    <w:rsid w:val="00F02EAA"/>
    <w:rsid w:val="00F04729"/>
    <w:rsid w:val="00F15D2B"/>
    <w:rsid w:val="00F22CDA"/>
    <w:rsid w:val="00F333E9"/>
    <w:rsid w:val="00F5304F"/>
    <w:rsid w:val="00F608B2"/>
    <w:rsid w:val="00F672D4"/>
    <w:rsid w:val="00F67AFC"/>
    <w:rsid w:val="00F7494C"/>
    <w:rsid w:val="00F759CB"/>
    <w:rsid w:val="00F82F27"/>
    <w:rsid w:val="00FA0B2E"/>
    <w:rsid w:val="00FA2743"/>
    <w:rsid w:val="00FA6426"/>
    <w:rsid w:val="00FC1759"/>
    <w:rsid w:val="00FC74A5"/>
    <w:rsid w:val="00FC78A8"/>
    <w:rsid w:val="00FD2546"/>
    <w:rsid w:val="00FD5D73"/>
    <w:rsid w:val="00FD7468"/>
    <w:rsid w:val="00FE274C"/>
    <w:rsid w:val="00FE64BC"/>
    <w:rsid w:val="00FF1791"/>
    <w:rsid w:val="00FF4FC8"/>
    <w:rsid w:val="00FF6A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7FD82"/>
  <w15:docId w15:val="{A4E7CA90-35DE-4D39-BC66-02424DD8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29B"/>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CA6C9D"/>
    <w:pPr>
      <w:numPr>
        <w:ilvl w:val="1"/>
        <w:numId w:val="10"/>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paragraph" w:styleId="Revision">
    <w:name w:val="Revision"/>
    <w:hidden/>
    <w:uiPriority w:val="99"/>
    <w:semiHidden/>
    <w:rsid w:val="00DE0442"/>
    <w:rPr>
      <w:rFonts w:asciiTheme="minorHAnsi" w:eastAsiaTheme="minorHAnsi" w:hAnsiTheme="minorHAnsi" w:cstheme="minorBidi"/>
      <w:sz w:val="22"/>
      <w:szCs w:val="22"/>
      <w:lang w:eastAsia="en-US"/>
    </w:rPr>
  </w:style>
  <w:style w:type="numbering" w:customStyle="1" w:styleId="List11">
    <w:name w:val="List11"/>
    <w:basedOn w:val="NoList"/>
    <w:uiPriority w:val="99"/>
    <w:rsid w:val="00013C7C"/>
  </w:style>
  <w:style w:type="numbering" w:customStyle="1" w:styleId="List12">
    <w:name w:val="List12"/>
    <w:basedOn w:val="NoList"/>
    <w:uiPriority w:val="99"/>
    <w:rsid w:val="00643B74"/>
  </w:style>
  <w:style w:type="numbering" w:customStyle="1" w:styleId="List13">
    <w:name w:val="List13"/>
    <w:basedOn w:val="NoList"/>
    <w:uiPriority w:val="99"/>
    <w:rsid w:val="00D61175"/>
  </w:style>
  <w:style w:type="paragraph" w:styleId="Date">
    <w:name w:val="Date"/>
    <w:basedOn w:val="Normal"/>
    <w:next w:val="Normal"/>
    <w:link w:val="DateChar"/>
    <w:uiPriority w:val="99"/>
    <w:unhideWhenUsed/>
    <w:rsid w:val="006979E8"/>
  </w:style>
  <w:style w:type="character" w:customStyle="1" w:styleId="DateChar">
    <w:name w:val="Date Char"/>
    <w:basedOn w:val="DefaultParagraphFont"/>
    <w:link w:val="Date"/>
    <w:uiPriority w:val="99"/>
    <w:rsid w:val="006979E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5935">
      <w:bodyDiv w:val="1"/>
      <w:marLeft w:val="0"/>
      <w:marRight w:val="0"/>
      <w:marTop w:val="0"/>
      <w:marBottom w:val="0"/>
      <w:divBdr>
        <w:top w:val="none" w:sz="0" w:space="0" w:color="auto"/>
        <w:left w:val="none" w:sz="0" w:space="0" w:color="auto"/>
        <w:bottom w:val="none" w:sz="0" w:space="0" w:color="auto"/>
        <w:right w:val="none" w:sz="0" w:space="0" w:color="auto"/>
      </w:divBdr>
    </w:div>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36660426">
      <w:bodyDiv w:val="1"/>
      <w:marLeft w:val="0"/>
      <w:marRight w:val="0"/>
      <w:marTop w:val="0"/>
      <w:marBottom w:val="0"/>
      <w:divBdr>
        <w:top w:val="none" w:sz="0" w:space="0" w:color="auto"/>
        <w:left w:val="none" w:sz="0" w:space="0" w:color="auto"/>
        <w:bottom w:val="none" w:sz="0" w:space="0" w:color="auto"/>
        <w:right w:val="none" w:sz="0" w:space="0" w:color="auto"/>
      </w:divBdr>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35982">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griculture.gov.au/" TargetMode="External"/><Relationship Id="rId18" Type="http://schemas.openxmlformats.org/officeDocument/2006/relationships/header" Target="header3.xml"/><Relationship Id="rId26" Type="http://schemas.openxmlformats.org/officeDocument/2006/relationships/hyperlink" Target="https://www.finance.gov.au/government/managing-commonwealth-resources/implementing-charging-framework-rmg-302/what-australian-government-charging-framework" TargetMode="External"/><Relationship Id="rId21" Type="http://schemas.openxmlformats.org/officeDocument/2006/relationships/hyperlink" Target="https://www.agriculture.gov.au/sites/default/files/documents/FINAL-MYEFO-FACTSHEET-Ag%20Exports_CLEAN%20201223.pdf"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agriculture.gov.au/sites/default/files/documents/FINAL-MYEFO-FACTSHEET-Ag%20Exports_CLEAN%20201223.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griculture.gov.au/sites/default/files/documents/budget_2020-21_busting-congestion-for-agricultural-exporters.pdf" TargetMode="External"/><Relationship Id="rId29" Type="http://schemas.openxmlformats.org/officeDocument/2006/relationships/hyperlink" Target="https://www.agriculture.gov.au/about/reporting/annual-re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yperlink" Target="https://www.agriculture.gov.au/sites/default/files/documents/budget_2020-21_busting-congestion-for-agricultural-exporters.pdf"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agriculture.gov.au/sites/default/files/documents/FINAL-MYEFO-FACTSHEET-Ag%20Exports_CLEAN%20201223.pdf" TargetMode="External"/><Relationship Id="rId28" Type="http://schemas.openxmlformats.org/officeDocument/2006/relationships/hyperlink" Target="https://www.dfat.gov.au/trade/agreements/in-force/aukfta"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aff.ent.sirsidynix.net.au/client/en_AU/search/asset/1035021/0"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agriculture.gov.au/about/fees/cost-recovery-2024-25" TargetMode="External"/><Relationship Id="rId27" Type="http://schemas.openxmlformats.org/officeDocument/2006/relationships/hyperlink" Target="https://www.agriculture.gov.au/about/fees/cost-recovery-2024-25" TargetMode="External"/><Relationship Id="rId30" Type="http://schemas.openxmlformats.org/officeDocument/2006/relationships/hyperlink" Target="https://www.agriculture.gov.au/about/reporting/annual-report" TargetMode="Externa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B7F5BFABE1F23429759DAE3BE90EF14" ma:contentTypeVersion="" ma:contentTypeDescription="PDMS Document Site Content Type" ma:contentTypeScope="" ma:versionID="c5def2c8e5093deec62ac656bc2e91ae">
  <xsd:schema xmlns:xsd="http://www.w3.org/2001/XMLSchema" xmlns:xs="http://www.w3.org/2001/XMLSchema" xmlns:p="http://schemas.microsoft.com/office/2006/metadata/properties" xmlns:ns2="A33C4933-B0C3-4E17-AD3B-E7867C825122" targetNamespace="http://schemas.microsoft.com/office/2006/metadata/properties" ma:root="true" ma:fieldsID="98d04660e609951d0f4288a6741603ff" ns2:_="">
    <xsd:import namespace="A33C4933-B0C3-4E17-AD3B-E7867C82512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C4933-B0C3-4E17-AD3B-E7867C82512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33C4933-B0C3-4E17-AD3B-E7867C825122" xsi:nil="true"/>
  </documentManagement>
</p:properti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DEDAC0-C514-4FF1-B8BB-F56757331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C4933-B0C3-4E17-AD3B-E7867C825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AD33-3B39-4665-A5E6-666D035120E9}">
  <ds:schemaRefs>
    <ds:schemaRef ds:uri="http://schemas.microsoft.com/office/infopath/2007/PartnerControls"/>
    <ds:schemaRef ds:uri="http://purl.org/dc/terms/"/>
    <ds:schemaRef ds:uri="http://schemas.microsoft.com/office/2006/documentManagement/types"/>
    <ds:schemaRef ds:uri="http://schemas.microsoft.com/office/2006/metadata/properties"/>
    <ds:schemaRef ds:uri="A33C4933-B0C3-4E17-AD3B-E7867C825122"/>
    <ds:schemaRef ds:uri="http://purl.org/dc/dcmitype/"/>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Report_template_1</Template>
  <TotalTime>3</TotalTime>
  <Pages>16</Pages>
  <Words>4493</Words>
  <Characters>25616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Meat export cost recovery arrangement: financial performance 2023–24</vt:lpstr>
    </vt:vector>
  </TitlesOfParts>
  <Company/>
  <LinksUpToDate>false</LinksUpToDate>
  <CharactersWithSpaces>30049</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Meat export cost recovery arrangement: financial performance 2023–24</dc:title>
  <dc:creator>Department of Agriculture, Fisheries and Forestry</dc:creator>
  <cp:lastModifiedBy>Bryan, Kylie</cp:lastModifiedBy>
  <cp:revision>8</cp:revision>
  <cp:lastPrinted>2025-02-21T00:27:00Z</cp:lastPrinted>
  <dcterms:created xsi:type="dcterms:W3CDTF">2025-02-09T23:46:00Z</dcterms:created>
  <dcterms:modified xsi:type="dcterms:W3CDTF">2025-02-21T00:27:00Z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0x010100266966F133664895A6EE3632470D45F500EB7F5BFABE1F23429759DAE3BE90EF14</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ies>
</file>